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December 14, 2022</w:t>
      </w:r>
    </w:p>
    <w:p>
      <w:pPr>
        <w:spacing w:after="0" w:line="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3"/>
          <w:szCs w:val="13"/>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GE Healthcare Holding LLC*</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15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940" w:type="dxa"/>
            <w:vAlign w:val="bottom"/>
            <w:gridSpan w:val="2"/>
          </w:tcPr>
          <w:p>
            <w:pPr>
              <w:jc w:val="center"/>
              <w:ind w:left="1799"/>
              <w:spacing w:after="0"/>
              <w:rPr>
                <w:sz w:val="20"/>
                <w:szCs w:val="20"/>
                <w:color w:val="auto"/>
              </w:rPr>
            </w:pPr>
            <w:r>
              <w:rPr>
                <w:rFonts w:ascii="Times New Roman" w:cs="Times New Roman" w:eastAsia="Times New Roman" w:hAnsi="Times New Roman"/>
                <w:sz w:val="13"/>
                <w:szCs w:val="13"/>
                <w:b w:val="1"/>
                <w:bCs w:val="1"/>
                <w:color w:val="auto"/>
                <w:w w:val="92"/>
              </w:rPr>
              <w:t>3844</w:t>
            </w:r>
          </w:p>
        </w:tc>
        <w:tc>
          <w:tcPr>
            <w:tcW w:w="1820" w:type="dxa"/>
            <w:vAlign w:val="bottom"/>
          </w:tcPr>
          <w:p>
            <w:pPr>
              <w:spacing w:after="0"/>
              <w:rPr>
                <w:sz w:val="12"/>
                <w:szCs w:val="12"/>
                <w:color w:val="auto"/>
              </w:rPr>
            </w:pPr>
          </w:p>
        </w:tc>
        <w:tc>
          <w:tcPr>
            <w:tcW w:w="1200" w:type="dxa"/>
            <w:vAlign w:val="bottom"/>
          </w:tcPr>
          <w:p>
            <w:pPr>
              <w:jc w:val="center"/>
              <w:ind w:left="283"/>
              <w:spacing w:after="0"/>
              <w:rPr>
                <w:sz w:val="20"/>
                <w:szCs w:val="20"/>
                <w:color w:val="auto"/>
              </w:rPr>
            </w:pPr>
            <w:r>
              <w:rPr>
                <w:rFonts w:ascii="Times New Roman" w:cs="Times New Roman" w:eastAsia="Times New Roman" w:hAnsi="Times New Roman"/>
                <w:sz w:val="13"/>
                <w:szCs w:val="13"/>
                <w:b w:val="1"/>
                <w:bCs w:val="1"/>
                <w:color w:val="auto"/>
                <w:w w:val="98"/>
              </w:rPr>
              <w:t>88-2515116</w:t>
            </w:r>
          </w:p>
        </w:tc>
      </w:tr>
      <w:tr>
        <w:trPr>
          <w:trHeight w:val="122"/>
        </w:trPr>
        <w:tc>
          <w:tcPr>
            <w:tcW w:w="1580" w:type="dxa"/>
            <w:vAlign w:val="bottom"/>
          </w:tcPr>
          <w:p>
            <w:pPr>
              <w:jc w:val="center"/>
              <w:ind w:right="83"/>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620" w:type="dxa"/>
            <w:vAlign w:val="bottom"/>
          </w:tcPr>
          <w:p>
            <w:pPr>
              <w:spacing w:after="0"/>
              <w:rPr>
                <w:sz w:val="10"/>
                <w:szCs w:val="10"/>
                <w:color w:val="auto"/>
              </w:rPr>
            </w:pPr>
          </w:p>
        </w:tc>
        <w:tc>
          <w:tcPr>
            <w:tcW w:w="4140" w:type="dxa"/>
            <w:vAlign w:val="bottom"/>
            <w:gridSpan w:val="2"/>
          </w:tcPr>
          <w:p>
            <w:pPr>
              <w:jc w:val="center"/>
              <w:ind w:right="15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(Primary Standard Industrial</w:t>
            </w:r>
          </w:p>
        </w:tc>
        <w:tc>
          <w:tcPr>
            <w:tcW w:w="1200" w:type="dxa"/>
            <w:vAlign w:val="bottom"/>
          </w:tcPr>
          <w:p>
            <w:pPr>
              <w:jc w:val="center"/>
              <w:ind w:left="283"/>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158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1620" w:type="dxa"/>
            <w:vAlign w:val="bottom"/>
          </w:tcPr>
          <w:p>
            <w:pPr>
              <w:spacing w:after="0"/>
              <w:rPr>
                <w:sz w:val="12"/>
                <w:szCs w:val="12"/>
                <w:color w:val="auto"/>
              </w:rPr>
            </w:pPr>
          </w:p>
        </w:tc>
        <w:tc>
          <w:tcPr>
            <w:tcW w:w="4140" w:type="dxa"/>
            <w:vAlign w:val="bottom"/>
            <w:gridSpan w:val="2"/>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120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184"/>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2"/>
        </w:trPr>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40" w:type="dxa"/>
            <w:vAlign w:val="bottom"/>
            <w:gridSpan w:val="2"/>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6"/>
              </w:rPr>
              <w:t>500 W. Monroe Street</w:t>
            </w:r>
          </w:p>
        </w:tc>
        <w:tc>
          <w:tcPr>
            <w:tcW w:w="1200" w:type="dxa"/>
            <w:vAlign w:val="bottom"/>
          </w:tcPr>
          <w:p>
            <w:pPr>
              <w:spacing w:after="0"/>
              <w:rPr>
                <w:sz w:val="14"/>
                <w:szCs w:val="14"/>
                <w:color w:val="auto"/>
              </w:rPr>
            </w:pPr>
          </w:p>
        </w:tc>
      </w:tr>
      <w:tr>
        <w:trPr>
          <w:trHeight w:val="135"/>
        </w:trPr>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Chicago, IL</w:t>
            </w:r>
          </w:p>
        </w:tc>
        <w:tc>
          <w:tcPr>
            <w:tcW w:w="1200" w:type="dxa"/>
            <w:vAlign w:val="bottom"/>
          </w:tcPr>
          <w:p>
            <w:pPr>
              <w:spacing w:after="0"/>
              <w:rPr>
                <w:sz w:val="11"/>
                <w:szCs w:val="11"/>
                <w:color w:val="auto"/>
              </w:rPr>
            </w:pPr>
          </w:p>
        </w:tc>
      </w:tr>
      <w:tr>
        <w:trPr>
          <w:trHeight w:val="139"/>
        </w:trPr>
        <w:tc>
          <w:tcPr>
            <w:tcW w:w="1580" w:type="dxa"/>
            <w:vAlign w:val="bottom"/>
          </w:tcPr>
          <w:p>
            <w:pPr>
              <w:spacing w:after="0"/>
              <w:rPr>
                <w:sz w:val="12"/>
                <w:szCs w:val="12"/>
                <w:color w:val="auto"/>
              </w:rPr>
            </w:pPr>
          </w:p>
        </w:tc>
        <w:tc>
          <w:tcPr>
            <w:tcW w:w="3940" w:type="dxa"/>
            <w:vAlign w:val="bottom"/>
            <w:gridSpan w:val="2"/>
          </w:tcPr>
          <w:p>
            <w:pPr>
              <w:jc w:val="center"/>
              <w:ind w:left="1559"/>
              <w:spacing w:after="0" w:line="139" w:lineRule="exact"/>
              <w:rPr>
                <w:sz w:val="20"/>
                <w:szCs w:val="20"/>
                <w:color w:val="auto"/>
              </w:rPr>
            </w:pPr>
            <w:r>
              <w:rPr>
                <w:rFonts w:ascii="Times New Roman" w:cs="Times New Roman" w:eastAsia="Times New Roman" w:hAnsi="Times New Roman"/>
                <w:sz w:val="13"/>
                <w:szCs w:val="13"/>
                <w:b w:val="1"/>
                <w:bCs w:val="1"/>
                <w:color w:val="auto"/>
                <w:w w:val="97"/>
              </w:rPr>
              <w:t>617-443-3400</w:t>
            </w:r>
          </w:p>
        </w:tc>
        <w:tc>
          <w:tcPr>
            <w:tcW w:w="18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2"/>
        </w:trPr>
        <w:tc>
          <w:tcPr>
            <w:tcW w:w="1580" w:type="dxa"/>
            <w:vAlign w:val="bottom"/>
          </w:tcPr>
          <w:p>
            <w:pPr>
              <w:spacing w:after="0"/>
              <w:rPr>
                <w:sz w:val="12"/>
                <w:szCs w:val="12"/>
                <w:color w:val="auto"/>
              </w:rPr>
            </w:pPr>
          </w:p>
        </w:tc>
        <w:tc>
          <w:tcPr>
            <w:tcW w:w="5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(Address, including zip code, and telephone number, including area code, of registrant’s principal executive offices)</w:t>
            </w:r>
          </w:p>
        </w:tc>
        <w:tc>
          <w:tcPr>
            <w:tcW w:w="1200" w:type="dxa"/>
            <w:vAlign w:val="bottom"/>
          </w:tcPr>
          <w:p>
            <w:pPr>
              <w:spacing w:after="0"/>
              <w:rPr>
                <w:sz w:val="12"/>
                <w:szCs w:val="12"/>
                <w:color w:val="auto"/>
              </w:rPr>
            </w:pPr>
          </w:p>
        </w:tc>
      </w:tr>
      <w:tr>
        <w:trPr>
          <w:trHeight w:val="171"/>
        </w:trPr>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40" w:type="dxa"/>
            <w:vAlign w:val="bottom"/>
            <w:gridSpan w:val="2"/>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6"/>
              </w:rPr>
              <w:t>Frank R. Jimenez, Esq.</w:t>
            </w:r>
          </w:p>
        </w:tc>
        <w:tc>
          <w:tcPr>
            <w:tcW w:w="1200" w:type="dxa"/>
            <w:vAlign w:val="bottom"/>
          </w:tcPr>
          <w:p>
            <w:pPr>
              <w:spacing w:after="0"/>
              <w:rPr>
                <w:sz w:val="14"/>
                <w:szCs w:val="14"/>
                <w:color w:val="auto"/>
              </w:rPr>
            </w:pPr>
          </w:p>
        </w:tc>
      </w:tr>
      <w:tr>
        <w:trPr>
          <w:trHeight w:val="135"/>
        </w:trPr>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500 W. Monroe Street</w:t>
            </w:r>
          </w:p>
        </w:tc>
        <w:tc>
          <w:tcPr>
            <w:tcW w:w="120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Chicago, IL</w:t>
            </w:r>
          </w:p>
        </w:tc>
        <w:tc>
          <w:tcPr>
            <w:tcW w:w="120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3940" w:type="dxa"/>
            <w:vAlign w:val="bottom"/>
            <w:gridSpan w:val="2"/>
          </w:tcPr>
          <w:p>
            <w:pPr>
              <w:jc w:val="center"/>
              <w:ind w:left="1559"/>
              <w:spacing w:after="0" w:line="135" w:lineRule="exact"/>
              <w:rPr>
                <w:sz w:val="20"/>
                <w:szCs w:val="20"/>
                <w:color w:val="auto"/>
              </w:rPr>
            </w:pPr>
            <w:r>
              <w:rPr>
                <w:rFonts w:ascii="Times New Roman" w:cs="Times New Roman" w:eastAsia="Times New Roman" w:hAnsi="Times New Roman"/>
                <w:sz w:val="13"/>
                <w:szCs w:val="13"/>
                <w:b w:val="1"/>
                <w:bCs w:val="1"/>
                <w:color w:val="auto"/>
                <w:w w:val="98"/>
              </w:rPr>
              <w:t>60661</w:t>
            </w:r>
          </w:p>
        </w:tc>
        <w:tc>
          <w:tcPr>
            <w:tcW w:w="182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9"/>
        </w:trPr>
        <w:tc>
          <w:tcPr>
            <w:tcW w:w="1580" w:type="dxa"/>
            <w:vAlign w:val="bottom"/>
          </w:tcPr>
          <w:p>
            <w:pPr>
              <w:spacing w:after="0"/>
              <w:rPr>
                <w:sz w:val="12"/>
                <w:szCs w:val="12"/>
                <w:color w:val="auto"/>
              </w:rPr>
            </w:pPr>
          </w:p>
        </w:tc>
        <w:tc>
          <w:tcPr>
            <w:tcW w:w="3940" w:type="dxa"/>
            <w:vAlign w:val="bottom"/>
            <w:gridSpan w:val="2"/>
          </w:tcPr>
          <w:p>
            <w:pPr>
              <w:jc w:val="center"/>
              <w:ind w:left="1559"/>
              <w:spacing w:after="0" w:line="139" w:lineRule="exact"/>
              <w:rPr>
                <w:sz w:val="20"/>
                <w:szCs w:val="20"/>
                <w:color w:val="auto"/>
              </w:rPr>
            </w:pPr>
            <w:r>
              <w:rPr>
                <w:rFonts w:ascii="Times New Roman" w:cs="Times New Roman" w:eastAsia="Times New Roman" w:hAnsi="Times New Roman"/>
                <w:sz w:val="13"/>
                <w:szCs w:val="13"/>
                <w:b w:val="1"/>
                <w:bCs w:val="1"/>
                <w:color w:val="auto"/>
                <w:w w:val="97"/>
              </w:rPr>
              <w:t>617-443-3400</w:t>
            </w:r>
          </w:p>
        </w:tc>
        <w:tc>
          <w:tcPr>
            <w:tcW w:w="18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2"/>
        </w:trPr>
        <w:tc>
          <w:tcPr>
            <w:tcW w:w="1580" w:type="dxa"/>
            <w:vAlign w:val="bottom"/>
          </w:tcPr>
          <w:p>
            <w:pPr>
              <w:spacing w:after="0"/>
              <w:rPr>
                <w:sz w:val="12"/>
                <w:szCs w:val="12"/>
                <w:color w:val="auto"/>
              </w:rPr>
            </w:pPr>
          </w:p>
        </w:tc>
        <w:tc>
          <w:tcPr>
            <w:tcW w:w="5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(Name, address, including zip code, and telephone number, including area code, of agent for service)</w:t>
            </w:r>
          </w:p>
        </w:tc>
        <w:tc>
          <w:tcPr>
            <w:tcW w:w="1200" w:type="dxa"/>
            <w:vAlign w:val="bottom"/>
          </w:tcPr>
          <w:p>
            <w:pPr>
              <w:spacing w:after="0"/>
              <w:rPr>
                <w:sz w:val="12"/>
                <w:szCs w:val="12"/>
                <w:color w:val="auto"/>
              </w:rPr>
            </w:pPr>
          </w:p>
        </w:tc>
      </w:tr>
      <w:tr>
        <w:trPr>
          <w:trHeight w:val="184"/>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4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b w:val="1"/>
                <w:bCs w:val="1"/>
                <w:i w:val="1"/>
                <w:iCs w:val="1"/>
                <w:color w:val="auto"/>
                <w:w w:val="94"/>
              </w:rPr>
              <w:t>With copies to:</w:t>
            </w:r>
          </w:p>
        </w:tc>
        <w:tc>
          <w:tcPr>
            <w:tcW w:w="1200" w:type="dxa"/>
            <w:vAlign w:val="bottom"/>
          </w:tcPr>
          <w:p>
            <w:pPr>
              <w:spacing w:after="0"/>
              <w:rPr>
                <w:sz w:val="16"/>
                <w:szCs w:val="16"/>
                <w:color w:val="auto"/>
              </w:rPr>
            </w:pPr>
          </w:p>
        </w:tc>
      </w:tr>
      <w:tr>
        <w:trPr>
          <w:trHeight w:val="158"/>
        </w:trPr>
        <w:tc>
          <w:tcPr>
            <w:tcW w:w="1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140" w:type="dxa"/>
            <w:vAlign w:val="bottom"/>
            <w:gridSpan w:val="2"/>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7"/>
              </w:rPr>
              <w:t>Christodoulos Kaoutzanis, Esq.</w:t>
            </w:r>
          </w:p>
        </w:tc>
        <w:tc>
          <w:tcPr>
            <w:tcW w:w="1200" w:type="dxa"/>
            <w:vAlign w:val="bottom"/>
          </w:tcPr>
          <w:p>
            <w:pPr>
              <w:spacing w:after="0"/>
              <w:rPr>
                <w:sz w:val="13"/>
                <w:szCs w:val="13"/>
                <w:color w:val="auto"/>
              </w:rPr>
            </w:pPr>
          </w:p>
        </w:tc>
      </w:tr>
      <w:tr>
        <w:trPr>
          <w:trHeight w:val="135"/>
        </w:trPr>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John C. Kennedy, Esq.</w:t>
            </w:r>
          </w:p>
        </w:tc>
        <w:tc>
          <w:tcPr>
            <w:tcW w:w="120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57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Paul, Weiss, Rifkind, Wharton &amp; Garrison LLP</w:t>
            </w:r>
          </w:p>
        </w:tc>
        <w:tc>
          <w:tcPr>
            <w:tcW w:w="120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1285 Avenue of the Americas</w:t>
            </w:r>
          </w:p>
        </w:tc>
        <w:tc>
          <w:tcPr>
            <w:tcW w:w="120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NY 10019</w:t>
            </w:r>
          </w:p>
        </w:tc>
        <w:tc>
          <w:tcPr>
            <w:tcW w:w="120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212-373-3000 (Telephone)</w:t>
            </w:r>
          </w:p>
        </w:tc>
        <w:tc>
          <w:tcPr>
            <w:tcW w:w="1200" w:type="dxa"/>
            <w:vAlign w:val="bottom"/>
          </w:tcPr>
          <w:p>
            <w:pPr>
              <w:spacing w:after="0"/>
              <w:rPr>
                <w:sz w:val="11"/>
                <w:szCs w:val="11"/>
                <w:color w:val="auto"/>
              </w:rPr>
            </w:pPr>
          </w:p>
        </w:tc>
      </w:tr>
      <w:tr>
        <w:trPr>
          <w:trHeight w:val="166"/>
        </w:trPr>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40" w:type="dxa"/>
            <w:vAlign w:val="bottom"/>
            <w:gridSpan w:val="2"/>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6"/>
              </w:rPr>
              <w:t>212-757-3990 (Facsimile)</w:t>
            </w:r>
          </w:p>
        </w:tc>
        <w:tc>
          <w:tcPr>
            <w:tcW w:w="1200" w:type="dxa"/>
            <w:vAlign w:val="bottom"/>
          </w:tcPr>
          <w:p>
            <w:pPr>
              <w:spacing w:after="0"/>
              <w:rPr>
                <w:sz w:val="14"/>
                <w:szCs w:val="14"/>
                <w:color w:val="auto"/>
              </w:rPr>
            </w:pPr>
          </w:p>
        </w:tc>
      </w:tr>
      <w:tr>
        <w:trPr>
          <w:trHeight w:val="165"/>
        </w:trPr>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3"/>
        </w:trPr>
        <w:tc>
          <w:tcPr>
            <w:tcW w:w="1580" w:type="dxa"/>
            <w:vAlign w:val="bottom"/>
          </w:tcPr>
          <w:p>
            <w:pPr>
              <w:spacing w:after="0"/>
              <w:rPr>
                <w:sz w:val="16"/>
                <w:szCs w:val="16"/>
                <w:color w:val="auto"/>
              </w:rPr>
            </w:pPr>
          </w:p>
        </w:tc>
        <w:tc>
          <w:tcPr>
            <w:tcW w:w="57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Approximate date of commencement of proposed sale to the public:</w:t>
            </w:r>
          </w:p>
        </w:tc>
        <w:tc>
          <w:tcPr>
            <w:tcW w:w="1200" w:type="dxa"/>
            <w:vAlign w:val="bottom"/>
          </w:tcPr>
          <w:p>
            <w:pPr>
              <w:spacing w:after="0"/>
              <w:rPr>
                <w:sz w:val="16"/>
                <w:szCs w:val="16"/>
                <w:color w:val="auto"/>
              </w:rPr>
            </w:pPr>
          </w:p>
        </w:tc>
      </w:tr>
      <w:tr>
        <w:trPr>
          <w:trHeight w:val="189"/>
        </w:trPr>
        <w:tc>
          <w:tcPr>
            <w:tcW w:w="1580" w:type="dxa"/>
            <w:vAlign w:val="bottom"/>
          </w:tcPr>
          <w:p>
            <w:pPr>
              <w:spacing w:after="0"/>
              <w:rPr>
                <w:sz w:val="16"/>
                <w:szCs w:val="16"/>
                <w:color w:val="auto"/>
              </w:rPr>
            </w:pPr>
          </w:p>
        </w:tc>
        <w:tc>
          <w:tcPr>
            <w:tcW w:w="57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As soon as practicable after the effective date of this Registration Statement.</w:t>
            </w:r>
          </w:p>
        </w:tc>
        <w:tc>
          <w:tcPr>
            <w:tcW w:w="1200" w:type="dxa"/>
            <w:vAlign w:val="bottom"/>
          </w:tcPr>
          <w:p>
            <w:pPr>
              <w:spacing w:after="0"/>
              <w:rPr>
                <w:sz w:val="16"/>
                <w:szCs w:val="16"/>
                <w:color w:val="auto"/>
              </w:rPr>
            </w:pPr>
          </w:p>
        </w:tc>
      </w:tr>
    </w:tbl>
    <w:p>
      <w:pPr>
        <w:spacing w:after="0" w:line="25" w:lineRule="exact"/>
        <w:rPr>
          <w:sz w:val="24"/>
          <w:szCs w:val="24"/>
          <w:color w:val="auto"/>
        </w:rPr>
      </w:pPr>
    </w:p>
    <w:p>
      <w:pPr>
        <w:ind w:left="120" w:right="380" w:firstLine="330"/>
        <w:spacing w:after="0" w:line="16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3"/>
          <w:szCs w:val="13"/>
          <w:color w:val="auto"/>
        </w:rPr>
        <w:t>☒</w:t>
      </w:r>
    </w:p>
    <w:p>
      <w:pPr>
        <w:spacing w:after="0" w:line="11" w:lineRule="exact"/>
        <w:rPr>
          <w:sz w:val="24"/>
          <w:szCs w:val="24"/>
          <w:color w:val="auto"/>
        </w:rPr>
      </w:pPr>
    </w:p>
    <w:p>
      <w:pPr>
        <w:ind w:left="120" w:firstLine="330"/>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1" w:lineRule="exact"/>
        <w:rPr>
          <w:sz w:val="24"/>
          <w:szCs w:val="24"/>
          <w:color w:val="auto"/>
        </w:rPr>
      </w:pPr>
    </w:p>
    <w:p>
      <w:pPr>
        <w:ind w:left="120" w:right="440" w:firstLine="330"/>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1" w:lineRule="exact"/>
        <w:rPr>
          <w:sz w:val="24"/>
          <w:szCs w:val="24"/>
          <w:color w:val="auto"/>
        </w:rPr>
      </w:pPr>
    </w:p>
    <w:p>
      <w:pPr>
        <w:ind w:left="120" w:right="440" w:firstLine="330"/>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9" w:lineRule="exact"/>
        <w:rPr>
          <w:sz w:val="24"/>
          <w:szCs w:val="24"/>
          <w:color w:val="auto"/>
        </w:rPr>
      </w:pPr>
    </w:p>
    <w:p>
      <w:pPr>
        <w:ind w:left="120" w:right="120" w:firstLine="330"/>
        <w:spacing w:after="0" w:line="24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is a large accelerated filer, an accelerated filer, a non-accelerated filer, a smaller reporting company, or an emerging growth company. </w:t>
      </w:r>
      <w:r>
        <w:rPr>
          <w:rFonts w:ascii="Times New Roman" w:cs="Times New Roman" w:eastAsia="Times New Roman" w:hAnsi="Times New Roman"/>
          <w:sz w:val="13"/>
          <w:szCs w:val="13"/>
          <w:i w:val="1"/>
          <w:iCs w:val="1"/>
          <w:color w:val="auto"/>
        </w:rPr>
        <w:t>See</w:t>
      </w:r>
      <w:r>
        <w:rPr>
          <w:rFonts w:ascii="Times New Roman" w:cs="Times New Roman" w:eastAsia="Times New Roman" w:hAnsi="Times New Roman"/>
          <w:sz w:val="13"/>
          <w:szCs w:val="13"/>
          <w:color w:val="auto"/>
        </w:rPr>
        <w:t xml:space="preserve"> the definitions of “large accelerated filer,” “accelerated filer,” and “smaller reporting company,” and “emerging growth company” in Rule 12b-2 of the Exchange Act.</w:t>
      </w:r>
    </w:p>
    <w:p>
      <w:pPr>
        <w:spacing w:after="0" w:line="30"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1" w:lineRule="exact"/>
        <w:rPr>
          <w:sz w:val="24"/>
          <w:szCs w:val="24"/>
          <w:color w:val="auto"/>
        </w:rPr>
      </w:pPr>
    </w:p>
    <w:p>
      <w:pPr>
        <w:ind w:left="120" w:right="300" w:firstLine="33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4"/>
          <w:szCs w:val="24"/>
          <w:color w:val="auto"/>
        </w:rPr>
      </w:pPr>
    </w:p>
    <w:p>
      <w:pPr>
        <w:jc w:val="both"/>
        <w:ind w:left="120" w:right="60" w:firstLine="33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39" w:lineRule="exact"/>
        <w:rPr>
          <w:sz w:val="24"/>
          <w:szCs w:val="24"/>
          <w:color w:val="auto"/>
        </w:rPr>
      </w:pPr>
    </w:p>
    <w:p>
      <w:pPr>
        <w:ind w:left="340" w:right="480" w:hanging="224"/>
        <w:spacing w:after="0"/>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 Healthcare Holding LLC will convert into a corporation and will be renamed GE HealthCare Technologies Inc. prior to the completion of the Spin-Off (as defined in the prospectus accompanying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PRELIMINARY AND SUBJECT TO COMPLETION, DATED DECEMBER 14, 2022</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GE Healthcare Holding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GE Healthcare Holding LLC, which will convert into a corporation and will be renamed GE HealthCare Technologies Inc. prior to the completion of the Spin-Off (as defined below) (“GE HealthCare,” “we,” “us,” “our” or the “Company”), is offering shares of common stock of the Company that may be issued under the GE HealthCare Technologies Inc. Mirror 2022 Long-Term Incentive Plan, the GE HealthCare Technologies Inc. Mirror 2007 Long-Term Incentive Plan and the GE HealthCare Technologies Inc. Mirror 1990 Long-Term Incentive Plan (the “GE HealthCare Mirror LTIPs”) with respect to restricted stock unit awards (including any performance stock unit awards) denominated in shares of common stock of the Company received in conversion of a portion of outstanding restricted stock unit awards (including any performance stock unit awards) of General Electric Company (“GE”) that are held immediately prior to the Spin-Off by a corporate employee or former employee of GE or one of its subsidiaries who, in either case, is not subject to China State Administration of Foreign Exchange requirements or a resident of Vietnam. Each such award will be subject to the terms of the applicable GE HealthCare Mirror LTIP. GE HealthCare will not receive any proceeds from the issuance of shares of common stock of the Company in connection with any such awards. GE HealthCare is currently a wholly-owned subsidiary of GE. Following the Spin-Off, GE HealthCare will be a separate public company.</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is currently no trading market for GE HealthCare common stock. We expect a limited trading market, commonly known as a “when-issued” trading market, to develop on or prior to the record date for the Spin-Off, and we expect “regular-way” trading of GE HealthCare common stock to begin on the first trading day following the completion of the Spin-Off. GE HealthCare common stock has been approved for listing on The Nasdaq Stock Market LLC under the symbol “GEHC.”</w:t>
      </w:r>
    </w:p>
    <w:p>
      <w:pPr>
        <w:spacing w:after="0" w:line="167"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 reviewing this prospectus, you should carefully consider the matters described under the section titled “</w:t>
      </w:r>
      <w:r>
        <w:rPr>
          <w:rFonts w:ascii="Times New Roman" w:cs="Times New Roman" w:eastAsia="Times New Roman" w:hAnsi="Times New Roman"/>
          <w:sz w:val="22"/>
          <w:szCs w:val="22"/>
          <w:b w:val="1"/>
          <w:bCs w:val="1"/>
          <w:u w:val="single" w:color="auto"/>
          <w:color w:val="0000EE"/>
        </w:rPr>
        <w:t>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0000EE"/>
        </w:rPr>
        <w:t>Factors</w:t>
      </w:r>
      <w:r>
        <w:rPr>
          <w:rFonts w:ascii="Times New Roman" w:cs="Times New Roman" w:eastAsia="Times New Roman" w:hAnsi="Times New Roman"/>
          <w:sz w:val="22"/>
          <w:szCs w:val="22"/>
          <w:b w:val="1"/>
          <w:bCs w:val="1"/>
          <w:color w:val="0000EE"/>
        </w:rPr>
        <w:t xml:space="preserve"> </w:t>
      </w:r>
      <w:r>
        <w:rPr>
          <w:rFonts w:ascii="Times New Roman" w:cs="Times New Roman" w:eastAsia="Times New Roman" w:hAnsi="Times New Roman"/>
          <w:sz w:val="22"/>
          <w:szCs w:val="22"/>
          <w:b w:val="1"/>
          <w:bCs w:val="1"/>
          <w:color w:val="000000"/>
        </w:rPr>
        <w:t>” beginning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200660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446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100"/>
          </w:cols>
          <w:pgMar w:left="320" w:top="455" w:right="47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0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40" w:type="dxa"/>
            <w:vAlign w:val="bottom"/>
            <w:gridSpan w:val="5"/>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0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Trademarks and Copyrights</w:t>
            </w:r>
          </w:p>
        </w:tc>
        <w:tc>
          <w:tcPr>
            <w:tcW w:w="6580" w:type="dxa"/>
            <w:vAlign w:val="bottom"/>
            <w:gridSpan w:val="10"/>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Industry Information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9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Non-GAAP Financial Data</w:t>
            </w:r>
          </w:p>
        </w:tc>
        <w:tc>
          <w:tcPr>
            <w:tcW w:w="6620" w:type="dxa"/>
            <w:vAlign w:val="bottom"/>
            <w:gridSpan w:val="11"/>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04"/>
        </w:trPr>
        <w:tc>
          <w:tcPr>
            <w:tcW w:w="120" w:type="dxa"/>
            <w:vAlign w:val="bottom"/>
          </w:tcPr>
          <w:p>
            <w:pPr>
              <w:spacing w:after="0"/>
              <w:rPr>
                <w:sz w:val="24"/>
                <w:szCs w:val="24"/>
                <w:color w:val="auto"/>
              </w:rPr>
            </w:pPr>
          </w:p>
        </w:tc>
        <w:tc>
          <w:tcPr>
            <w:tcW w:w="1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Basis of Presentation</w:t>
            </w:r>
          </w:p>
        </w:tc>
        <w:tc>
          <w:tcPr>
            <w:tcW w:w="7060" w:type="dxa"/>
            <w:vAlign w:val="bottom"/>
            <w:gridSpan w:val="16"/>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15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060" w:type="dxa"/>
            <w:vAlign w:val="bottom"/>
            <w:gridSpan w:val="16"/>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4"/>
        </w:trPr>
        <w:tc>
          <w:tcPr>
            <w:tcW w:w="12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The Spin-Off</w:t>
            </w:r>
          </w:p>
        </w:tc>
        <w:tc>
          <w:tcPr>
            <w:tcW w:w="3600" w:type="dxa"/>
            <w:vAlign w:val="bottom"/>
            <w:tcBorders>
              <w:top w:val="single" w:sz="8" w:color="0000EE"/>
            </w:tcBorders>
            <w:gridSpan w:val="19"/>
          </w:tcPr>
          <w:p>
            <w:pPr>
              <w:spacing w:after="0"/>
              <w:rPr>
                <w:sz w:val="24"/>
                <w:szCs w:val="24"/>
                <w:color w:val="auto"/>
              </w:rPr>
            </w:pPr>
          </w:p>
        </w:tc>
        <w:tc>
          <w:tcPr>
            <w:tcW w:w="3980" w:type="dxa"/>
            <w:vAlign w:val="bottom"/>
            <w:gridSpan w:val="4"/>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Dividend Policy</w:t>
            </w:r>
          </w:p>
        </w:tc>
        <w:tc>
          <w:tcPr>
            <w:tcW w:w="7400" w:type="dxa"/>
            <w:vAlign w:val="bottom"/>
            <w:gridSpan w:val="20"/>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8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760" w:type="dxa"/>
            <w:vAlign w:val="bottom"/>
            <w:gridSpan w:val="3"/>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4"/>
        </w:trPr>
        <w:tc>
          <w:tcPr>
            <w:tcW w:w="120" w:type="dxa"/>
            <w:vAlign w:val="bottom"/>
          </w:tcPr>
          <w:p>
            <w:pPr>
              <w:spacing w:after="0"/>
              <w:rPr>
                <w:sz w:val="24"/>
                <w:szCs w:val="24"/>
                <w:color w:val="auto"/>
              </w:rPr>
            </w:pPr>
          </w:p>
        </w:tc>
        <w:tc>
          <w:tcPr>
            <w:tcW w:w="64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2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4"/>
        </w:trPr>
        <w:tc>
          <w:tcPr>
            <w:tcW w:w="12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Our Industries</w:t>
            </w:r>
          </w:p>
        </w:tc>
        <w:tc>
          <w:tcPr>
            <w:tcW w:w="7540" w:type="dxa"/>
            <w:vAlign w:val="bottom"/>
            <w:gridSpan w:val="22"/>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Our Business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120" w:type="dxa"/>
            <w:vAlign w:val="bottom"/>
          </w:tcPr>
          <w:p>
            <w:pPr>
              <w:spacing w:after="0"/>
              <w:rPr>
                <w:sz w:val="24"/>
                <w:szCs w:val="24"/>
                <w:color w:val="auto"/>
              </w:rPr>
            </w:pPr>
          </w:p>
        </w:tc>
        <w:tc>
          <w:tcPr>
            <w:tcW w:w="9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Management</w:t>
            </w:r>
          </w:p>
        </w:tc>
        <w:tc>
          <w:tcPr>
            <w:tcW w:w="60" w:type="dxa"/>
            <w:vAlign w:val="bottom"/>
            <w:tcBorders>
              <w:top w:val="single" w:sz="8" w:color="0000EE"/>
            </w:tcBorders>
          </w:tcPr>
          <w:p>
            <w:pPr>
              <w:spacing w:after="0"/>
              <w:rPr>
                <w:sz w:val="24"/>
                <w:szCs w:val="24"/>
                <w:color w:val="auto"/>
              </w:rPr>
            </w:pPr>
          </w:p>
        </w:tc>
        <w:tc>
          <w:tcPr>
            <w:tcW w:w="7580" w:type="dxa"/>
            <w:vAlign w:val="bottom"/>
            <w:gridSpan w:val="23"/>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04"/>
        </w:trPr>
        <w:tc>
          <w:tcPr>
            <w:tcW w:w="120" w:type="dxa"/>
            <w:vAlign w:val="bottom"/>
          </w:tcPr>
          <w:p>
            <w:pPr>
              <w:spacing w:after="0"/>
              <w:rPr>
                <w:sz w:val="24"/>
                <w:szCs w:val="24"/>
                <w:color w:val="auto"/>
              </w:rPr>
            </w:pPr>
          </w:p>
        </w:tc>
        <w:tc>
          <w:tcPr>
            <w:tcW w:w="17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Director Compensation</w:t>
            </w:r>
          </w:p>
        </w:tc>
        <w:tc>
          <w:tcPr>
            <w:tcW w:w="6880" w:type="dxa"/>
            <w:vAlign w:val="bottom"/>
            <w:gridSpan w:val="13"/>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304"/>
        </w:trPr>
        <w:tc>
          <w:tcPr>
            <w:tcW w:w="120" w:type="dxa"/>
            <w:vAlign w:val="bottom"/>
          </w:tcPr>
          <w:p>
            <w:pPr>
              <w:spacing w:after="0"/>
              <w:rPr>
                <w:sz w:val="24"/>
                <w:szCs w:val="24"/>
                <w:color w:val="auto"/>
              </w:rPr>
            </w:pPr>
          </w:p>
        </w:tc>
        <w:tc>
          <w:tcPr>
            <w:tcW w:w="18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6780" w:type="dxa"/>
            <w:vAlign w:val="bottom"/>
            <w:gridSpan w:val="12"/>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304"/>
        </w:trPr>
        <w:tc>
          <w:tcPr>
            <w:tcW w:w="120" w:type="dxa"/>
            <w:vAlign w:val="bottom"/>
          </w:tcPr>
          <w:p>
            <w:pPr>
              <w:spacing w:after="0"/>
              <w:rPr>
                <w:sz w:val="24"/>
                <w:szCs w:val="24"/>
                <w:color w:val="auto"/>
              </w:rPr>
            </w:pPr>
          </w:p>
        </w:tc>
        <w:tc>
          <w:tcPr>
            <w:tcW w:w="48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700" w:type="dxa"/>
            <w:vAlign w:val="bottom"/>
            <w:gridSpan w:val="2"/>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304"/>
        </w:trPr>
        <w:tc>
          <w:tcPr>
            <w:tcW w:w="1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Description of Our Capital Stock</w:t>
            </w:r>
          </w:p>
        </w:tc>
        <w:tc>
          <w:tcPr>
            <w:tcW w:w="1560" w:type="dxa"/>
            <w:vAlign w:val="bottom"/>
            <w:tcBorders>
              <w:top w:val="single" w:sz="8" w:color="0000EE"/>
            </w:tcBorders>
            <w:gridSpan w:val="4"/>
          </w:tcPr>
          <w:p>
            <w:pPr>
              <w:spacing w:after="0"/>
              <w:rPr>
                <w:sz w:val="24"/>
                <w:szCs w:val="24"/>
                <w:color w:val="auto"/>
              </w:rPr>
            </w:pPr>
          </w:p>
        </w:tc>
        <w:tc>
          <w:tcPr>
            <w:tcW w:w="4640" w:type="dxa"/>
            <w:vAlign w:val="bottom"/>
            <w:gridSpan w:val="5"/>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Federal Income Tax Consequences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304"/>
        </w:trPr>
        <w:tc>
          <w:tcPr>
            <w:tcW w:w="120" w:type="dxa"/>
            <w:vAlign w:val="bottom"/>
          </w:tcPr>
          <w:p>
            <w:pPr>
              <w:spacing w:after="0"/>
              <w:rPr>
                <w:sz w:val="24"/>
                <w:szCs w:val="24"/>
                <w:color w:val="auto"/>
              </w:rPr>
            </w:pPr>
          </w:p>
        </w:tc>
        <w:tc>
          <w:tcPr>
            <w:tcW w:w="25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6080" w:type="dxa"/>
            <w:vAlign w:val="bottom"/>
            <w:gridSpan w:val="7"/>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Certain Legal Matters</w:t>
            </w:r>
          </w:p>
        </w:tc>
        <w:tc>
          <w:tcPr>
            <w:tcW w:w="7000" w:type="dxa"/>
            <w:vAlign w:val="bottom"/>
            <w:gridSpan w:val="15"/>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Experts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Change in Accountants</w:t>
            </w:r>
          </w:p>
        </w:tc>
        <w:tc>
          <w:tcPr>
            <w:tcW w:w="6900" w:type="dxa"/>
            <w:vAlign w:val="bottom"/>
            <w:gridSpan w:val="14"/>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304"/>
        </w:trPr>
        <w:tc>
          <w:tcPr>
            <w:tcW w:w="12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304"/>
        </w:trPr>
        <w:tc>
          <w:tcPr>
            <w:tcW w:w="120" w:type="dxa"/>
            <w:vAlign w:val="bottom"/>
          </w:tcPr>
          <w:p>
            <w:pPr>
              <w:spacing w:after="0"/>
              <w:rPr>
                <w:sz w:val="24"/>
                <w:szCs w:val="24"/>
                <w:color w:val="auto"/>
              </w:rPr>
            </w:pPr>
          </w:p>
        </w:tc>
        <w:tc>
          <w:tcPr>
            <w:tcW w:w="28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Index to the Financial Statements</w:t>
            </w:r>
          </w:p>
        </w:tc>
        <w:tc>
          <w:tcPr>
            <w:tcW w:w="5720" w:type="dxa"/>
            <w:vAlign w:val="bottom"/>
            <w:gridSpan w:val="6"/>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85"/>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78"/>
              </w:rPr>
              <w:t>i</w:t>
            </w:r>
          </w:p>
        </w:tc>
        <w:tc>
          <w:tcPr>
            <w:tcW w:w="238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TRADEMARKS AND COPYRIGHTS</w:t>
      </w:r>
    </w:p>
    <w:p>
      <w:pPr>
        <w:spacing w:after="0" w:line="229" w:lineRule="exact"/>
        <w:rPr>
          <w:sz w:val="20"/>
          <w:szCs w:val="20"/>
          <w:color w:val="auto"/>
        </w:rPr>
      </w:pPr>
    </w:p>
    <w:p>
      <w:pPr>
        <w:ind w:left="120" w:right="100" w:firstLine="440"/>
        <w:spacing w:after="0" w:line="233" w:lineRule="auto"/>
        <w:rPr>
          <w:sz w:val="20"/>
          <w:szCs w:val="20"/>
          <w:color w:val="auto"/>
        </w:rPr>
      </w:pPr>
      <w:r>
        <w:rPr>
          <w:rFonts w:ascii="Times New Roman" w:cs="Times New Roman" w:eastAsia="Times New Roman" w:hAnsi="Times New Roman"/>
          <w:sz w:val="18"/>
          <w:szCs w:val="18"/>
          <w:color w:val="auto"/>
        </w:rPr>
        <w:t xml:space="preserve">“GE HealthCare” and the GE Monogram Logo are trademarks of the General Electric Company. Logos, trademarks, service marks, trade names, and copyrights referred to in this prospectus belong to us or are licensed for our use. Solely for convenience, we refer to our intellectual property assets in this prospectus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that we will not assert, to the fullest extent under applicable law, our rights to our intellectual property assets. Other logos, trademarks, service marks, trade names, and copyrights referred to in this prospectus are the property of their respective owners. In particular, Edison is a trademark licensed to us from the Charles Edison Fund.</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various historical and projected information concerning our industry, the markets in which we participate, and our positions in these markets. Some of this information is from industry publications and other third-party sources, and other information is from our own analysis of data received from these third-party sources, our own internal data, and market research that our management team commissions for our own evaluations and planning, including from Signify Research. All of this information involves a variety of assumptions, limitations, and methodologies and is inherently subject to uncertainties, and therefore you are cautioned not to give undue weight to these estimates.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NON-GAAP FINANCIAL DATA</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All financial information presented in this prospectus is derived from the combined financial statements of the Company included elsewhere in this prospectus. All financial information presented in this prospectus has been prepared in U.S. Dollars in accordance with generally accepted accounting principles in the United States of America (“U.S. GAAP”), except for the presentation of the following non-GAAP financial measures: Organic revenue, Organic revenue growth rate, Adjusted EBIT, Adjusted EBIT margin, Adjusted net income, and Free cash flow.</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present Organic revenue, Organic revenue growth rate, Adjusted EBIT, Adjusted EBIT margin, Adjusted net income, and Free cash flow in this prospectus because we believe such measures provide investors with additional information to measure our performance. Please refer to “Management’s Discussion and Analysis of Financial Condition and Results of Operations—Non-GAAP Financial Measures” for an explanation on why we use these non-GAAP financial measures, their definitions, and their limitations.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Because of their limitations, these non-GAAP financial measures are not intended as alternatives to U.S. GAAP financial measures as indicators of our operating performance and should not be considered as measures of cash available to us to invest in the growth of our business or that will be available to us to meet our obligations. We compensate for these limitations by using these non-GAAP financial measures along with other comparative tools, together with U.S. GAAP financial measures, to assist in the evaluation of operating performance.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 more information on the use of Organic revenue, Organic revenue growth rate, Adjusted EBIT, Adjusted EBIT margin, Adjusted net income, and Free cash flow and reconciliations to their nearest U.S. GAAP financial measures, see “Prospectus Summary—Summary Historical and Unaudited Pro Forma Condensed Combined Financial Information” and “Management’s Discussion and Analysis of Financial Condition and Results of Operations—Non-GAAP Financial Measures.”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w:t>
      </w:r>
    </w:p>
    <w:p>
      <w:pPr>
        <w:spacing w:after="0" w:line="117" w:lineRule="exact"/>
        <w:rPr>
          <w:sz w:val="20"/>
          <w:szCs w:val="20"/>
          <w:color w:val="auto"/>
        </w:rPr>
      </w:pPr>
    </w:p>
    <w:p>
      <w:pPr>
        <w:ind w:left="560" w:right="60" w:firstLine="419"/>
        <w:spacing w:after="0" w:line="266" w:lineRule="auto"/>
        <w:tabs>
          <w:tab w:leader="none" w:pos="13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 HealthCare,” “we,” “us,” and “our” refer to GE Healthcare Holding LLC (a newly formed holding company) and its direct and indirect subsidiaries after giving effect to the Spin-Off. GE HealthCare will convert into a corporation and will be renamed GE HealthCare Technologies Inc. prior to the completion of the Spin-Off;</w:t>
      </w:r>
    </w:p>
    <w:p>
      <w:pPr>
        <w:spacing w:after="0" w:line="67"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“our Board” refers to the board of directors of the Company;</w:t>
      </w:r>
    </w:p>
    <w:p>
      <w:pPr>
        <w:spacing w:after="0" w:line="117" w:lineRule="exact"/>
        <w:rPr>
          <w:rFonts w:ascii="Times New Roman" w:cs="Times New Roman" w:eastAsia="Times New Roman" w:hAnsi="Times New Roman"/>
          <w:sz w:val="18"/>
          <w:szCs w:val="18"/>
          <w:color w:val="auto"/>
        </w:rPr>
      </w:pPr>
    </w:p>
    <w:p>
      <w:pPr>
        <w:ind w:left="560" w:right="380" w:firstLine="419"/>
        <w:spacing w:after="0" w:line="282" w:lineRule="auto"/>
        <w:tabs>
          <w:tab w:leader="none" w:pos="14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refers to our bylaws that will become effective as part of the Spin-Off, the form of which is filed as an exhibit to the registration statement on Form S-1 to which this prospectus forms a part;</w:t>
      </w:r>
    </w:p>
    <w:p>
      <w:pPr>
        <w:spacing w:after="0" w:line="53" w:lineRule="exact"/>
        <w:rPr>
          <w:rFonts w:ascii="Times New Roman" w:cs="Times New Roman" w:eastAsia="Times New Roman" w:hAnsi="Times New Roman"/>
          <w:sz w:val="18"/>
          <w:szCs w:val="18"/>
          <w:color w:val="auto"/>
        </w:rPr>
      </w:pPr>
    </w:p>
    <w:p>
      <w:pPr>
        <w:ind w:left="560" w:right="180" w:firstLine="419"/>
        <w:spacing w:after="0" w:line="282" w:lineRule="auto"/>
        <w:tabs>
          <w:tab w:leader="none" w:pos="14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refers to our certificate of incorporation that will become effective as part of the Spin-Off, the form of which is filed as an exhibit to the registration statement on Form S-1 to which this prospectus forms a part;</w:t>
      </w:r>
    </w:p>
    <w:p>
      <w:pPr>
        <w:spacing w:after="0" w:line="53"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refers to the transaction in which GE will distribute to its stockholders at least 80.1% of the shares of our common</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98"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refers to The Nasdaq Stock Market LLC;</w:t>
      </w:r>
    </w:p>
    <w:p>
      <w:pPr>
        <w:spacing w:after="0" w:line="117" w:lineRule="exact"/>
        <w:rPr>
          <w:rFonts w:ascii="Times New Roman" w:cs="Times New Roman" w:eastAsia="Times New Roman" w:hAnsi="Times New Roman"/>
          <w:sz w:val="18"/>
          <w:szCs w:val="18"/>
          <w:color w:val="auto"/>
        </w:rPr>
      </w:pPr>
    </w:p>
    <w:p>
      <w:pPr>
        <w:ind w:left="1460" w:hanging="481"/>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refers to General Electric Company and its direct and indirect subsidiaries;</w:t>
      </w:r>
    </w:p>
    <w:p>
      <w:pPr>
        <w:spacing w:after="0" w:line="117" w:lineRule="exact"/>
        <w:rPr>
          <w:rFonts w:ascii="Times New Roman" w:cs="Times New Roman" w:eastAsia="Times New Roman" w:hAnsi="Times New Roman"/>
          <w:sz w:val="18"/>
          <w:szCs w:val="18"/>
          <w:color w:val="auto"/>
        </w:rPr>
      </w:pPr>
    </w:p>
    <w:p>
      <w:pPr>
        <w:ind w:left="1520" w:hanging="541"/>
        <w:spacing w:after="0"/>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 Board” refers to the board of directors of GE;</w:t>
      </w:r>
    </w:p>
    <w:p>
      <w:pPr>
        <w:spacing w:after="0" w:line="117"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refers to shareholders of GE or stockholders of GE HealthCare, depending on the context;</w:t>
      </w:r>
    </w:p>
    <w:p>
      <w:pPr>
        <w:spacing w:after="0" w:line="117" w:lineRule="exact"/>
        <w:rPr>
          <w:rFonts w:ascii="Times New Roman" w:cs="Times New Roman" w:eastAsia="Times New Roman" w:hAnsi="Times New Roman"/>
          <w:sz w:val="18"/>
          <w:szCs w:val="18"/>
          <w:color w:val="auto"/>
        </w:rPr>
      </w:pPr>
    </w:p>
    <w:p>
      <w:pPr>
        <w:ind w:left="560" w:firstLine="419"/>
        <w:spacing w:after="0" w:line="282" w:lineRule="auto"/>
        <w:tabs>
          <w:tab w:leader="none" w:pos="13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refer to a series of internal reorganization transactions that GE will undertake prior to, at, or after the Spin-Off, pursuant to which, among other transactions, GE HealthCare will hold, through its subsidiaries, GE’s Healthcare business; and</w:t>
      </w:r>
    </w:p>
    <w:p>
      <w:pPr>
        <w:spacing w:after="0" w:line="53"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business” refers to GE’s healthcare business.</w:t>
      </w:r>
    </w:p>
    <w:p>
      <w:pPr>
        <w:spacing w:after="0" w:line="225"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Certain percentages and other figures provided and used in this prospectus may not add up to 100.0% due to the rounding of individual components.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November 9, 2021, GE announced its plans to form three industry-leading, global, investment-grade public companies from (i) GE’s aviation business (“GE Aerospace”), (ii) GE HealthCare, and (iii) GE’s combined renewable energy, power, and digital businesses (“GE Vernova”). To accomplish this, GE announced that it intends to execute tax-free spin-offs of GE HealthCare in early 2023 and of GE Vernova in early 2024. This second spin-off transaction is separate from, and not conditioned on, the Spin-Off of GE HealthCare.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this prospectus, we present estimated U.S. dollar amounts for the industries in which we operate. Such amounts are based on estimates of (1)(a) orders placed in the last fiscal year across all product categories we offer in the relevant industry or (b) for jurisdictions for which order data are not available, actual sales completed in the last fiscal year across all such products, plus (2) estimates for revenues derived from annual service and digital offerings for such products. To calculate these estimates, we rely on Signify Research for digital solutions estimates and on internal analyses, based upon import data, trade association data, and other sources, for the remaining estimates.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2022, GE has 5,835,763 outstanding shares of preferred stock. Holders of preferred stock are not entitled by virtue of their preferred stock to receive shares of our common stock in the Spin-Off. Holders of GE preferred stock are not entitled to vote or take any other action to approve the Spin-Off. Following the Spin-Off, each of the issued and outstanding shares of GE preferred stock will remain issued and outstanding as preferred stock of GE. These shares of GE preferred stock shall be entitled to the same dividend and all other privileges, voting rights, relative, participating, optional, and other special rights and qualifications, limitations, and restrictions set forth in GE’s public filings with the SEC.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reverse stock split of GE’s shares of common stock effective on July 30, 2021, the holders of GE share certificates were notified to surrender their GE share certificates in order to receive one post-split share of GE common stock in exchange for eight pre-split shares of GE common stock. Holders of GE common stock in certificated form are encouraged to contact Equiniti Trust Company, GE’s exchange agent for the reverse stock split, in order to exchange their GE share certificates representing pre-split shares of GE common stock for a statement indicating the number of shares of post-split GE common stock held electronically in book-entry form together with a check for cash in lieu of any fractional shares.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combined financial statements and the related notes thereto included in this prospectus. Some of the statements in the following summary constitute forward-looking statements. See “Cautionary Statement Concerning Forward-Looking Statements.”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GE HealthCare is a leading global medical technology, pharmaceutical diagnostics, and digital solutions innovator. We have approximately 51,000 employees dedicated to our mission to create a world where healthcare has no limits. We operate at the center of the healthcare ecosystem, enabling precision health by increasing health system capacity, enhancing productivity, digitizing healthcare delivery, and improving clinical outcomes while serving patients’ demand for greater efficiency, access, and personalized medicine. Our products, services, and solutions enable clinicians to make more informed decisions quickly and efficiently, improving patient care from diagnosis to therapy to monitoring.</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have more than 125 years of experience and one of the strongest reputations in the global healthcare industry, built from our demonstrated record of delivering industry-defining innovation and complemented by our broad service capabilities and dedication to quality and integrity with a strong operational culture, deeply embedded in lean and focused on continuous improvement. Today, the transition to a data-driven healthcare ecosystem is about improving outcomes by finding new ways to reach and treat patients, while creating capacity for providers, and making precision health a reality. Our portfolio of solutions addresses the biggest challenges facing healthcare providers and patients today and is complemented by our broad services capabilities and digital solutions. These qualities drive strong trust, loyalty, and partnership with our global customers, including healthcare systems and researchers.</w:t>
      </w:r>
    </w:p>
    <w:p>
      <w:pPr>
        <w:spacing w:after="0" w:line="189" w:lineRule="exact"/>
        <w:rPr>
          <w:sz w:val="20"/>
          <w:szCs w:val="20"/>
          <w:color w:val="auto"/>
        </w:rPr>
      </w:pPr>
    </w:p>
    <w:p>
      <w:pPr>
        <w:jc w:val="both"/>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customers are healthcare providers and researchers, including public, private, and academic institutions, across an estimated $84 billion global industry growing at a rate of 4-6% annually through 2025. We are organized into four business segments that are aligned with the industries we serve:</w:t>
      </w:r>
    </w:p>
    <w:p>
      <w:pPr>
        <w:spacing w:after="0" w:line="77" w:lineRule="exact"/>
        <w:rPr>
          <w:sz w:val="20"/>
          <w:szCs w:val="20"/>
          <w:color w:val="auto"/>
        </w:rPr>
      </w:pPr>
    </w:p>
    <w:p>
      <w:pPr>
        <w:ind w:left="1240" w:right="600" w:hanging="415"/>
        <w:spacing w:after="0" w:line="28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Imaging</w:t>
      </w:r>
      <w:r>
        <w:rPr>
          <w:rFonts w:ascii="Times New Roman" w:cs="Times New Roman" w:eastAsia="Times New Roman" w:hAnsi="Times New Roman"/>
          <w:sz w:val="18"/>
          <w:szCs w:val="18"/>
          <w:color w:val="auto"/>
        </w:rPr>
        <w:t>: portfolio of medical imaging solutions including CT, MR, molecular imaging, X-ray, women’s health, image-guided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therapies, enterprise imaging software, service capabilities, and digital solutions;</w:t>
      </w:r>
    </w:p>
    <w:p>
      <w:pPr>
        <w:spacing w:after="0" w:line="60" w:lineRule="exact"/>
        <w:rPr>
          <w:rFonts w:ascii="Times New Roman" w:cs="Times New Roman" w:eastAsia="Times New Roman" w:hAnsi="Times New Roman"/>
          <w:sz w:val="18"/>
          <w:szCs w:val="18"/>
          <w:color w:val="auto"/>
        </w:rPr>
      </w:pPr>
    </w:p>
    <w:p>
      <w:pPr>
        <w:ind w:left="1240" w:right="540" w:hanging="415"/>
        <w:spacing w:after="0" w:line="28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Ultrasound</w:t>
      </w:r>
      <w:r>
        <w:rPr>
          <w:rFonts w:ascii="Times New Roman" w:cs="Times New Roman" w:eastAsia="Times New Roman" w:hAnsi="Times New Roman"/>
          <w:sz w:val="18"/>
          <w:szCs w:val="18"/>
          <w:color w:val="auto"/>
        </w:rPr>
        <w:t>: ultrasound consoles and probes, handheld devices, intraoperative imaging systems, visualization software,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and digital solutions;</w:t>
      </w:r>
    </w:p>
    <w:p>
      <w:pPr>
        <w:spacing w:after="0" w:line="60" w:lineRule="exact"/>
        <w:rPr>
          <w:rFonts w:ascii="Times New Roman" w:cs="Times New Roman" w:eastAsia="Times New Roman" w:hAnsi="Times New Roman"/>
          <w:sz w:val="18"/>
          <w:szCs w:val="18"/>
          <w:color w:val="auto"/>
        </w:rPr>
      </w:pPr>
    </w:p>
    <w:p>
      <w:pPr>
        <w:ind w:left="1240" w:right="20" w:hanging="415"/>
        <w:spacing w:after="0" w:line="28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Patient Care Solutions</w:t>
      </w:r>
      <w:r>
        <w:rPr>
          <w:rFonts w:ascii="Times New Roman" w:cs="Times New Roman" w:eastAsia="Times New Roman" w:hAnsi="Times New Roman"/>
          <w:sz w:val="18"/>
          <w:szCs w:val="18"/>
          <w:color w:val="auto"/>
        </w:rPr>
        <w:t>: monitoring, anesthesia and respiratory care, maternal infant care, and diagnostic cardiology solutions,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consumables, service capabilities, and digital solutions; and</w:t>
      </w:r>
    </w:p>
    <w:p>
      <w:pPr>
        <w:spacing w:after="0" w:line="6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Pharmaceutical Diagnostics</w:t>
      </w:r>
      <w:r>
        <w:rPr>
          <w:rFonts w:ascii="Times New Roman" w:cs="Times New Roman" w:eastAsia="Times New Roman" w:hAnsi="Times New Roman"/>
          <w:sz w:val="18"/>
          <w:szCs w:val="18"/>
          <w:color w:val="auto"/>
        </w:rPr>
        <w:t>: imaging agents that include contrast media and radiopharmaceuticals that enhance diagnostic images.</w:t>
      </w:r>
    </w:p>
    <w:p>
      <w:pPr>
        <w:spacing w:after="0" w:line="229"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GE HealthCare has extensive reach throughout the global healthcare system for medical technology, pharmaceutical diagnostics, and digital solutions, underpinned by resilient, sustainable practices and products, and a commitment to growing access to care. Our products are used in more than two billion procedures to care for more than one billion patients annually. We have a global installed base of more than four million medical devices and we delivered over 100 million doses of imaging agents used in patient procedures in 2021. We serve customers in more than 160 countries with a global team of over 10,000 sales professionals, 8,500 field service engineers, and a network of 43 manufacturing sites across 17 countries.</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56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medical devices, single-use and consumable products, service capabilities, and digital solutions. We have established leading positions in each of our business segments by developing broad portfolios of advanced medical technologies and lifecycle services. Technological innovation drives the success of our business segments. For most of our product lines, we aim to introduce a major new platform every five to seven years and release incremental innovations every 12 to 18 months, driving better products for customers, better outcomes for patients, and our continued growth. With each new platform and incremental product introduction, our goal is to improve the performance, quality, and customer experience of our offerings through:</w:t>
      </w:r>
    </w:p>
    <w:p>
      <w:pPr>
        <w:spacing w:after="0" w:line="89" w:lineRule="exact"/>
        <w:rPr>
          <w:sz w:val="20"/>
          <w:szCs w:val="20"/>
          <w:color w:val="auto"/>
        </w:rPr>
      </w:pPr>
    </w:p>
    <w:p>
      <w:pPr>
        <w:ind w:left="1240" w:hanging="415"/>
        <w:spacing w:after="0" w:line="26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Customer-Driven Innovation</w:t>
      </w:r>
      <w:r>
        <w:rPr>
          <w:rFonts w:ascii="Times New Roman" w:cs="Times New Roman" w:eastAsia="Times New Roman" w:hAnsi="Times New Roman"/>
          <w:sz w:val="18"/>
          <w:szCs w:val="18"/>
          <w:color w:val="auto"/>
        </w:rPr>
        <w:t>: our deep understanding of customer needs is informed by our position at the center of many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therapeutic care pathways, such as cardiology, oncology, and neurology, that allows us to deliver differentiated products across the large and growing industries we serve.</w:t>
      </w:r>
    </w:p>
    <w:p>
      <w:pPr>
        <w:spacing w:after="0" w:line="76" w:lineRule="exact"/>
        <w:rPr>
          <w:rFonts w:ascii="Times New Roman" w:cs="Times New Roman" w:eastAsia="Times New Roman" w:hAnsi="Times New Roman"/>
          <w:sz w:val="18"/>
          <w:szCs w:val="18"/>
          <w:color w:val="auto"/>
        </w:rPr>
      </w:pPr>
    </w:p>
    <w:p>
      <w:pPr>
        <w:ind w:left="1240" w:right="120" w:hanging="415"/>
        <w:spacing w:after="0" w:line="26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Industry-Leading Service Capabilities</w:t>
      </w:r>
      <w:r>
        <w:rPr>
          <w:rFonts w:ascii="Times New Roman" w:cs="Times New Roman" w:eastAsia="Times New Roman" w:hAnsi="Times New Roman"/>
          <w:sz w:val="18"/>
          <w:szCs w:val="18"/>
          <w:color w:val="auto"/>
        </w:rPr>
        <w:t>: at the foundation of our strong customer relationships are our industry-leading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which include maintenance, on-site install and repair, preventative maintenance, remote monitoring and repair capabilities, equipment and software upgrades, financing solutions, end-user training, multi-vendor services, cybersecurity services, remote equipment tracking, and enterprise-wide consulting.</w:t>
      </w:r>
    </w:p>
    <w:p>
      <w:pPr>
        <w:spacing w:after="0" w:line="81" w:lineRule="exact"/>
        <w:rPr>
          <w:rFonts w:ascii="Times New Roman" w:cs="Times New Roman" w:eastAsia="Times New Roman" w:hAnsi="Times New Roman"/>
          <w:sz w:val="18"/>
          <w:szCs w:val="18"/>
          <w:color w:val="auto"/>
        </w:rPr>
      </w:pPr>
    </w:p>
    <w:p>
      <w:pPr>
        <w:ind w:left="1240" w:right="80" w:hanging="415"/>
        <w:spacing w:after="0" w:line="25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Integrated Digital Solutions</w:t>
      </w:r>
      <w:r>
        <w:rPr>
          <w:rFonts w:ascii="Times New Roman" w:cs="Times New Roman" w:eastAsia="Times New Roman" w:hAnsi="Times New Roman"/>
          <w:sz w:val="18"/>
          <w:szCs w:val="18"/>
          <w:color w:val="auto"/>
        </w:rPr>
        <w:t>: we are a leading innovator of digital solutions, delivering clinical decision support, simplifying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providing advanced visualization of complex anatomy, enhancing clinical collaboration, and integrating clinical insights across multiple diagnostic modalities. We have allocated significant resources to digital innovation, including artificial intelligence (“AI”) and machine learning, as we advance precision health with over 200 software applications. For example, our Edison software platform was created to efficiently aggregate and integrate clinical data to help customers deploy and scale their digital solutions across departments and health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53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73" w:lineRule="auto"/>
        <w:rPr>
          <w:sz w:val="20"/>
          <w:szCs w:val="20"/>
          <w:color w:val="auto"/>
        </w:rPr>
      </w:pPr>
      <w:r>
        <w:rPr>
          <w:rFonts w:ascii="Times New Roman" w:cs="Times New Roman" w:eastAsia="Times New Roman" w:hAnsi="Times New Roman"/>
          <w:sz w:val="17"/>
          <w:szCs w:val="17"/>
          <w:color w:val="auto"/>
        </w:rPr>
        <w:t>Our end markets are transforming as healthcare providers and researchers seek solutions, data, and tools to enable the delivery of precision health. More precise diagnoses and treatments can help improve patient outcomes, support management of the increasing global incidence of chronic disease, and may reduce health system cost. Precision health is expected to drive continued demand and opportunity for novel technologies and future innovation, as healthcare providers and researchers seek new solutions and tools for managing existing and new care pathways. The pursuit of precision health opportunities significantly expands our served industries to include integrated diagnostics, AI and machine learning-based clinical decision support, highly personalized therapies enabled by more precise diagnostics, and remote patient monitoring. The scale and breadth of our portfolio, combined with our innovation capabilities, position us to be a leading enabler of precision health.</w:t>
      </w:r>
    </w:p>
    <w:p>
      <w:pPr>
        <w:spacing w:after="0" w:line="171" w:lineRule="exact"/>
        <w:rPr>
          <w:sz w:val="20"/>
          <w:szCs w:val="20"/>
          <w:color w:val="auto"/>
        </w:rPr>
      </w:pPr>
    </w:p>
    <w:p>
      <w:pPr>
        <w:ind w:left="300" w:firstLine="426"/>
        <w:spacing w:after="0" w:line="202" w:lineRule="auto"/>
        <w:rPr>
          <w:sz w:val="20"/>
          <w:szCs w:val="20"/>
          <w:color w:val="auto"/>
        </w:rPr>
      </w:pPr>
      <w:r>
        <w:rPr>
          <w:rFonts w:ascii="Times New Roman" w:cs="Times New Roman" w:eastAsia="Times New Roman" w:hAnsi="Times New Roman"/>
          <w:sz w:val="18"/>
          <w:szCs w:val="18"/>
          <w:color w:val="auto"/>
        </w:rPr>
        <w:t>In 2021, we generated Total revenues of $17,585 million representing 2% growth as reported and 1% Organic revenue 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2020, Operating income of $2,795 million, and 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of $3,172 million, representing growth of 3% and 6% from 2020, respectively. In 2021, we generated $1,607 million in cash from operations and $2,827 million in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representing an annual decrease of 39% and increase of 15% over the prior year, respectively. Our strong revenue visibility and attractive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generation allow us to regularly invest in strategic growth initiatives and innovation. For more information on the computation of non-GAAP financial measures, see “Non-GAAP Financial Data” and “Management’s Discussion and Analysis of Financial Condition and Results of Operations—Non-GAAP Financial Measures.” See also “Summary Historical and Unaudited Pro Forma Condensed Combined Financial Information” and “Risk Factors—Risks Relating to the Spin-Off.”</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Industries</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The breadth of our product portfolio and global presence supports an estimated $84 billion total addressable opportunity across the industries our four business segments serve. Our industries are experiencing macro trends that we expect to continue to drive sustainable long-term growth in the demand for medical technology, pharmaceutical diagnostics, and healthcare solutions. We expect to benefit from many of these trends as our portfolio of solutions directly addresses many of the challenges and opportunities facing our customers today. As a stand-alone company, we will accelerate investments in R&amp;D and innovation in areas where we see the most compelling growth opportunities, enhancing our competitive advantages.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Macro Healthcare Trends</w:t>
      </w:r>
    </w:p>
    <w:p>
      <w:pPr>
        <w:spacing w:after="0" w:line="131" w:lineRule="exact"/>
        <w:rPr>
          <w:sz w:val="20"/>
          <w:szCs w:val="20"/>
          <w:color w:val="auto"/>
        </w:rPr>
      </w:pPr>
    </w:p>
    <w:p>
      <w:pPr>
        <w:ind w:left="1240" w:right="40" w:hanging="415"/>
        <w:spacing w:after="0" w:line="268"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adoption of precision health</w:t>
      </w:r>
      <w:r>
        <w:rPr>
          <w:rFonts w:ascii="Times New Roman" w:cs="Times New Roman" w:eastAsia="Times New Roman" w:hAnsi="Times New Roman"/>
          <w:sz w:val="18"/>
          <w:szCs w:val="18"/>
          <w:color w:val="auto"/>
        </w:rPr>
        <w:t>. Patients and providers are increasingly recognizing the power of precision health to improve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outcomes while enhancing the patient experience, containing costs, customizing care, and improving provider efficiency by lowering the amount of time required to treat patients.</w:t>
      </w:r>
    </w:p>
    <w:p>
      <w:pPr>
        <w:spacing w:after="0" w:line="76" w:lineRule="exact"/>
        <w:rPr>
          <w:rFonts w:ascii="Times New Roman" w:cs="Times New Roman" w:eastAsia="Times New Roman" w:hAnsi="Times New Roman"/>
          <w:sz w:val="18"/>
          <w:szCs w:val="18"/>
          <w:color w:val="auto"/>
        </w:rPr>
      </w:pPr>
    </w:p>
    <w:p>
      <w:pPr>
        <w:ind w:left="1240" w:right="120" w:hanging="415"/>
        <w:spacing w:after="0" w:line="268"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Digitization of healthcare</w:t>
      </w:r>
      <w:r>
        <w:rPr>
          <w:rFonts w:ascii="Times New Roman" w:cs="Times New Roman" w:eastAsia="Times New Roman" w:hAnsi="Times New Roman"/>
          <w:sz w:val="18"/>
          <w:szCs w:val="18"/>
          <w:color w:val="auto"/>
        </w:rPr>
        <w:t>. Valuable healthcare data is increasingly being used to improve care across disease states, enhance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of clinicians to diagnose and treat patients, and improve clinical workflow efficiencies, often assisted by software applications that utilize AI and machine learning technologies.</w:t>
      </w:r>
    </w:p>
    <w:p>
      <w:pPr>
        <w:spacing w:after="0" w:line="76" w:lineRule="exact"/>
        <w:rPr>
          <w:rFonts w:ascii="Times New Roman" w:cs="Times New Roman" w:eastAsia="Times New Roman" w:hAnsi="Times New Roman"/>
          <w:sz w:val="18"/>
          <w:szCs w:val="18"/>
          <w:color w:val="auto"/>
        </w:rPr>
      </w:pPr>
    </w:p>
    <w:p>
      <w:pPr>
        <w:ind w:left="1240" w:right="480" w:hanging="415"/>
        <w:spacing w:after="0" w:line="268"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Increasing demand for healthcare driven by demographic trends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increasing global demand for healthcare is driven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growth, an increasing proportion of the population over the age of 65, and the increasing prevalence and treatment of chronic diseases.</w:t>
      </w:r>
    </w:p>
    <w:p>
      <w:pPr>
        <w:spacing w:after="0" w:line="76" w:lineRule="exact"/>
        <w:rPr>
          <w:rFonts w:ascii="Times New Roman" w:cs="Times New Roman" w:eastAsia="Times New Roman" w:hAnsi="Times New Roman"/>
          <w:sz w:val="18"/>
          <w:szCs w:val="18"/>
          <w:color w:val="auto"/>
        </w:rPr>
      </w:pPr>
    </w:p>
    <w:p>
      <w:pPr>
        <w:ind w:left="1240" w:right="300" w:hanging="415"/>
        <w:spacing w:after="0" w:line="286"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Improving access to healthcare in emerging markets</w:t>
      </w:r>
      <w:r>
        <w:rPr>
          <w:rFonts w:ascii="Times New Roman" w:cs="Times New Roman" w:eastAsia="Times New Roman" w:hAnsi="Times New Roman"/>
          <w:sz w:val="18"/>
          <w:szCs w:val="18"/>
          <w:color w:val="auto"/>
        </w:rPr>
        <w:t>. The growing middle class in many of these markets is helping to drive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and private sector investment in healthcare systems and medical technology.</w:t>
      </w:r>
    </w:p>
    <w:p>
      <w:pPr>
        <w:spacing w:after="0" w:line="13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Non-GAAP financial measure.</w:t>
      </w:r>
    </w:p>
    <w:p>
      <w:pPr>
        <w:spacing w:after="0" w:line="2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right="660" w:hanging="415"/>
        <w:spacing w:after="0" w:line="28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Expansion of alternative sites of care. </w:t>
      </w:r>
      <w:r>
        <w:rPr>
          <w:rFonts w:ascii="Times New Roman" w:cs="Times New Roman" w:eastAsia="Times New Roman" w:hAnsi="Times New Roman"/>
          <w:sz w:val="18"/>
          <w:szCs w:val="18"/>
          <w:color w:val="auto"/>
        </w:rPr>
        <w:t>The delivery of care in lower acuity settings is one of the fastest growing trends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industry, driven by lower operating costs and expanding access to more of the population.</w:t>
      </w:r>
    </w:p>
    <w:p>
      <w:pPr>
        <w:spacing w:after="0" w:line="60" w:lineRule="exact"/>
        <w:rPr>
          <w:rFonts w:ascii="Times New Roman" w:cs="Times New Roman" w:eastAsia="Times New Roman" w:hAnsi="Times New Roman"/>
          <w:sz w:val="18"/>
          <w:szCs w:val="18"/>
          <w:color w:val="auto"/>
        </w:rPr>
      </w:pPr>
    </w:p>
    <w:p>
      <w:pPr>
        <w:ind w:left="1240" w:right="60" w:hanging="415"/>
        <w:spacing w:after="0" w:line="28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Adoption of the Quadruple Aim of healthcare. </w:t>
      </w:r>
      <w:r>
        <w:rPr>
          <w:rFonts w:ascii="Times New Roman" w:cs="Times New Roman" w:eastAsia="Times New Roman" w:hAnsi="Times New Roman"/>
          <w:sz w:val="18"/>
          <w:szCs w:val="18"/>
          <w:color w:val="auto"/>
        </w:rPr>
        <w:t>Key tenets of the Quadruple Aim include: improving population health, reducing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care, enhancing the patient experience, and improving provider satisfaction.</w:t>
      </w:r>
    </w:p>
    <w:p>
      <w:pPr>
        <w:spacing w:after="0" w:line="60" w:lineRule="exact"/>
        <w:rPr>
          <w:rFonts w:ascii="Times New Roman" w:cs="Times New Roman" w:eastAsia="Times New Roman" w:hAnsi="Times New Roman"/>
          <w:sz w:val="18"/>
          <w:szCs w:val="18"/>
          <w:color w:val="auto"/>
        </w:rPr>
      </w:pPr>
    </w:p>
    <w:p>
      <w:pPr>
        <w:ind w:left="1240" w:right="580" w:hanging="415"/>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Headwinds. </w:t>
      </w:r>
      <w:r>
        <w:rPr>
          <w:rFonts w:ascii="Times New Roman" w:cs="Times New Roman" w:eastAsia="Times New Roman" w:hAnsi="Times New Roman"/>
          <w:sz w:val="18"/>
          <w:szCs w:val="18"/>
          <w:color w:val="auto"/>
        </w:rPr>
        <w:t>Our business is subject to a number of headwinds or risks inherent in the industries in which we operate,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increased competition from existing and new entrants, increasing scrutiny on healthcare spending and costs, and idiosyncratic political and economic disruptions.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 of Our Industries and Key Trends</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industries served by our business segments represent large and growing opportunities that in addition to macro trends listed above, are driven by the following segment-specific trends:</w:t>
      </w:r>
    </w:p>
    <w:p>
      <w:pPr>
        <w:spacing w:after="0" w:line="67" w:lineRule="exact"/>
        <w:rPr>
          <w:sz w:val="20"/>
          <w:szCs w:val="20"/>
          <w:color w:val="auto"/>
        </w:rPr>
      </w:pPr>
    </w:p>
    <w:p>
      <w:pPr>
        <w:ind w:left="1240" w:right="100" w:hanging="415"/>
        <w:spacing w:after="0" w:line="261"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business segment operates in an estimated $44 billion global industry growing at a 4-6% CAGR from 2022 to 2025, driven by demand for increasingly high image quality, additional capabilities from leveraging AI, and advanced interventional surgical systems. For the fiscal year ended December 31, 2021, our revenue generated from the Imaging business segment was approximately $9.4 billion.</w:t>
      </w:r>
    </w:p>
    <w:p>
      <w:pPr>
        <w:spacing w:after="0" w:line="85"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business segment operates in an estimated $12 billion global industry growing at a 4-7% CAGR from 2022 to 2025, driven by expanded use of ultrasound in diagnostics, therapy, and monitoring across multiple care settings. For the fiscal year ended December 31, 2021, our revenue generated from the Ultrasound business segment was approximately $3.2 billion.</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Care Solutions (“PCS”) business segment operates in an estimated $18 billion global industry growing at a 3-6% CAGR from 2022 to 2025, driven by demand for integrated solutions to enable better decision-making. For the fiscal year ended December 31, 2021, our revenue generated from the PCS business segment was approximately $2.9 billion.</w:t>
      </w:r>
    </w:p>
    <w:p>
      <w:pPr>
        <w:spacing w:after="0" w:line="81" w:lineRule="exact"/>
        <w:rPr>
          <w:rFonts w:ascii="Times New Roman" w:cs="Times New Roman" w:eastAsia="Times New Roman" w:hAnsi="Times New Roman"/>
          <w:sz w:val="18"/>
          <w:szCs w:val="18"/>
          <w:color w:val="auto"/>
        </w:rPr>
      </w:pPr>
    </w:p>
    <w:p>
      <w:pPr>
        <w:jc w:val="both"/>
        <w:ind w:left="1240" w:right="80" w:hanging="415"/>
        <w:spacing w:after="0" w:line="289"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Pharmaceutical Diagnostics (“PDx”) business segment operates in an estimated $10 billion global industry growing at a 4-5% CAGR from 2022 to 2025, driven by demand for better visualization to enable more precise diagnoses and therapy selection for patients. For the fiscal year ended December 31, 2021, our revenue generated from the PDx business segment was approximately $2.0 billion.</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business segments serve customers globally with each of our key regions representing large and growing opportunities:</w:t>
      </w:r>
    </w:p>
    <w:p>
      <w:pPr>
        <w:spacing w:after="0" w:line="23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900" w:type="dxa"/>
            <w:vAlign w:val="bottom"/>
            <w:gridSpan w:val="3"/>
          </w:tcPr>
          <w:p>
            <w:pPr>
              <w:jc w:val="right"/>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Industry Sales</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Industry</w:t>
            </w: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billions)</w:t>
            </w:r>
          </w:p>
        </w:tc>
        <w:tc>
          <w:tcPr>
            <w:tcW w:w="120" w:type="dxa"/>
            <w:vAlign w:val="bottom"/>
          </w:tcPr>
          <w:p>
            <w:pPr>
              <w:spacing w:after="0"/>
              <w:rPr>
                <w:sz w:val="12"/>
                <w:szCs w:val="12"/>
                <w:color w:val="auto"/>
              </w:rPr>
            </w:pPr>
          </w:p>
        </w:tc>
        <w:tc>
          <w:tcPr>
            <w:tcW w:w="178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by Region</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CAGR</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0"/>
                <w:szCs w:val="10"/>
                <w:b w:val="1"/>
                <w:bCs w:val="1"/>
                <w:color w:val="auto"/>
              </w:rPr>
              <w:t>*</w:t>
            </w:r>
          </w:p>
        </w:tc>
        <w:tc>
          <w:tcPr>
            <w:tcW w:w="10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(2022-2025)</w:t>
            </w: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2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region</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2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Industry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84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right="40" w:hanging="202"/>
        <w:spacing w:after="0" w:line="208" w:lineRule="auto"/>
        <w:tabs>
          <w:tab w:leader="none" w:pos="50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GE HealthCare estimates and Signify Research for digital solutions. Amounts are based on estimates of (1)(a) orders placed in the last fiscal year across all product categories we offer in the relevant industry or</w:t>
      </w: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60" w:hanging="25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jurisdictions for which order data are not available, actual sales completed in the last fiscal year across all such products, plus</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estimates for revenues derived from annual service and digital offerings from such products.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Highlights</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GE HealthCare has numerous competitive advantages in attractive markets that we expect to continue to drive our success and reward investors over the long term, including:</w:t>
      </w:r>
    </w:p>
    <w:p>
      <w:pPr>
        <w:spacing w:after="0" w:line="63" w:lineRule="exact"/>
        <w:rPr>
          <w:sz w:val="20"/>
          <w:szCs w:val="20"/>
          <w:color w:val="auto"/>
        </w:rPr>
      </w:pPr>
    </w:p>
    <w:p>
      <w:pPr>
        <w:ind w:left="1240" w:right="40" w:hanging="415"/>
        <w:spacing w:after="0" w:line="25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Leader in Large, Attractive, and Growing Industries. </w:t>
      </w:r>
      <w:r>
        <w:rPr>
          <w:rFonts w:ascii="Times New Roman" w:cs="Times New Roman" w:eastAsia="Times New Roman" w:hAnsi="Times New Roman"/>
          <w:sz w:val="18"/>
          <w:szCs w:val="18"/>
          <w:color w:val="auto"/>
        </w:rPr>
        <w:t>The industries in which we participate represent an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$84 billion global opportunity that is estimated to grow at 4-6% through 2025. Sustainable long-term growth in our industries is driven by trends related to an aging population, increasing prevalence and diagnosis of chronic disease, innovation in minimally-invasive procedures that require imaging, and increasing access to healthcare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Our deep knowledge and global experience have made us a preferred and trusted partner of customers across our segments. With a portfolio of leading technologies developed in response to customer needs, we provide customers with critical instruments for precision health driven by a need for less costly and more specialized therapeutic treatments.</w:t>
      </w:r>
    </w:p>
    <w:p>
      <w:pPr>
        <w:spacing w:after="0" w:line="88"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Track Record of Industry-Defining Innovations. </w:t>
      </w:r>
      <w:r>
        <w:rPr>
          <w:rFonts w:ascii="Times New Roman" w:cs="Times New Roman" w:eastAsia="Times New Roman" w:hAnsi="Times New Roman"/>
          <w:sz w:val="18"/>
          <w:szCs w:val="18"/>
          <w:color w:val="auto"/>
        </w:rPr>
        <w:t>GE HealthCare has been advancing healthcare with transformational innovations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1896, including the first enclosed X-ray source, the first routine total-body CT scanner, and the first high-field magnetic resonance imaging (“MRI”) scanner. We focus on thoroughly understanding unmet customer needs through customer surveys, sponsored research, advisory boards, pilot programs, and direct feedback through our research, sales, and service channels. This unique insight helps to prioritize our R&amp;D efforts to best deliver improved customer outcomes. Our organic innovation efforts are complemented by strategic acquisitions, investments, and collaborations, which have transformed our product portfolios and expanded our industries served.</w:t>
      </w:r>
    </w:p>
    <w:p>
      <w:pPr>
        <w:spacing w:after="0" w:line="88" w:lineRule="exact"/>
        <w:rPr>
          <w:rFonts w:ascii="Times New Roman" w:cs="Times New Roman" w:eastAsia="Times New Roman" w:hAnsi="Times New Roman"/>
          <w:sz w:val="18"/>
          <w:szCs w:val="18"/>
          <w:color w:val="auto"/>
        </w:rPr>
      </w:pPr>
    </w:p>
    <w:p>
      <w:pPr>
        <w:ind w:left="1240" w:right="20" w:hanging="415"/>
        <w:spacing w:after="0" w:line="255"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 the Center of Digitization of Healthcare. </w:t>
      </w:r>
      <w:r>
        <w:rPr>
          <w:rFonts w:ascii="Times New Roman" w:cs="Times New Roman" w:eastAsia="Times New Roman" w:hAnsi="Times New Roman"/>
          <w:sz w:val="18"/>
          <w:szCs w:val="18"/>
          <w:color w:val="auto"/>
        </w:rPr>
        <w:t>GE HealthCare is at the center of the digitization of healthcare, generating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harnessing clinical data from our devices and software and those of third parties to help simplify clinical decision-making, improve the delivery of care, and drive workflow efficiency. We offer a portfolio of over 200 digital applications and software solutions that collectively generated $1,186 million of revenue in 2021. Increasingly, hospitals and healthcare systems are demanding easier ways to deploy clinical workflow, analytics, and AI tools that improve care delivery, support efficient operations, and improve healthcare outcomes. Our Edison platform is a vendor-agnostic hosting and data aggregation platform with an integrated AI engine, reducing the IT burden that typically comes with installing and integrating applications across an enterprise. We believe that our digital solutions and deep understanding of customer needs are key competitive advantages for our business.</w:t>
      </w:r>
    </w:p>
    <w:p>
      <w:pPr>
        <w:spacing w:after="0" w:line="90" w:lineRule="exact"/>
        <w:rPr>
          <w:rFonts w:ascii="Times New Roman" w:cs="Times New Roman" w:eastAsia="Times New Roman" w:hAnsi="Times New Roman"/>
          <w:sz w:val="18"/>
          <w:szCs w:val="18"/>
          <w:color w:val="auto"/>
        </w:rPr>
      </w:pPr>
    </w:p>
    <w:p>
      <w:pPr>
        <w:ind w:left="1240" w:hanging="415"/>
        <w:spacing w:after="0" w:line="271"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Trusted Partner with Customers Across the Globe Supported by Industry-Leading Service. </w:t>
      </w:r>
      <w:r>
        <w:rPr>
          <w:rFonts w:ascii="Times New Roman" w:cs="Times New Roman" w:eastAsia="Times New Roman" w:hAnsi="Times New Roman"/>
          <w:sz w:val="17"/>
          <w:szCs w:val="17"/>
          <w:color w:val="auto"/>
        </w:rPr>
        <w:t>We have one of the strongest reputations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global healthcare industry for service, innovation, quality, and integrity. We globally deploy a multi-channel commercial model consisting of over 10,000 sales professionals and a network of approximately 5,600 indirect third-party partners. Through our close relationships with customers, we are able to collaborate on their asset acquisition plans and clinical and business challenges and tailor our products, services, and solutions to meet their unique needs. At the foundation of our strong customer relationships is our industry-leading service offerings that extend beyond vendor-agnostic on-site repair to include remote monitoring and support of our devices enabled by connected, proactive, and predictive maintenance capabilities, lifecycle management, and asset performance management. With over 8,500 field service engineers and 46 customer service centers, we utilize our global scale and a local approach to tailor offerings to best serve individual customers around the world. In addition to strengthening our customer relationships, our service capabilities are a key driver of our financial performance, generating $6,420 million of revenue in 2021. Our services</w:t>
      </w:r>
    </w:p>
    <w:p>
      <w:pPr>
        <w:spacing w:after="0" w:line="2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61" w:lineRule="auto"/>
        <w:rPr>
          <w:sz w:val="20"/>
          <w:szCs w:val="20"/>
          <w:color w:val="auto"/>
        </w:rPr>
      </w:pPr>
      <w:r>
        <w:rPr>
          <w:rFonts w:ascii="Times New Roman" w:cs="Times New Roman" w:eastAsia="Times New Roman" w:hAnsi="Times New Roman"/>
          <w:sz w:val="18"/>
          <w:szCs w:val="18"/>
          <w:color w:val="auto"/>
        </w:rPr>
        <w:t>revenue is recurring in nature and provides strong visibility to future revenue with a $10,028 million of Remaining Performance Obligations (“RPO”) as of year-end 2021. We serve customers in more than 160 countries aligned to four geographic regions: United States and Canada (“USCAN”); Europe, Middle East, and Africa (“EMEA”); China, Taiwan, Mongolia, and Hong Kong (collectively, “China region”); and other geographies around the world (“Rest of World”).</w:t>
      </w:r>
    </w:p>
    <w:p>
      <w:pPr>
        <w:spacing w:after="0" w:line="81" w:lineRule="exact"/>
        <w:rPr>
          <w:sz w:val="20"/>
          <w:szCs w:val="20"/>
          <w:color w:val="auto"/>
        </w:rPr>
      </w:pPr>
    </w:p>
    <w:p>
      <w:pPr>
        <w:ind w:left="1240" w:hanging="415"/>
        <w:spacing w:after="0" w:line="254"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Driving Growth Mindset Through Lean for Customers and Employees. </w:t>
      </w:r>
      <w:r>
        <w:rPr>
          <w:rFonts w:ascii="Times New Roman" w:cs="Times New Roman" w:eastAsia="Times New Roman" w:hAnsi="Times New Roman"/>
          <w:sz w:val="18"/>
          <w:szCs w:val="18"/>
          <w:color w:val="auto"/>
        </w:rPr>
        <w:t>We are dedicated to creating shareholder value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and sustainable earnings growth. To drive that value we have adopted and deployed lean principles to execute on our short-and long-term strategies and strengthen the operating performance of our business. To accomplish these goals, we have developed and deployed lean tools, processes, and leadership development at all levels in the organization. We focus our lean work on improvement in five critical business priorities: Safety, Quality, Delivery, Cost, and Innovation (“SQDCI”). Safety, our highest and first priority, is integrated into everything we do, from manufacturing to installation, operation, and service. We continuously strive to improve the quality, delivery, and value of products, including utilizing lean throughout manufacturing, services, commercial, and R&amp;D operations. Our SQDCI toolkit results in more value for our customers, improved margins for GE HealthCare, and reinvestment in our business for long-term sustainable growth and innovation.</w:t>
      </w:r>
    </w:p>
    <w:p>
      <w:pPr>
        <w:spacing w:after="0" w:line="93" w:lineRule="exact"/>
        <w:rPr>
          <w:rFonts w:ascii="Times New Roman" w:cs="Times New Roman" w:eastAsia="Times New Roman" w:hAnsi="Times New Roman"/>
          <w:sz w:val="18"/>
          <w:szCs w:val="18"/>
          <w:color w:val="auto"/>
        </w:rPr>
      </w:pPr>
    </w:p>
    <w:p>
      <w:pPr>
        <w:ind w:left="1240" w:right="40" w:hanging="415"/>
        <w:spacing w:after="0" w:line="213"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Attractive Financial Profile Supported by Organic Revenue 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Expanding Operating Margins, and Investment Grade Balance Sheet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generated Total revenues of $17,585 million in 2021 representing 2% growth as reported and 1% Organic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2020. Approximately 50% of our total revenue in 2021 is recurring, comprised of revenue from services, single-use and consumable products, digital solutions, and value-added offerings, such as education, training, and consulting. Our innovative technologies and lean approach have served as the foundation to reduce costs across our businesses, directly translating to an increase of 1.4 points in our gross margin from 2020 to 2021. We generate significant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supports our ability to consistently prioritize investments in strategic growth initiatives and innovation.</w:t>
      </w:r>
    </w:p>
    <w:p>
      <w:pPr>
        <w:spacing w:after="0" w:line="102"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Purpose-Driven and Action-Oriented Culture Led by an Experienced Management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leadership is a diverse team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industry veterans with the skills and expertise required to successfully lead a stand-alone publicly-listed medical technology, pharmaceutical diagnostics, and digital solutions company. This team is leading our company through a transformational time as we execute on our next phase of growth by establishing a more decentralized organization with alignment and accountability across teams to accelerate speed in decision-making and remove complexities that will ultimately enhance our efficiency and agility. Our senior leadership team leads a purpose-driven global workforce of approximately 51,000 who have an average tenure of nine years with GE, reflecting a strong, engaged culture that centers on our purpose statement, “Create a world where healthcare has no limits.” We embrace a diverse workplace where “every voice makes a difference, and every difference builds a healthier world,” and we are committed to supporting diversity across our global teams. Our values emphasize patient and customer focus, trust, and humility with unyielding integrity, while fostering an inclusive culture.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aim to grow our business by pursuing the following strategies:</w:t>
      </w:r>
    </w:p>
    <w:p>
      <w:pPr>
        <w:spacing w:after="0" w:line="127" w:lineRule="exact"/>
        <w:rPr>
          <w:sz w:val="20"/>
          <w:szCs w:val="20"/>
          <w:color w:val="auto"/>
        </w:rPr>
      </w:pPr>
    </w:p>
    <w:p>
      <w:pPr>
        <w:ind w:left="1240" w:right="120" w:hanging="415"/>
        <w:spacing w:after="0" w:line="262" w:lineRule="auto"/>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Deliver Industry-Leading Innovations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aim to maintain and strengthen our leading global position by continuing to deliver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solutions that best address our customers’ needs. From 2019 to 2021, we invested a cumulative $2,459 million in R&amp;D to drive our organic innovation efforts. We drive efficient use of our R&amp;D budget by locating approximately 40% of our 9,700 R&amp;D employees in</w:t>
      </w:r>
    </w:p>
    <w:p>
      <w:pPr>
        <w:spacing w:after="0" w:line="153"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Non-GAAP financial measure.</w:t>
      </w: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56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55" w:lineRule="auto"/>
        <w:rPr>
          <w:sz w:val="20"/>
          <w:szCs w:val="20"/>
          <w:color w:val="auto"/>
        </w:rPr>
      </w:pPr>
      <w:r>
        <w:rPr>
          <w:rFonts w:ascii="Times New Roman" w:cs="Times New Roman" w:eastAsia="Times New Roman" w:hAnsi="Times New Roman"/>
          <w:sz w:val="18"/>
          <w:szCs w:val="18"/>
          <w:color w:val="auto"/>
        </w:rPr>
        <w:t>lower-cost regions. We plan to further enhance our innovation efforts with inorganic investments across our business segments. Our growing track record of inorganic investment includes three acquisitions over the past two years and eight strategic collaborations since 2019. We intend to increase our investment in innovation, both to enhance our core portfolio and extend our capabilities in attractive, high-growth adjacencies, including clinical decision support and workflow tools, advanced analytics and AI, 3D visualization, lower acuity patient monitoring, clinical collaboration tools, and integrated insights across multiple diagnostic modalities. We believe we can drive even greater focus on, and capital allocation to, attractive innovation priorities as an independent company, extending our leadership position in technologies that improve outcomes.</w:t>
      </w:r>
    </w:p>
    <w:p>
      <w:pPr>
        <w:spacing w:after="0" w:line="90" w:lineRule="exact"/>
        <w:rPr>
          <w:sz w:val="20"/>
          <w:szCs w:val="20"/>
          <w:color w:val="auto"/>
        </w:rPr>
      </w:pPr>
    </w:p>
    <w:p>
      <w:pPr>
        <w:ind w:left="1240" w:hanging="415"/>
        <w:spacing w:after="0" w:line="254"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Build Integrated Solutions Along Care Pathways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build integrated equipment and software solutions designed to address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of clinicians and patients along care pathways. Our goal is to break down data silos across devices, bespoke systems (both third-party and our own), and sites of care that often delay or even prevent patients from getting the most appropriate diagnosis and treatment. Central to this approach is our focus on developing and delivering digital solutions that seamlessly integrate across workflows and departments and increasingly reside on our Edison platform for ease of deployment and enterprise-wide integration. Our care pathway approach is well supported by the breadth and depth of our portfolio, which gives us unique visibility into customer needs in clinical care areas such as oncology, cardiology, and neurology. We believe this strategy improves the value proposition of our current offerings, expands use cases for our Edison digital platform, and creates new software-as-a-service (“SaaS”) revenue sources.</w:t>
      </w:r>
    </w:p>
    <w:p>
      <w:pPr>
        <w:spacing w:after="0" w:line="93"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Enable Digitization at a Device, Department, and Enterprise Level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innovations are changing how healthcare is delivered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consumed around the world by improving access to advanced healthcare and by enhancing quality, safety, productivity, patient experience, and provider satisfaction. As our digital offerings encompass software solutions at a device, department, and enterprise level, we have developed distinct strategies dictated by specific customer needs. We plan to continue leveraging Edison to help deploy and scale these software solutions, while accelerating customer adoption of our digital applications. Edison enables customers to: efficiently upgrade existing devices with advanced intelligent functions, via edge or cloud technology; integrate clinical information across multiple diagnostic and therapeutic modalities, such as radiomics and genomics; and develop new applications with industry-standard capabilities built-in, such as data privacy and cybersecurity.</w:t>
      </w:r>
    </w:p>
    <w:p>
      <w:pPr>
        <w:spacing w:after="0" w:line="90"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Business by Providing Transformational Customer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plan to expand our leading global presence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to deliver transformational solutions designed around specific customer needs. The growing demand for precision health is driving a greater focus among customers for solutions that provide actionable insights for clinicians and are easily deployable for the healthcare system. We believe there is significant opportunity to utilize our core competencies of innovation, service capability, and digital solutions to expand our portfolio further into integrated diagnostics, AI and machine learning-based clinical decision support, highly personalized therapies enabled by more precise diagnostics, and remote patient monitoring. As the delivery of care continues to extend outside the hospital, we plan to continue growing our presence to alternative sites of care with our clinical capabilities, enabling minimally-invasive procedures and expanding into remote monitoring and home care.</w:t>
      </w:r>
    </w:p>
    <w:p>
      <w:pPr>
        <w:spacing w:after="0" w:line="90" w:lineRule="exact"/>
        <w:rPr>
          <w:rFonts w:ascii="Times New Roman" w:cs="Times New Roman" w:eastAsia="Times New Roman" w:hAnsi="Times New Roman"/>
          <w:sz w:val="18"/>
          <w:szCs w:val="18"/>
          <w:color w:val="auto"/>
        </w:rPr>
      </w:pPr>
    </w:p>
    <w:p>
      <w:pPr>
        <w:ind w:left="1240" w:right="120" w:hanging="415"/>
        <w:spacing w:after="0" w:line="257"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 in Emerging Markets with a Local Strategy Tailored to Customer Needs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plan to continue to invest in developing tailored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applications, service repair operations, training, financing, and project management to better serve customer needs in emerging markets. As localization initiatives increase in important markets such as China, India, and Brazil, the strength of our portfolio and enterprise approach is enhanced by regionally-defined commercial strategies. To address localization trends, we developed a comprehensive product development, production, and commercialization strategy reflecting local needs. We take a strategic approach to each emerging market, helping us match our strategies to the market opportunity and local needs.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0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240" w:right="60" w:hanging="415"/>
        <w:spacing w:after="0" w:line="259"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Drive Growth and Continuous Improvement Through Lean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Our focus on lean will enable us to deliver better customer outcomes while improving our operating model as a stand-alone company. We use lean to achieve reductions in product and service costs by focusing on having a diverse and qualified supplier base, enhancing logistics productivity, employing design-for-value principles, and driving digitization of our services delivery to deliver more value for customers while improving operating margins across the portfolio. We deploy lean methods for driving growth, innovation, and leadership.</w:t>
      </w:r>
    </w:p>
    <w:p>
      <w:pPr>
        <w:spacing w:after="0" w:line="84"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Focus on Strategic M&amp;A Transactions. </w:t>
      </w:r>
      <w:r>
        <w:rPr>
          <w:rFonts w:ascii="Times New Roman" w:cs="Times New Roman" w:eastAsia="Times New Roman" w:hAnsi="Times New Roman"/>
          <w:sz w:val="18"/>
          <w:szCs w:val="18"/>
          <w:color w:val="auto"/>
        </w:rPr>
        <w:t>We will continue to focus on disciplined and targeted inorganic growth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transactions, including acquisitions, mergers, investments, joint ventures and other expansions of our operations that leverage our existing platform. Following the Spin-Off, we will have more flexibility as a standalone company to allocate our capital to successfully execute such transactions. Our focus remains on transactions intended to accelerate our strategies, expand capabilities, and drive attractive returns, such as the recent acquisitions of BK, Zionexa, and Prismatic Sensors, as well as our recent strategic collaborations with Pulsenmore, RaySearch, SOPHiA Genetics, and AliveCor.</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develop, manufacture, and market a broad portfolio of products, services, and complementary digital solutions used in the diagnosis, treatment, and monitoring of patients. We are a global leader in each of our core business segments. We have a global installed base of more than four million medical imaging, ultrasound, and patient monitoring systems.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business is comprised of four segments that are aligned with the industries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Imaging Business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GE HealthCare is a global leader in medical imaging with a comprehensive portfolio of scanning devices, clinical applications, service capabilities, and digital solutions. We have one of the industry’s largest global installed bases of medical imaging equipment with approximately 400,000 systems and have a leading position in nearly all markets where our products are sold. Our Imaging portfolio spans the care continuum and provides critical tools for physicians from initial screening and diagnosis, through therapeutic decision-making, to monitoring of patient progression. Our products are essential in the delivery of care for a broad spectrum of clinical specialties, including oncology, cardiology, neurology, nuclear medicine, orthopedics, women’s health, pediatrics, and surgery.</w:t>
      </w:r>
    </w:p>
    <w:p>
      <w:pPr>
        <w:spacing w:after="0" w:line="187"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Our Imaging portfolio is comprised of seven product lines and associated service capabilities: Computed Tomography, Magnetic Resonance, Molecular Imaging, Image-Guided Therapies, Women’s Health, X-ray, and Digital Solutions. Starting with the development of the X-ray in 1896, we have been at the forefront of industry-defining innovations for over 125 years and have consistently deployed advanced, innovative technologies to develop intelligently efficient solutions to address critical needs of our customers. We supplement our imaging solutions with more than 200 digital applications and software solutions, leveraging our AI and advanced data science capabilities. We also offer specialized global service capabilities to support devices with repairs, upgrades, and lifecycle management. For each product in our portfolio, we develop and offer upgrades that expand clinical functionality throughout the product’s lifecycle and extend the life of imaging devices and software for a strong return on our customers’ investment.</w:t>
      </w:r>
    </w:p>
    <w:p>
      <w:pPr>
        <w:spacing w:after="0" w:line="192"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In addition to our core products, digital solutions, and service offerings, we provide complementary enterprise solutions, such as education and training, equipment financing, and data integration services. Our broad enterprise solutions across the imaging continuum enable us to drive connectivity across healthcare systems and throughout the product lifecycle. Together, our intelligent imaging devices, digital solutions, and specialized services are designed to increase accuracy and precision of diagnostic and therapeutic efforts, improve efficiency of radiology operations and workflows, and enable precision therapy delivery.</w:t>
      </w:r>
    </w:p>
    <w:p>
      <w:pPr>
        <w:spacing w:after="0" w:line="183"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In 2021, our Imaging business generated $9,433 million of revenue, a 5% increase year-over-year from $8,959 million in 2020, representing 54% of GE HealthCare’s total 2021 revenue. In 2021, we generated $1,240 million of segment EBIT compared to $1,182 million in 2020, representing a 5% increase year-over-year.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Ultrasound Business</w:t>
      </w:r>
    </w:p>
    <w:p>
      <w:pPr>
        <w:spacing w:after="0" w:line="121"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GE HealthCare is a global leader in ultrasound medical devices and solutions. We believe we have the largest global installed base of ultrasound equipment with approximately 400,000 devices. Our broad ultrasound portfolio spans the continuum of care, including screening, diagnosis, treatment, and monitoring of certain diseases. Our Ultrasound business segment serves customers across five clinical areas: Radiology and Primary Care, Women’s Health, Cardiovascular, Point of Care and Handheld, and Intraoperative Visualization. In 2021, we acquired BK, a provider of real-time surgical guidance in urology, general surgery, and neurosurgery procedures and gained entrance into the fast-growing Intraoperative Visualization adjacency. One of our key competitive advantages is the ability to consistently deliver innovative technologies alongside complementary digital solutions and service offerings designed as a seamless package that satisfies specific customer needs. We believe this advantage is critical to strong customer engagement, loyalty, and trust, and allows us to be a partner of choice.</w:t>
      </w:r>
    </w:p>
    <w:p>
      <w:pPr>
        <w:spacing w:after="0" w:line="192" w:lineRule="exact"/>
        <w:rPr>
          <w:sz w:val="20"/>
          <w:szCs w:val="20"/>
          <w:color w:val="auto"/>
        </w:rPr>
      </w:pPr>
    </w:p>
    <w:p>
      <w:pPr>
        <w:jc w:val="both"/>
        <w:ind w:left="300" w:right="60" w:firstLine="426"/>
        <w:spacing w:after="0" w:line="289" w:lineRule="auto"/>
        <w:rPr>
          <w:sz w:val="20"/>
          <w:szCs w:val="20"/>
          <w:color w:val="auto"/>
        </w:rPr>
      </w:pPr>
      <w:r>
        <w:rPr>
          <w:rFonts w:ascii="Times New Roman" w:cs="Times New Roman" w:eastAsia="Times New Roman" w:hAnsi="Times New Roman"/>
          <w:sz w:val="17"/>
          <w:szCs w:val="17"/>
          <w:color w:val="auto"/>
        </w:rPr>
        <w:t>Our Ultrasound business’ customer-centric approach to continuous innovation, along with our dedicated clinical specialties, have been a key driver of growth for our Ultrasound business. We focus on designing and developing solutions that are aligned by specialties/care areas for specific clinical workflows to better serve the unique needs of our customers and improve patient outcomes, while lowering the overall cost of care.</w:t>
      </w: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53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continue to innovate and deliver best-in-class ultrasound probes and consoles, and to develop digital solutions that increase diagnostic accuracy and simplify clinical workflows. We enhance our leading technology with leading customer service that includes customer education and technical support with the goal of improving clinical workflows and operational efficiencies. Over 75,000 customer users are registered to access our Ultrasound on-line customer communities that are dedicated to support users with training, application best practices, white papers, user guides, and clinical image galleries. The breadth of our Ultrasound technology and service offerings has resulted in close relationships with customers who trust us as a partner to help solve their most urgent and critical clinical challenges.</w:t>
      </w:r>
    </w:p>
    <w:p>
      <w:pPr>
        <w:spacing w:after="0" w:line="187" w:lineRule="exact"/>
        <w:rPr>
          <w:sz w:val="20"/>
          <w:szCs w:val="20"/>
          <w:color w:val="auto"/>
        </w:rPr>
      </w:pPr>
    </w:p>
    <w:p>
      <w:pPr>
        <w:ind w:left="300" w:right="60" w:firstLine="426"/>
        <w:spacing w:after="0" w:line="281" w:lineRule="auto"/>
        <w:rPr>
          <w:sz w:val="20"/>
          <w:szCs w:val="20"/>
          <w:color w:val="auto"/>
        </w:rPr>
      </w:pPr>
      <w:r>
        <w:rPr>
          <w:rFonts w:ascii="Times New Roman" w:cs="Times New Roman" w:eastAsia="Times New Roman" w:hAnsi="Times New Roman"/>
          <w:sz w:val="17"/>
          <w:szCs w:val="17"/>
          <w:color w:val="auto"/>
        </w:rPr>
        <w:t>We have a strong track record of industry-first innovations, including developing the first 3D obstetric imaging device and the first handheld ultrasound, both of which addressed previously identified clinical challenges and provided economic value to our healthcare provider customers. We plan to continue to invest in R&amp;D to drive innovation in our Ultrasound portfolio, specifically by improving image quality, developing advanced electronics and miniaturization capabilities, lowering costs, and advancing probe technology. Our focus areas for innovation include:</w:t>
      </w:r>
    </w:p>
    <w:p>
      <w:pPr>
        <w:spacing w:after="0" w:line="70" w:lineRule="exact"/>
        <w:rPr>
          <w:sz w:val="20"/>
          <w:szCs w:val="20"/>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electronics and acoustic design, enabling image quality improvements that increase diagnostic confidence;</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Miniaturization that protects users with smaller, lighter probes that are more comfortable to scan, and technological advances that create a single probe for multiple clinical applications; and</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data science and AI to improve workflows and reduce cognitive workload, as well as to enable clinical decision support for all user skill levels.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2021, our Ultrasound business generated $3,172 million of revenue, a 17% increase year-over-year from $2,703 million in 2020, representing 18% of GE HealthCare’s total 2021 revenue. In 2021, we generated $885 million of segment EBIT compared to $640 million in 2020, representing a 38% increase year-over-year.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Patient Care Solutions Business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GE HealthCare’s PCS business is a leading global provider of medical devices, consumable products, services, and digital solutions that complement a care team’s clinical expertise by acquiring and transforming clinical data into real-time visualization and clinical decision support. This allows care teams to more proactively adapt to changing patient needs, and improve patient care and outcomes. Our PCS portfolio also helps solve current challenges our customers face, such as increased patient demand, clinician labor shortages, and the rising cost of care, by simplifying clinical and operational workflows to create efficiencies and capacity.</w:t>
      </w:r>
    </w:p>
    <w:p>
      <w:pPr>
        <w:spacing w:after="0" w:line="183"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PCS portfolio includes Patient Monitoring, Anesthesia Delivery and Respiratory Care, Maternal Infant Care, Diagnostic Cardiology, and Consumables, collectively representing an industry-leading installed base of approximately three million devices. These products, along with our digital solutions and service capabilities, form a broad and integrated portfolio of solutions that supports care teams within and beyond most acute healthcare settings, including emergency departments, surgical/operating rooms, intensive care units (“ICUs”), neonatal intensive care units (“NICU”), labor and delivery units, telemetry units, medical-surgical units/general wards, cardiology departments, and clinics.</w:t>
      </w:r>
    </w:p>
    <w:p>
      <w:pPr>
        <w:spacing w:after="0" w:line="183"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One of PCS’ key competitive advantages is our unique position at the center of care delivery, ability to acquire data, and expertise in transforming data into real-time visual and clinical decision support across acute and other care settings, allowing our customers to provide better care to patients. Customers and care teams trust that our intelligent devices, innovative tools, and digital solutions will provide precise, reliable, accurate, and actionable data at critical decision points in a patient’s care journey. Our vision is to connect caregivers and patients in an ecosystem that simplifies clinical and operational workflows, creates efficiencies, delivers</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5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personalized care that is convenient and accessible, and improves patient care and outcomes. To do so, we will continue to innovate our portfolio, build and drive adoption of digital ecosystems, and enhance product lifecycles through service and consumables.</w:t>
      </w:r>
    </w:p>
    <w:p>
      <w:pPr>
        <w:spacing w:after="0" w:line="162"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2021, our PCS business generated $2,915 million of revenue, a 21% decrease year-over-year from $3,675 million in 2020, representing 17% of GE HealthCare’s total 2021 revenue. The decline was driven by lower demand from the moderation of the COVID-19 pandemic. In 2021, we generated $356 million of segment EBIT, compared to $698 million in 2020, representing a 49% decrease year-over-year. The decline in profit was predominantly driven by post-COVID-19 volume decrease.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Pharmaceutical Diagnostics Business</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GE HealthCare’s PDx business is a leading supplier of diagnostic agents to the global radiology and nuclear medicine industry. These diagnostic agents help clinicians assess patients to enable more precise diagnoses and better therapy selection. Our products were used in over 100 million patient procedures globally in 2021, equating to our contrast agents being administered to over three patients every second. We distribute products globally, providing on-time delivery of quality products that help meet patient and procedural needs across a multitude of modalities. Our diagnostic agents are complementary to our imaging and ultrasound devices, including CT, angiography and X-ray, MR, single-photon emission computed tomography (“SPECT”), positron emission tomography (“PET”), and ultrasound, and are also compatible with systems from other equipment vendors. We believe our established positions in imaging scanners, contrast media, contrast injectors, chemistry systems, radiopharmaceuticals, and cyclotrons give us unique insights into end-user needs that allow us to continuously innovate our product portfolio to offer differentiated solutions.</w:t>
      </w:r>
    </w:p>
    <w:p>
      <w:pPr>
        <w:spacing w:after="0" w:line="188"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PDx operates within a strictly regulated industry with key sustainable competitive advantages.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cause exam cancelations. These competitive advantages include:</w:t>
      </w:r>
    </w:p>
    <w:p>
      <w:pPr>
        <w:spacing w:after="0" w:line="85" w:lineRule="exact"/>
        <w:rPr>
          <w:sz w:val="20"/>
          <w:szCs w:val="20"/>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track record of on-time delivery and secure supply makes us a reliable and trusted partner to customers;</w:t>
      </w:r>
    </w:p>
    <w:p>
      <w:pPr>
        <w:spacing w:after="0" w:line="130" w:lineRule="exact"/>
        <w:rPr>
          <w:rFonts w:ascii="Times New Roman" w:cs="Times New Roman" w:eastAsia="Times New Roman" w:hAnsi="Times New Roman"/>
          <w:sz w:val="18"/>
          <w:szCs w:val="18"/>
          <w:color w:val="auto"/>
        </w:rPr>
      </w:pPr>
    </w:p>
    <w:p>
      <w:pPr>
        <w:ind w:left="1240" w:right="7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vertically integrated supply chain with end-to-end manufacturing and network of diversified suppliers provides us scale advantages; and</w:t>
      </w:r>
    </w:p>
    <w:p>
      <w:pPr>
        <w:spacing w:after="0" w:line="67" w:lineRule="exact"/>
        <w:rPr>
          <w:rFonts w:ascii="Times New Roman" w:cs="Times New Roman" w:eastAsia="Times New Roman" w:hAnsi="Times New Roman"/>
          <w:sz w:val="18"/>
          <w:szCs w:val="18"/>
          <w:color w:val="auto"/>
        </w:rPr>
      </w:pPr>
    </w:p>
    <w:p>
      <w:pPr>
        <w:ind w:left="1240" w:right="220" w:hanging="415"/>
        <w:spacing w:after="0" w:line="312"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and regulatory infrastructure allows us to serve more customers, maintain compliance with regulations, effectively launch new products, and be an attractive partner for early-stage innovative product developers seeking commercial channels.</w:t>
      </w:r>
    </w:p>
    <w:p>
      <w:pPr>
        <w:spacing w:after="0" w:line="140"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2021, our PDx business generated $2,018 million of revenue, a 13% increase year-over-year from $1,780 million in 2020, representing 11% of GE HealthCare’s total 2021 revenue. In 2021, we generated $693 million of segment EBIT compared to $504 million in 2020, representing a 38% increase year-over-year.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Research and Development Activities</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Our R&amp;D efforts focus on creating new products and solutions, developing new applications for products, and enhancing our existing products to help improve outcomes for customers and their patients. We invested $816 million in R&amp;D in 2021, a 1% increase from 2020. We conduct global R&amp;D efforts in 18 countries that include both developed and emerging markets. As of 2021, we employ over 9,700 engineers and scientists,</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including approximately 3,700 hardware and systems engineers, 4,700 software engineers, and 600 personnel focused on clinical research. We engage in and sponsor clinical research and product development through collaborations with universities, medical centers, and other organizations.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Service Capabilities</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Our industry-leading service offerings are a key driver of our success. Our capabilities extend beyond on-site repair to include remote monitoring, repair, and corrective maintenance capabilities. We have approximately 8,500 field service engineers, 36 global or regional repair centers, and 46 customer service centers. We utilize our local presence to provide customers with tailored commercial solutions, such as holistic infrastructure solutions, local training, equipment repair, financing programs, and other services. In 2021, we resolved over 80% of service issues on the first call and on average manage over 3,600 parts orders per day. Currently, approximately 80% of our imaging systems are connected for remote monitoring, enabling diagnostic consultations with skilled, off-site engineers, predictive maintenance, and asset management analytics. We also help customers extend the utility and value of their equipment through asset management services, clinical utilization analytics, and technology upgrades that bridge our customers to next-generation platforms. We believe our comprehensive and high-quality service offerings drive higher sales of replacement equipment to our customers.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Distribution Model</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GE HealthCare deploys a global multi-channel commercial model consisting of over 10,000 sales professionals and a network of approximately 5,600 indirect third-party partners. Our reach into top hospitals and health systems is evidenced by our long-standing collaborations with leading institutions around the world. Our commercial model is organized according to the needs of our customers and includes global and regional marketing; regional inside sales teams; field-based sales teams comprised of strategic account executives, account managers, and product specialists; and sales agents and distributors. Our equipment sales representatives partner closely with their service sales counterparts to position both equipment contracts and long-term maintenance agreements along with system upgrades and SaaS agreements. We complement our direct and indirect sales channels with both end-to-end virtual sales teams. Our direct and indirect channel mix helps us expand our market coverage, increase customer satisfaction, and win more business in broad geographies and emerging markets. In developed markets, we supplement our commercial model with strategic account executive and collaboration teams who bring the depth and breadth of our overall portfolio to the senior leadership of our top customers to deliver long-term commercial collaborations, which can be tied to specific outcomes.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Integrated Supply Chain, Sourcing, and Logistics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sourcing, production, and distribution network is managed globally, while our products are manufactured at and distributed by facilities serving specific regions. We believe our global scale, complemented by local focus, allows us to provide our customers with improved supply chain security, reduced costs, and compliance with regional or national trade and marketing requirements. We have manufacturing, assembly, and pharmaceutical production in 43 plants across 17 countries. In 2021, we produced and delivered approximately 19,000 Imaging systems, 64,000 Ultrasound systems, 183,000 PCS products, and 100 million doses of imaging agents. We use globally managed and coordinated quality assurance programs across our manufacturing and ISO-certified distribution facilities and we regularly inspect and audit our sites. We hold our suppliers to the same rigorous operating standards.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An investment in our company is subject to a number of risks. These risks relate to our business, the healthcare industry, data privacy, laws and regulations, financing and capital markets activities, the Spin-Off, and</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261" w:lineRule="auto"/>
        <w:rPr>
          <w:sz w:val="20"/>
          <w:szCs w:val="20"/>
          <w:color w:val="auto"/>
        </w:rPr>
      </w:pPr>
      <w:r>
        <w:rPr>
          <w:rFonts w:ascii="Times New Roman" w:cs="Times New Roman" w:eastAsia="Times New Roman" w:hAnsi="Times New Roman"/>
          <w:sz w:val="18"/>
          <w:szCs w:val="18"/>
          <w:color w:val="auto"/>
        </w:rPr>
        <w:t>our common stock, and the securities market. Any of these risks and other risks could materially and adversely affect our business, results of operations, cash flows, and financial condition and the actual outcome of matters as to which forward-looking statements are made in this prospectus. Please read the information in the section captioned “Risk Factors” of this prospectus for a description of the principal risks that we face. Some of the more significant challenges and risks we face include the following:</w:t>
      </w:r>
    </w:p>
    <w:p>
      <w:pPr>
        <w:spacing w:after="0" w:line="85" w:lineRule="exact"/>
        <w:rPr>
          <w:sz w:val="20"/>
          <w:szCs w:val="20"/>
          <w:color w:val="auto"/>
        </w:rPr>
      </w:pPr>
    </w:p>
    <w:p>
      <w:pPr>
        <w:ind w:left="1240" w:right="12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markets, competition may increase in the future, and our industry may be disrupted, requiring us to lower prices or resulting in a loss of market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dealings involve third-party partners in various markets and the actions or inactions of these third parties could adversely affect our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acquisitions or to successfully integrate acquisitions could adversely affect our business.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manage our supply chain or obtain supplies of important components or raw materials has and may continue to restrict the manufacture of products, cause delays in delivery, or significantly increase our costs.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 in the operations of our manufacturing facilities may impair our ability to deliver products or provide services.</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will assume significant net liabilities with respect to our postretirement benefit plans, including increases in pension, healthcare, and life insurance benefits obligations, and the actual costs of these obligations could exceed current estimates, which are reliant on GE’s estimates and assumptions.</w:t>
      </w:r>
    </w:p>
    <w:p>
      <w:pPr>
        <w:spacing w:after="0" w:line="81"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or retain key personnel and qualified employees, or maintain relations with our employees, unions, and other employee representatives, it could adversely affect our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global COVID-19 pandemic.</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maintain, protect, or effectively enforce our intellectual property rights.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privacy laws and information security policies and regulations.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focus on and investment in cloud, edge, artificial intelligence, and software offerings presents risks to our business.</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the U.S. Foreign Corrupt Practices Act (“FCPA”) and similar anti-corruption and anti-bribery laws has resulted and could continue to result in civil or criminal sanctions and adversely affect our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anti-kickback and false claims laws and failure to comply with these laws could adversely affect our business.</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67" w:lineRule="exact"/>
        <w:rPr>
          <w:rFonts w:ascii="Times New Roman" w:cs="Times New Roman" w:eastAsia="Times New Roman" w:hAnsi="Times New Roman"/>
          <w:sz w:val="18"/>
          <w:szCs w:val="18"/>
          <w:color w:val="auto"/>
        </w:rPr>
      </w:pPr>
    </w:p>
    <w:p>
      <w:pPr>
        <w:ind w:left="1240" w:right="60" w:hanging="415"/>
        <w:spacing w:after="0" w:line="312"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public and private payers to control increases in healthcare costs may lead to lower reimbursements or increased utilization controls related to the use of our products by healthcare providers, which may affect demand for our products, services, or solutions.</w:t>
      </w: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6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are subject to extensive laws and regulations, and any changes thereto or violations thereof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attention to environmental, social, and governance (“ESG”) matters, including environmental, health, and safety (“EH&amp;S”) matters, may impose additional costs on our business and expose us to new risks.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some or all of the benefits that we expect to achieve from the Spin-Off.</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new indebtedness prior to the Spin-Off, and the degree to which we will be leveraged following completion of the Spin-Off could adversely affect our business, results of operations, cash flows, and financial condition.</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market for our common stock currently exists and an active trading market may not develop or be sustained after the Spin-Off. Following the Spin-Off, our stock price may fluctuate significantly, and there can be no assurance that the combined trading prices of our and GE’s common stock would exceed the trading price of GE common stock absent the Spin-Off.</w:t>
      </w:r>
    </w:p>
    <w:p>
      <w:pPr>
        <w:spacing w:after="0" w:line="81" w:lineRule="exact"/>
        <w:rPr>
          <w:rFonts w:ascii="Times New Roman" w:cs="Times New Roman" w:eastAsia="Times New Roman" w:hAnsi="Times New Roman"/>
          <w:sz w:val="18"/>
          <w:szCs w:val="18"/>
          <w:color w:val="auto"/>
        </w:rPr>
      </w:pPr>
    </w:p>
    <w:p>
      <w:pPr>
        <w:ind w:left="1240" w:right="20" w:hanging="415"/>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sales of our common stock may occur in connection with the Spin-Off, or in the future, including the disposition by GE of our shares of common stock that it will retain after the Spin-Off, either of which could cause our stock price to decline or be volatile.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On November 9, 2021, GE announced plans for the complete legal and structural separation of the Healthcare business from GE, as well as the subsequent spin-off of GE Vernova. In reaching the decision to pursue the Spin-Off of the Healthcare business, GE considered a range of potential structural alternatives and concluded that the Spin-Off is the most attractive alternative for enhancing stockholder value. To effect the Spin-Off, GE will undertake the Reorganization Transactions. GE will subsequently distribute at least 80.1% of our common stock to GE’s stockholders, and following the Spin-Off, GE HealthCare, holding the Healthcare business, will become an independent, publicly traded company. GE will retain up to 19.9% of our outstanding shares following the Spin-Off. On November 7, 2022 we entered into a separation and distribution agreement with GE (the “Separation and Distribution Agreement”) and, prior to completion of the Spin-Off, we intend to enter into several other agreements with GE related to the Spin-Off. These agreements will govern our relationship with GE up to and after completion of the Spin-Off and allocate between us and GE and various assets, liabilities and obligations, including employee benefits, intellectual property, and tax-related assets and liabilities. See “Certain Relationships and Related Person Transactions.”</w:t>
      </w:r>
    </w:p>
    <w:p>
      <w:pPr>
        <w:spacing w:after="0" w:line="194" w:lineRule="exact"/>
        <w:rPr>
          <w:sz w:val="20"/>
          <w:szCs w:val="20"/>
          <w:color w:val="auto"/>
        </w:rPr>
      </w:pPr>
    </w:p>
    <w:p>
      <w:pPr>
        <w:ind w:left="300" w:right="160" w:firstLine="426"/>
        <w:spacing w:after="0" w:line="255" w:lineRule="auto"/>
        <w:rPr>
          <w:sz w:val="20"/>
          <w:szCs w:val="20"/>
          <w:color w:val="auto"/>
        </w:rPr>
      </w:pPr>
      <w:r>
        <w:rPr>
          <w:rFonts w:ascii="Times New Roman" w:cs="Times New Roman" w:eastAsia="Times New Roman" w:hAnsi="Times New Roman"/>
          <w:sz w:val="18"/>
          <w:szCs w:val="18"/>
          <w:color w:val="auto"/>
        </w:rPr>
        <w:t>GE’s plan to transfer less than all of our common stock to its stockholders in the Spin-Off is motivated by its desire to establish, in an efficient and non-taxable, cost-effective manner, an appropriate capital structure for both us and GE, including by reducing, directly or indirectly, GE’s indebtedness following the Spin-Off. GE currently intends to dispose of all of our common stock that it retains after the Spin-Off, based on market and general economic conditions and sound business judgment, (A) through one or more subsequent exchanges of our common stock for GE debt held by one or more investment banks, (B) through distributions to GE stockholders either pro rata as dividends or in exchange for outstanding shares of GE common stock, or (C) in one or more public or private sale transactions (including potentially through secondary transactions).</w:t>
      </w:r>
    </w:p>
    <w:p>
      <w:pPr>
        <w:spacing w:after="0" w:line="189"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In connection with the Spin-Off, GE will transfer to us plan assets and obligations primarily associated with our active, retired, and other former GE employees in certain jurisdictions and we will provide the benefits directly. The actual assumed net benefit plan obligations and related expenses could change significantly from</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5"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50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our estimates. The plan assets and obligations that will transfer to us in connection with the Spin-Off will be based on the GE Principal Pension Plans which consist of the GE Pension Plan, the GE Supplementary Pension Plan, the GE Principal Retiree Benefit Plans, and Other Pension Plans consisting of U.S. and non-U.S. pension plans.</w:t>
      </w:r>
    </w:p>
    <w:p>
      <w:pPr>
        <w:spacing w:after="0" w:line="176"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Completion of the Spin-Off is subject to the satisfaction or waiver of a number of conditions. In addition, GE has the right not to complete the Spin-Off if, at any time, the GE Board determines, in its sole and absolute discretion, that the Spin-Off is not in the best interests of GE or its stockholders, or is otherwise not advisable. See “The Spin-Off—Conditions to the Spin-Off.”</w:t>
      </w:r>
    </w:p>
    <w:p>
      <w:pPr>
        <w:spacing w:after="0" w:line="176"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Following the Spin-Off, we and GE will be better positioned to increase managerial focus on pursuing individual strategies to drive performance, invest more in growth opportunities, and execute strategic plans best suited to address the distinct market trends and opportunities for the respective businesses. Following the Reorganization Transactions, we will hold GE’s former Healthcare business, and we will have greater agility to deliver market-leading innovation across our products, services, and solutions. We plan to focus on further developing our expertise in Imaging and digital, Patient Care Solutions, Pharmaceutical Diagnostics, and Ultrasound. Additionally, after our separation from GE, GE intends to complete the separate spin-off of GE Vernova and to focus on GE Aerospace. Further, the Spin-Off will allow our management team to devote its time and attention to the corporate strategies and policies that are based specifically on the needs of the Healthcare business. We plan to create incentives for our management and employees that align with our business performance and the interests of our stockholders, which will help us attract, retain, and motivate highly qualified personnel. Moreover, following the Spin-Off, each company will be able to use its capital to pursue and achieve strategic objectives including effectuating acquisitions. Additionally, we and GE believe the Spin-Off will help align our stockholder base with the characteristics and risk profile of the respective businesses. See “The Spin-Off—Reasons for the Spin-Off.”</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common stock has been approved for listing by the Exchange and will trade under the ticker symbol “GEHC.”</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We are a wholly-owned subsidiary of GE. We were formed on May 16, 2022 to serve as a holding company for the Healthcare business. We have engaged in no business operations to date and have no assets or liabilities of any kind, other than those incidental to our formation. Our corporate headquarters will be located at 500 W. Monroe Street, Chicago, Illinois 60661, and our telephone number is 617-443-3400. Our website address is www.gehealthcare.com. Information contained on, or that can be accessed through, our website is not part of, and is not incorporated into, this prospectus. We will convert into a corporation and will be renamed GE HealthCare Technologies Inc. prior to the completion of the Spin-Off.</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800" w:type="dxa"/>
            <w:vAlign w:val="bottom"/>
            <w:tcBorders>
              <w:top w:val="single" w:sz="8" w:color="auto"/>
              <w:left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FFERING</w:t>
            </w:r>
          </w:p>
        </w:tc>
      </w:tr>
      <w:tr>
        <w:trPr>
          <w:trHeight w:val="441"/>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Company will not receive any proceeds from the shares of our common stock offered</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under the GE HealthCare Mirror LTIPs. See “Use of Proceeds.”</w:t>
            </w:r>
          </w:p>
        </w:tc>
      </w:tr>
      <w:tr>
        <w:trPr>
          <w:trHeight w:val="441"/>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For a discussion of risk and uncertainties involved with an investment in our common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stock, see “Risk Factors” included elsewhere in this prospectus and any risk factors</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described in any accompanying prospectus supplement.</w:t>
            </w:r>
          </w:p>
        </w:tc>
      </w:tr>
      <w:tr>
        <w:trPr>
          <w:trHeight w:val="441"/>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There is currently no trading market for our common stock. We expect a limited trading</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market, commonly known as a “when-issued” trading market, to develop on or prior to the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record date for the Spin-Off, and we expect “regular-way” trading of our common stock to</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begin on the first trading day following the completion of the Spin-Off. Our common stock</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has been approved for listing on the Exchange under the symbol “GEHC.”</w:t>
            </w:r>
          </w:p>
        </w:tc>
      </w:tr>
      <w:tr>
        <w:trPr>
          <w:trHeight w:val="159"/>
        </w:trPr>
        <w:tc>
          <w:tcPr>
            <w:tcW w:w="280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Combined Financial Information</w:t>
      </w:r>
    </w:p>
    <w:p>
      <w:pPr>
        <w:spacing w:after="0" w:line="229"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The following summary financial data reflects the combined operations of GE HealthCare. The summary historical and unaudited pro forma condensed combined financial data shown below should be read in conjunction with the sections herein entitled “Capitalization,” “Management’s Discussion and Analysis of Financial Condition and Results of Operations,” “Unaudited Pro Forma Condensed Combined Financial Statements,” and “Certain Relationships and Related Person Transactions” as well as our combined financial statements and the corresponding notes included elsewhere in this prospectus. For factors that could cause actual results to differ materially from those presented in the summary historical and pro forma condensed combined financial data, see “Cautionary Statement Concerning Forward-Looking Statements” and “Risk Factors” included elsewhere in this prospectus.</w:t>
      </w:r>
    </w:p>
    <w:p>
      <w:pPr>
        <w:spacing w:after="0" w:line="189"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derived the summary historical combined financial information for each of the fiscal years in the three-year period ended December 31, 2021, from our audited combined financial statements and for each of the nine months ended September 30, 2022 and 2021 from our unaudited condensed combined financial statements, which are included elsewhere in this prospectus.</w:t>
      </w:r>
    </w:p>
    <w:p>
      <w:pPr>
        <w:spacing w:after="0" w:line="176"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for the nine months ended September 30, 2022, and the year ended December 31, 2021, has been derived from our unaudited pro forma condensed combined financial information, which is included elsewhere in this prospectus.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13,403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17,164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10,397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GE HealthCare</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13,846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from (used for) operating activities —</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data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Organic revenue growth*</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right="320" w:hanging="422"/>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operating results, as calculated in accordance with U.S. GAAP, we use, and plan to continue using non-GAAP financial measures, when monitoring and evaluating operating performance. The non-GAAP financial measures presented in this prospectus are supplemental measures of our performance</w:t>
      </w:r>
    </w:p>
    <w:p>
      <w:pPr>
        <w:spacing w:after="0" w:line="73" w:lineRule="exact"/>
        <w:rPr>
          <w:sz w:val="20"/>
          <w:szCs w:val="20"/>
          <w:color w:val="auto"/>
        </w:rPr>
      </w:pPr>
    </w:p>
    <w:p>
      <w:pPr>
        <w:ind w:left="500" w:hanging="202"/>
        <w:spacing w:after="0"/>
        <w:tabs>
          <w:tab w:leader="none" w:pos="50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80"/>
        <w:spacing w:after="0" w:line="258" w:lineRule="auto"/>
        <w:rPr>
          <w:sz w:val="20"/>
          <w:szCs w:val="20"/>
          <w:color w:val="auto"/>
        </w:rPr>
      </w:pPr>
      <w:r>
        <w:rPr>
          <w:rFonts w:ascii="Times New Roman" w:cs="Times New Roman" w:eastAsia="Times New Roman" w:hAnsi="Times New Roman"/>
          <w:sz w:val="18"/>
          <w:szCs w:val="18"/>
          <w:color w:val="auto"/>
        </w:rPr>
        <w:t>and our liquidity that we believe help investors understand our financial condition and operating results and assess our future prospects. We believe that these non-GAAP financial measures, in addition to the corresponding U.S. GAAP financial measures, are important supplemental measures which exclude non-cash or other items that may not be indicative of or are unrelated to our core operating results and the overall health of our company. For more information about our non-GAAP financial measures, see “Non-GAAP Financial Data” and “Management’s Discussion and Analysis of Financial Condition and Results of Operations—Non-GAAP Financial Measures.”</w:t>
      </w:r>
    </w:p>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72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5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7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556</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31,803</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26,067</w:t>
            </w:r>
          </w:p>
        </w:tc>
        <w:tc>
          <w:tcPr>
            <w:tcW w:w="18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26,308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24,228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8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10,229</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8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Compensation and benefits</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6,554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w:t>
            </w:r>
          </w:p>
        </w:tc>
        <w:tc>
          <w:tcPr>
            <w:tcW w:w="18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751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25,718</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8,991</w:t>
            </w:r>
          </w:p>
        </w:tc>
        <w:tc>
          <w:tcPr>
            <w:tcW w:w="18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9,412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5,720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16,878</w:t>
            </w:r>
          </w:p>
        </w:tc>
        <w:tc>
          <w:tcPr>
            <w:tcW w:w="18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16,676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14,751</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liabilities, redeemable noncontrolling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interests and equity</w:t>
            </w:r>
          </w:p>
        </w:tc>
        <w:tc>
          <w:tcPr>
            <w:tcW w:w="20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31,803</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26,067</w:t>
            </w:r>
          </w:p>
        </w:tc>
        <w:tc>
          <w:tcPr>
            <w:tcW w:w="18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26,308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24,228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180" w:hanging="422"/>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among other assets and obligations, pension and other employee benefit plans from GE sponsored plans that will be transferred to us in connection with the Spin-Off.</w:t>
      </w:r>
    </w:p>
    <w:p>
      <w:pPr>
        <w:spacing w:after="0" w:line="162"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tables below reconcile our non-GAAP financial measures to the nearest financial measure that is in accordance with U.S. GAAP for the periods presented. See “Non-GAAP Financial Data” and “Management’s Discussion and Analysis of Financial Condition and Results of Operations—Non-GAAP Financial Measures” for further information.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Organic Revenue</w:t>
      </w:r>
      <w:r>
        <w:rPr>
          <w:rFonts w:ascii="Times New Roman" w:cs="Times New Roman" w:eastAsia="Times New Roman" w:hAnsi="Times New Roman"/>
          <w:sz w:val="26"/>
          <w:szCs w:val="26"/>
          <w:b w:val="1"/>
          <w:bCs w:val="1"/>
          <w:i w:val="1"/>
          <w:iCs w:val="1"/>
          <w:color w:val="auto"/>
          <w:vertAlign w:val="superscript"/>
        </w:rPr>
        <w:t>*</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0" w:type="dxa"/>
            <w:vAlign w:val="bottom"/>
            <w:tcBorders>
              <w:bottom w:val="single" w:sz="8" w:color="auto"/>
            </w:tcBorders>
            <w:gridSpan w:val="6"/>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Borders>
              <w:bottom w:val="single" w:sz="8" w:color="auto"/>
            </w:tcBorders>
            <w:gridSpan w:val="5"/>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Borders>
              <w:bottom w:val="single" w:sz="8" w:color="auto"/>
            </w:tcBorders>
            <w:gridSpan w:val="6"/>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10"/>
                <w:szCs w:val="10"/>
                <w:b w:val="1"/>
                <w:bCs w:val="1"/>
                <w:color w:val="auto"/>
              </w:rPr>
              <w:t>(c)</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4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0"/>
                <w:szCs w:val="10"/>
                <w:b w:val="1"/>
                <w:bCs w:val="1"/>
                <w:color w:val="auto"/>
              </w:rPr>
              <w:t>(c)</w:t>
            </w: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6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0"/>
                <w:szCs w:val="10"/>
                <w:color w:val="auto"/>
              </w:rPr>
            </w:pPr>
          </w:p>
        </w:tc>
        <w:tc>
          <w:tcPr>
            <w:tcW w:w="7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$ 13,403</w:t>
            </w:r>
          </w:p>
        </w:tc>
        <w:tc>
          <w:tcPr>
            <w:tcW w:w="16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12,996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3%</w:t>
            </w:r>
          </w:p>
        </w:tc>
        <w:tc>
          <w:tcPr>
            <w:tcW w:w="80" w:type="dxa"/>
            <w:vAlign w:val="bottom"/>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17,585</w:t>
            </w: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17,164</w:t>
            </w:r>
          </w:p>
        </w:tc>
        <w:tc>
          <w:tcPr>
            <w:tcW w:w="20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vMerge w:val="continue"/>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17,164</w:t>
            </w:r>
          </w:p>
        </w:tc>
        <w:tc>
          <w:tcPr>
            <w:tcW w:w="1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16,633</w:t>
            </w:r>
          </w:p>
        </w:tc>
        <w:tc>
          <w:tcPr>
            <w:tcW w:w="2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3"/>
        </w:trPr>
        <w:tc>
          <w:tcPr>
            <w:tcW w:w="27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4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Organic revenue*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$ 13,711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12,996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17,258</w:t>
            </w:r>
          </w:p>
        </w:tc>
        <w:tc>
          <w:tcPr>
            <w:tcW w:w="98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17,083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17,143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16,557</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right="360" w:hanging="422"/>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revenue attributable to acquisitions from the date we completed the transaction through the end of four quarters following the transaction.</w:t>
      </w:r>
    </w:p>
    <w:p>
      <w:pPr>
        <w:ind w:left="720" w:hanging="422"/>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revenue attributable to dispositions for the four quarters preceding the disposition date.</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both Historical and Pro Forma financial data as no adjustments were made to Total revenues on a Pro Forma basis.</w:t>
      </w:r>
    </w:p>
    <w:p>
      <w:pPr>
        <w:spacing w:after="0" w:line="117" w:lineRule="exact"/>
        <w:rPr>
          <w:sz w:val="20"/>
          <w:szCs w:val="20"/>
          <w:color w:val="auto"/>
        </w:rPr>
      </w:pPr>
    </w:p>
    <w:p>
      <w:pPr>
        <w:ind w:left="500" w:hanging="202"/>
        <w:spacing w:after="0"/>
        <w:tabs>
          <w:tab w:leader="none" w:pos="50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6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Adjusted EBIT</w:t>
      </w:r>
      <w:r>
        <w:rPr>
          <w:rFonts w:ascii="Times New Roman" w:cs="Times New Roman" w:eastAsia="Times New Roman" w:hAnsi="Times New Roman"/>
          <w:sz w:val="26"/>
          <w:szCs w:val="26"/>
          <w:b w:val="1"/>
          <w:bCs w:val="1"/>
          <w:i w:val="1"/>
          <w:iCs w:val="1"/>
          <w:color w:val="auto"/>
          <w:vertAlign w:val="superscript"/>
        </w:rPr>
        <w:t>*</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9"/>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73"/>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7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6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1,362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1,683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2,247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13,846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1,524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Add: Interest and other financial charges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Non-operating benefit (income) costs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671</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(421)</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(652)</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Income (loss) from discontinued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 net of taxes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11,839</w:t>
            </w:r>
          </w:p>
        </w:tc>
        <w:tc>
          <w:tcPr>
            <w:tcW w:w="3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2,756</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Restructuring costs</w:t>
            </w:r>
            <w:r>
              <w:rPr>
                <w:rFonts w:ascii="Times New Roman" w:cs="Times New Roman" w:eastAsia="Times New Roman" w:hAnsi="Times New Roman"/>
                <w:sz w:val="25"/>
                <w:szCs w:val="25"/>
                <w:color w:val="auto"/>
                <w:vertAlign w:val="superscript"/>
              </w:rPr>
              <w:t>(a)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Acquisition and disposition related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charges (benefits)</w:t>
            </w:r>
            <w:r>
              <w:rPr>
                <w:rFonts w:ascii="Times New Roman" w:cs="Times New Roman" w:eastAsia="Times New Roman" w:hAnsi="Times New Roman"/>
                <w:sz w:val="26"/>
                <w:szCs w:val="26"/>
                <w:color w:val="auto"/>
                <w:vertAlign w:val="superscript"/>
              </w:rPr>
              <w:t>(b)</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Spin-Off and separation costs</w:t>
            </w:r>
            <w:r>
              <w:rPr>
                <w:rFonts w:ascii="Times New Roman" w:cs="Times New Roman" w:eastAsia="Times New Roman" w:hAnsi="Times New Roman"/>
                <w:sz w:val="25"/>
                <w:szCs w:val="25"/>
                <w:color w:val="auto"/>
                <w:vertAlign w:val="superscript"/>
              </w:rPr>
              <w:t>(c)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(Gain)/loss of business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dispositions/divestments</w:t>
            </w:r>
            <w:r>
              <w:rPr>
                <w:rFonts w:ascii="Times New Roman" w:cs="Times New Roman" w:eastAsia="Times New Roman" w:hAnsi="Times New Roman"/>
                <w:sz w:val="26"/>
                <w:szCs w:val="26"/>
                <w:color w:val="auto"/>
                <w:vertAlign w:val="superscript"/>
              </w:rPr>
              <w:t>(d)</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acquisition-related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Investment revaluation (gain) /loss</w:t>
            </w:r>
            <w:r>
              <w:rPr>
                <w:rFonts w:ascii="Times New Roman" w:cs="Times New Roman" w:eastAsia="Times New Roman" w:hAnsi="Times New Roman"/>
                <w:sz w:val="25"/>
                <w:szCs w:val="25"/>
                <w:color w:val="auto"/>
                <w:vertAlign w:val="superscript"/>
              </w:rPr>
              <w: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2,017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2,345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2,492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margin (U.S. GAAP)</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10.2%</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80.7%</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 margin*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720" w:hanging="422"/>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severance, facility closures, and other charges associated with historical restructuring programs.</w:t>
      </w:r>
    </w:p>
    <w:p>
      <w:pPr>
        <w:spacing w:after="0" w:line="27" w:lineRule="exact"/>
        <w:rPr>
          <w:rFonts w:ascii="Times New Roman" w:cs="Times New Roman" w:eastAsia="Times New Roman" w:hAnsi="Times New Roman"/>
          <w:sz w:val="18"/>
          <w:szCs w:val="18"/>
          <w:color w:val="auto"/>
        </w:rPr>
      </w:pPr>
    </w:p>
    <w:p>
      <w:pPr>
        <w:ind w:left="720" w:right="660" w:hanging="422"/>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720" w:right="380" w:hanging="422"/>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Spin-Off and separation from GE as well as the planned IPO of GE’s Healthcare business in 2019 including system implementation, audit and advisory fees, legal entity separation, and other one-time costs.</w:t>
      </w:r>
    </w:p>
    <w:p>
      <w:pPr>
        <w:ind w:left="720" w:hanging="422"/>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resulting from the sale of assets and investments.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valuation adjustments for equity investments.</w:t>
      </w:r>
    </w:p>
    <w:p>
      <w:pPr>
        <w:spacing w:after="0" w:line="104" w:lineRule="exact"/>
        <w:rPr>
          <w:sz w:val="20"/>
          <w:szCs w:val="20"/>
          <w:color w:val="auto"/>
        </w:rPr>
      </w:pPr>
    </w:p>
    <w:p>
      <w:pPr>
        <w:ind w:left="500" w:hanging="202"/>
        <w:spacing w:after="0"/>
        <w:tabs>
          <w:tab w:leader="none" w:pos="50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47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4547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r>
        <w:rPr>
          <w:rFonts w:ascii="Times New Roman" w:cs="Times New Roman" w:eastAsia="Times New Roman" w:hAnsi="Times New Roman"/>
          <w:sz w:val="26"/>
          <w:szCs w:val="26"/>
          <w:b w:val="1"/>
          <w:bCs w:val="1"/>
          <w:i w:val="1"/>
          <w:iCs w:val="1"/>
          <w:color w:val="auto"/>
          <w:vertAlign w:val="superscript"/>
        </w:rPr>
        <w:t>*</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9"/>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73"/>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September 30</w:t>
            </w:r>
          </w:p>
        </w:tc>
        <w:tc>
          <w:tcPr>
            <w:tcW w:w="120" w:type="dxa"/>
            <w:vAlign w:val="bottom"/>
          </w:tcPr>
          <w:p>
            <w:pPr>
              <w:spacing w:after="0"/>
              <w:rPr>
                <w:sz w:val="15"/>
                <w:szCs w:val="15"/>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5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3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$ 1,683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2,247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13,846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Add: Non-operating benefit (income) costs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Restructuring costs</w:t>
            </w:r>
            <w:r>
              <w:rPr>
                <w:rFonts w:ascii="Times New Roman" w:cs="Times New Roman" w:eastAsia="Times New Roman" w:hAnsi="Times New Roman"/>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Add: Acquisition and disposition related charges (benefits)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7"/>
                <w:szCs w:val="17"/>
                <w:color w:val="auto"/>
              </w:rPr>
            </w:pP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1"/>
        </w:trPr>
        <w:tc>
          <w:tcPr>
            <w:tcW w:w="4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Spin-Off and separation costs</w:t>
            </w:r>
            <w:r>
              <w:rPr>
                <w:rFonts w:ascii="Times New Roman" w:cs="Times New Roman" w:eastAsia="Times New Roman" w:hAnsi="Times New Roman"/>
                <w:sz w:val="25"/>
                <w:szCs w:val="25"/>
                <w:color w:val="auto"/>
                <w:vertAlign w:val="superscript"/>
              </w:rPr>
              <w:t>(c)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(Gain)/loss of business dispositions/divestments</w:t>
            </w:r>
            <w:r>
              <w:rPr>
                <w:rFonts w:ascii="Times New Roman" w:cs="Times New Roman" w:eastAsia="Times New Roman" w:hAnsi="Times New Roman"/>
                <w:sz w:val="25"/>
                <w:szCs w:val="25"/>
                <w:color w:val="auto"/>
                <w:vertAlign w:val="superscript"/>
              </w:rPr>
              <w:t>(d)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Amortization of acquisition-related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Investment revaluation (gain) /loss</w:t>
            </w:r>
            <w:r>
              <w:rPr>
                <w:rFonts w:ascii="Times New Roman" w:cs="Times New Roman" w:eastAsia="Times New Roman" w:hAnsi="Times New Roman"/>
                <w:sz w:val="25"/>
                <w:szCs w:val="25"/>
                <w:color w:val="auto"/>
                <w:vertAlign w:val="superscript"/>
              </w:rPr>
              <w: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Tax effect of reconciling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 Impact of tax law changes</w:t>
            </w:r>
            <w:r>
              <w:rPr>
                <w:rFonts w:ascii="Times New Roman" w:cs="Times New Roman" w:eastAsia="Times New Roman" w:hAnsi="Times New Roman"/>
                <w:sz w:val="25"/>
                <w:szCs w:val="25"/>
                <w:color w:val="auto"/>
                <w:vertAlign w:val="superscript"/>
              </w:rPr>
              <w:t>(f)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Income (loss) from discontinued operations, net of</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11,839</w:t>
            </w: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2,347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hanging="422"/>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severance, facility closures, and other charges associated with historical restructuring programs.</w:t>
      </w:r>
    </w:p>
    <w:p>
      <w:pPr>
        <w:spacing w:after="0" w:line="27" w:lineRule="exact"/>
        <w:rPr>
          <w:rFonts w:ascii="Times New Roman" w:cs="Times New Roman" w:eastAsia="Times New Roman" w:hAnsi="Times New Roman"/>
          <w:sz w:val="18"/>
          <w:szCs w:val="18"/>
          <w:color w:val="auto"/>
        </w:rPr>
      </w:pPr>
    </w:p>
    <w:p>
      <w:pPr>
        <w:ind w:left="720" w:right="660" w:hanging="422"/>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720" w:right="380" w:hanging="422"/>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Spin-Off and separation from GE as well as the planned IPO of GE’s Healthcare business in 2019 including system implementation, audit and advisory fees, legal entity separation, and other one-time costs.</w:t>
      </w:r>
    </w:p>
    <w:p>
      <w:pPr>
        <w:ind w:left="720" w:hanging="422"/>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resulting from the sale of assets and investments.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valuation adjustments for equity investments.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benefit from U.K. tax rate change.</w:t>
      </w:r>
    </w:p>
    <w:p>
      <w:pPr>
        <w:spacing w:after="0" w:line="104" w:lineRule="exact"/>
        <w:rPr>
          <w:sz w:val="20"/>
          <w:szCs w:val="20"/>
          <w:color w:val="auto"/>
        </w:rPr>
      </w:pPr>
    </w:p>
    <w:p>
      <w:pPr>
        <w:ind w:left="500" w:hanging="202"/>
        <w:spacing w:after="0"/>
        <w:tabs>
          <w:tab w:leader="none" w:pos="50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344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2344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r>
        <w:rPr>
          <w:rFonts w:ascii="Times New Roman" w:cs="Times New Roman" w:eastAsia="Times New Roman" w:hAnsi="Times New Roman"/>
          <w:sz w:val="26"/>
          <w:szCs w:val="26"/>
          <w:b w:val="1"/>
          <w:bCs w:val="1"/>
          <w:i w:val="1"/>
          <w:iCs w:val="1"/>
          <w:color w:val="auto"/>
          <w:vertAlign w:val="superscript"/>
        </w:rPr>
        <w:t>*</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00" w:type="dxa"/>
            <w:vAlign w:val="bottom"/>
            <w:gridSpan w:val="6"/>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60" w:type="dxa"/>
            <w:vAlign w:val="bottom"/>
          </w:tcPr>
          <w:p>
            <w:pPr>
              <w:spacing w:after="0"/>
              <w:rPr>
                <w:sz w:val="10"/>
                <w:szCs w:val="10"/>
                <w:color w:val="auto"/>
              </w:rPr>
            </w:pPr>
          </w:p>
        </w:tc>
        <w:tc>
          <w:tcPr>
            <w:tcW w:w="2220" w:type="dxa"/>
            <w:vAlign w:val="bottom"/>
            <w:gridSpan w:val="8"/>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73"/>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22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from (used for) operating activities — continuing operations</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$ 1,618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2,618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Additions to PP&amp;E and internal-use software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Dispositions of PP&amp;E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Impact of factoring programs</w:t>
            </w:r>
            <w:r>
              <w:rPr>
                <w:rFonts w:ascii="Times New Roman" w:cs="Times New Roman" w:eastAsia="Times New Roman" w:hAnsi="Times New Roman"/>
                <w:sz w:val="25"/>
                <w:szCs w:val="25"/>
                <w:color w:val="auto"/>
                <w:vertAlign w:val="superscript"/>
              </w:rPr>
              <w:t>(a)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841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$ 2,275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2,827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2,463</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right="640" w:hanging="422"/>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net cash flows from operating activities from continuing operations had we not factored receivables with GE’s Working Capital Solutions (“WCS”). By the end of 2021, factoring of receivables with WCS was discontinued.</w:t>
      </w:r>
    </w:p>
    <w:p>
      <w:pPr>
        <w:spacing w:after="0" w:line="58" w:lineRule="exact"/>
        <w:rPr>
          <w:sz w:val="20"/>
          <w:szCs w:val="20"/>
          <w:color w:val="auto"/>
        </w:rPr>
      </w:pPr>
    </w:p>
    <w:p>
      <w:pPr>
        <w:ind w:left="500" w:hanging="202"/>
        <w:spacing w:after="0"/>
        <w:tabs>
          <w:tab w:leader="none" w:pos="50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have a material adverse effect on our business, financial condition, or results of operations. The market price of our common stock could decline if one or more of these risks or uncertainties develop into actual events, causing you to lose all or part of your investment. While we believe these risks and uncertainties are especially important for you to consider, we may face other risks and uncertainties that could have a material adverse effect on our business. Certain statements contained in the risk factors described below are forward-looking statements. See “Cautionary Statement Concerning Forward-Looking Statements” for more information.</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Our Industry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Relating to Our Operations</w:t>
      </w:r>
    </w:p>
    <w:p>
      <w:pPr>
        <w:spacing w:after="0" w:line="11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competition may increase in the future, and our industry may be disrupted, requiring us to lower prices or resulting in a loss of market share.</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Healthcare markets are characterized by rapidly evolving technology, frequent introduction of new products, intense competition, and pricing pressure. We face substantial competition from international and domestic companies of all sizes; these competitors often differ across our businesses. Competition is primarily focused on cost effectiveness, price, service, product performance, and technological innovation. Our ability to compete successfully may be adversely affected by factors such as:</w:t>
      </w:r>
    </w:p>
    <w:p>
      <w:pPr>
        <w:spacing w:after="0" w:line="85" w:lineRule="exact"/>
        <w:rPr>
          <w:sz w:val="20"/>
          <w:szCs w:val="20"/>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more affordable products or product enhancements by competitors, including products that could substitute for our products;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technology, the application of known or unknown technology, advances in medicine, or new developments in the treatment or diagnosis of disease that transform our industry or render a product line obsolete;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responding more quickly or effectively to new technology or changes in customer requirements and industry trends;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satisfy local market conditions, such as mandatory intellectual property transfers, protectionist measures, and other government policies supporting increased local competition;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new or innovative business models to our industry;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market entrants, including those with innovative technology or substantial financial resources, such as startups or established technology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maintain or expand relationships with existing customers or attract new customers;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production or delivery, whether due to geographic location, currency fluctuations, taxes, duties, or otherwise, which may enable our competitors to offer greater discounts or lower prices;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brand and image in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strengthening of independent service organizations and companies specializing in one or more of our operating segments or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successfully enter new geographic or adjacent product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acquire or effectively integrate businesses and technologies that complement or expand our existing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standards, legal requirements, or enforcement rigor;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customers, suppliers, channel partners, or competitors.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implementation of localization requirements and other government policies, driven by support of local industry, security of supply, and incentives for technological breakthroughs, could negatively affect our market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share, business results, cash flows, and financial condition. In particular, we expect our Chinese competitors to continue to gain market share supported by Chinese government policies favorable to locally-based manufacturers.</w:t>
      </w:r>
    </w:p>
    <w:p>
      <w:pPr>
        <w:spacing w:after="0" w:line="162"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Our industry-leading service organization allows us to deliver service offerings through an extensive network of field service engineers, global repair, and customer service centers. Increased competition from independent service organizations (“ISOs”), third-party entities that specialize in the repair and maintenance of medical devices produced by original equipment manufacturers (“OEMs”), including us, and evolving regulatory and legislative policies could adversely impact our business and results of operations by driving down quality and price levels for services and repairs. In the United States and Europe, ISOs have been increasing pressure for greater access to OEM service tools, parts, documents, software updates, and training.</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inability to obtain and maintain regulatory authorizations for and supply commercial quantities of our offerings as quickly and effectively as our competitors could limit market acceptance. Furthermore, our markets are continually evolving and thus revenues and income are difficult to forecast. Any of these competitive factors could adversely affect our pricing, margins, and market share and have a material adverse effect on our business, cash flows, financial condition, results of operations, or prospects.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dealings involve third-party partners in various markets, and the actions or inactions of these third parties could adversely affect our business.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business dealings involve third-party partners such as distributors, dealers, wholesalers, packagers, resellers, agents, and others. In turn, these parties may use sub-parties. Such dealings expose us to known and unknown risks, including risks related to economic, political, and regulatory environments; performance and quality control; business continuity in the event of termination; conflicts of interest; and legal and regulatory violations committed by these third parties or their sub-parties, which may not be subject to our control. These third parties may suffer or cause us to suffer commercial, financial, or reputational harm or violate local laws or regulations, each of which may be outside of our control and could jeopardize our ability to continue doing business in these markets or cause our relationships to deteriorate. Any of the foregoing could have a material adverse effect on our business results, cash flows, financial condition, or reputation.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complete acquisitions or to successfully integrate acquisitions could adversely affect our business.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business strategy includes the acquisition of technologies and businesses that expand or complement our existing business. Successful growth through acquisitions depends upon our ability to identify suitable acquisition targets or assets, conduct due diligence, negotiate transactions on favorable terms, and ultimately complete such transactions and integrate the acquired target or asset successfully, and will be subject, in certain circumstances, to the consent of GE under the Tax Matters Agreement, as discussed in “—Risks Relating to the Spin-Off.”</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Acquisitions may expose us to significant risks and uncertainties, including: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 targets and assets, which may lead to substantial increases in purchase price or terms that are less attractive to us, including the use of our shares for payment of the purchase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external sources of capital, in particular to finance the purchase price of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rulings by certain antitrust or other regulatory bodies;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companies’ previous failure to comply with applicable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integrate acquired companies’ strategies, functions, and products into our own;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produce products at increased scale or loss of previously available distribution channels;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external scrutiny on acquired intellectual property rights, regulatory exclusivity periods, and confidentiality agreements, or lack of intellectual property rights for the acquired portfolio;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existing operations to the acquisition and integration process;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accurately predict or to realize expected growth opportunities, cost savings, synergies, and market acceptance of acquired companies’ products;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identify significant non-compliant behaviors or practices by, or liabilities relating to, the acquisition target (or its agents) prior to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liability imposed by regulators for actions by the target (or its agents) prior to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and difficulties in integrating acquired businesses into our existing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customers and personnel.</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Various other assessments and assumptions regarding acquisition targets may prove to be incorrect, and actual developments may differ significantly from our expectations. The occurrence of any of the above in connection with any acquisition could have a material adverse effect on our business results, cash flows, financial condition, or prospects.</w:t>
      </w:r>
    </w:p>
    <w:p>
      <w:pPr>
        <w:spacing w:after="0" w:line="280"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manage our supply chain or obtain supplies of important components or raw materials has and could continue to restrict the manufacture of products, cause delays in delivery, or significantly increase our costs.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on the timely supply of components, products, services, and solutions. If suppliers fail to meet their delivery obligations, raise prices, or cease to supply to us, it may continue to cause delays in delivery or significantly increase our costs. If we lose suppliers, if their operations are substantially interrupted, if their prices continue to increase significantly due to inflationary pressures, or if any of them fail to meet performance or quality specifications, we may be required to identify and qualify one or more replacement suppliers. This also may require us to redesign or modify our products to incorporate new components and obtain regulatory authorization, qualification or certification of these redesigned or modified products. The COVID-19 pandemic has resulted, and may continue to result, in the inability of many of our suppliers to deliver components or raw materials on a timely basis. We anticipate these, and other supply chain pressures across our business, will continue to adversely affect our operations and financial performance for some period of time. Further, while we make efforts to diversify our suppliers, in many instances there may be a single source or sole supplier with no alternatives yet identified. Our dependence on such single or sole source suppliers subjects us to possible risks of shortages, interruptions, and price fluctuations.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Disruptions or loss of any of our single, or sole-sourced suppliers or capacity limitations of the suppliers for components could increase our costs, curtail growth opportunities, cause material delays, and adversely impact our business, financial results, and customer relationships. Supply chain interruptions or price increases in certain key countries, including China, could have a similar adverse effect on our business.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rely upon supplies of certain raw materials, including helium, iodine, and rare earth minerals. Worldwide demand, availability, and pricing of these raw materials have been volatile, and we expect that to continue in the future. If supply of these materials is restricted or if prices increase, this could constrain our manufacturing of affected products, reduce our profit margins, or otherwise adversely affect our business results, cash flows, and financial condition.</w:t>
      </w:r>
    </w:p>
    <w:p>
      <w:pPr>
        <w:spacing w:after="0" w:line="180"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The risks of disruption described above, including war, natural disasters, climate change-related physical and transitional risks, actual or threatened public health emergencies, or other business continuity events, could adversely affect our operations and limit our ability to meet our commitments to customers or significantly impact our financial results and condition.</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replaced certain internal capabilities with outsourced products, services, or solutions. These processes may result in increased dependency on external suppliers. Failure of third-party suppliers to establish and comply with required quality management systems may also lead to withdrawals of our certifications 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authorizations required for market access in certain jurisdictions. Such supplier failures may prevent us from meeting customer requirements in a timely manner, which could result in damages or other claims, order cancellations, loss of market share, and damage to our reputation. Shortages or delays could adversely affect our business. A general shortage of materials or components also poses the risk of unforeseeable fluctuations in prices and demand. Any of the above factors could have a material adverse effect on our business results, cash flows, financial condition, or prospects.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interruption in the operations of our manufacturing facilities may impair our ability to deliver products or provide services.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dependent on our global production and operating network to develop, manufacture, assemble, supply, and service our offerings. A work stoppage, labor shortage, or other production limitation, including import or export restrictions and transportation issues, among others, could occur at our manufacturing facilities and negatively impact our reputation and market position for several reasons, including as a result of regulatory enforcement actions, tight credit markets, or other financial distress, production constraints or difficulties, unscheduled downtimes, war, severe weather and natural disasters, fires and explosions, accidents, mechanical failures, unscheduled downtimes, pandemics, civil unrest, strikes, unpermitted releases of toxic or hazardous substances, other EH&amp;S risks, sabotage, cybersecurity attacks, riots, or terrorist attacks.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significant event affecting one of our production or operating facilities may result in a disruption to our ability to supply customers, and standby capacity necessary for the reliable operation of the facility may not be sufficiently available. The impact of these risks is heightened if our production capacity is at or near full utilization (or if we lack alternative manufacturing sites) and could result in our inability to accept orders or deliver products in a timely manner. Additionally, significant capital investment to increase manufacturing capacity may be required to expand our business or meet increased demand for our products in the future. Any of these risks could have a material adverse effect on our business results, cash flows, financial condition, or prospects.</w:t>
      </w:r>
    </w:p>
    <w:p>
      <w:pPr>
        <w:spacing w:after="0" w:line="29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logistics and transportation functions on our behalf, and disruptions at our logistics providers could adversely affect our business.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Third-party logistics providers perform our logistics, shipping, and transportation functions. If any of our logistics providers fails to honor a contractual relationship with us, suffers a business interruption, or experiences delays, disruptions, or quality control problems in its operations, including due to pandemics, regional conflicts, natural disasters, or extreme weather events, or if we have to change and qualify alternative logistics providers for our products, shipments to our customers may be delayed. Increased costs and delays, including as a result of disruptions in transportation lines, international air freight capacity limitations, driver and truck capacity limitations in certain markets, airport and port congestion, and delays in customs processes, could have a material adverse effect on our business results, cash flows, financial condition, or prospects.</w:t>
      </w:r>
    </w:p>
    <w:p>
      <w:pPr>
        <w:spacing w:after="0" w:line="29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will assume significant net liabilities with respect to our postretirement benefit plans, including increases in pension, healthcare, and life insurance benefits obligations, and the actual costs of these obligations could exceed current estimates, which are reliant on GE’s estimates and assumptions.</w:t>
      </w:r>
    </w:p>
    <w:p>
      <w:pPr>
        <w:spacing w:after="0" w:line="6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After the Spin-Off, we expect that our total postretirement benefit plans’ net liabilities for our employees, our former employees and certain legacy former employees unrelated to our core business and allocated to us by GE will be approximately $5.1 billion. These net liabilities arise under multiple benefit plans and statutory obligations in various countries. Increases in pension, healthcare, and life insurance benefits obligations and costs can adversely affect our earnings, cash flows, and financial condition. In addition, there may be upward pressure on the cost of providing healthcare benefits to current and future retirees and there can be no assurance that the measures we have taken to control increases in these costs will succeed and this could have a material adverse effect on our business results, cash flows, and financial condition. Most of the liabilities arise under pension plans, including defined benefit pension plans, either funded (or partly funded) with plan assets or unfunded.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results of operations may be positively or negatively affected by the amount of income or expense we record for our defined benefit pension plans. U.S. GAAP requires that we calculate income or expense for the plans using actuarial valuations, which reflect assumptions about financial markets, interest rates, discount rate, and the expected long-term rate of return on plan assets. We are also required to make an annual measurement of plan assets and liabilities, which may result in a significant reduction or increase in equity. The factors that impact our pension calculations are subject to changes in key economic indicators, and future decreases in the discount rate or low returns on plan assets can increase our funding obligations and adversely impact our financial results and financial conditions. In addition, although U.S. GAAP expense and pension funding contributions are not directly related, key economic factors that affect U.S. GAAP expense would also likely affect the amount of cash we would be required to contribute to pension plans under ERISA. Failure to achieve expected returns on plan assets driven by various factors, including sustained market volatility, could also result in an increase in the amount of cash we would be required to contribute to pension plans.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defined benefit obligation is determined by actuarial assumptions such as the rate of compensation increase or pension progression rate and biometric factors (such as participant mortality), as well as the discount rate applied. The basis for determining the discount rate is in principle the yield on high-quality corporate bonds. A change of the discount rate and changes of the assessments of market yields used, respectively, may result in significant changes to the defined benefit obligation. Differences between actual experience and the predicted actuarial assumptions, discount rates, and investment performance on plan assets can affect defined benefit plan liabilities.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assume certain liabilities from GE in connection with the Spin-Off, including some liabilities unrelated to our core business. For example, we will retain and assume responsibility for certain liabilities for pension, healthcare, and life insurance benefits previously granted to GE employees, including our employees, our former employees, and certain other legacy former employees unrelated to our core business and allocated to us by GE. We currently rely on estimates and assumptions made by GE with respect to the scope, probability, and magnitude of these liabilities. Such estimates and assumptions involve complex judgments which are difficult to make. Actual developments may differ from estimates and assumptions, thereby resulting in an increase or decrease in our actual obligations for these liabilities. Changes in economic conditions, financial markets, investment performance, or legal conditions governing these liabilities can result in significant increases or decreases in the size of our actual obligations over time. Any of these factors and developments could have a material adverse effect on our business results, cash flows, financial condition, or prospects. Furthermore, accounting standards and legal conditions governing our pension obligations are subject to changes in applicable legislation, regulations, or case law. We cannot provide any assurance that we will not incur new or more extensive pension obligations in the future due to such changes.</w:t>
      </w:r>
    </w:p>
    <w:p>
      <w:pPr>
        <w:spacing w:after="0" w:line="19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of these factors and developments could have a material adverse effect on our business results, cash flows, financial condition, or prospects. For a discussion regarding how our financial statements have been and can be affected by our pension and healthcare benefit obligations, see Note 10, “Postretirement Benefit Plans” to the audited combined financial statements included elsewhere in this prospectus.</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or retain key personnel and qualified employees, or maintain relations with our employees, unions, and other employee representatives, it could adversely affect our business.</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There is substantial competition for key personnel, senior management, and qualified employees in the healthcare industry and we may face increased competition for such a highly qualified scientific, technical, clinical, and management workforce in a highly competitive environment. There can be no assurance that we will be successful in retaining existing personnel or recruiting new personnel.</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Certain of our employees in the United States and elsewhere are covered by collective bargaining agreements. These agreements typically contain provisions regarding the general working conditions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employees, including provisions that could affect our ability to restructure our operations, close facilities, or reduce our number of employees. We may not be able to extend existing collective bargaining agreements or, upon the expiration of such agreements, negotiate such agreements in a favorable and timely manner or without work stoppages, strikes or similar actions.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loss of one or more key employees, our inability to attract or develop additional qualified employees, any delay in hiring key personnel, any deterioration of the relationships with our employees, unions, and other employee representatives, or any material work stoppage, strike, or similar action could have a material adverse effect on our business results, cash flows, financial condition, or prospects.</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COVID-19 pandemic has had and may continue to have a material adverse impact on our business, as well as on the operations and financial performance of some of the customers and suppliers in industries that we serve.</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Some of our operations and financial performance since early 2020 have been negatively impacted by the COVID-19 pandemic that has caused, and may continue to cause, a slowdown of economic activity (including volatility in demand for our products, services, and solutions), disruptions in global supply chains, and significant volatility in financial markets. As the COVID-19 pandemic continues to affect economic activity globally or in various regions, the extent to which this will adversely impact our future operations and financial performance is uncertain. Across all of our businesses, we have experienced and expect to continue to experience operational challenges from the need to protect employee health and safety, site shutdowns, workplace disruptions, and restrictions on the movement of people, raw materials, and goods (both at our own facilities and at those of our customers and suppliers), global supply chain disruptions, and price inflation. We also have experienced, and may continue to experience, unpredictable demand for our products, services, and solutions, customer requests for potential payment deferrals or other contract modifications, supply chain under-liquidation, delays of deliveries and the achievement of other billing milestones, delays or cancellations of new projects and related down payments, and other factors related, directly and indirectly, to the COVID-19 pandemic’s effects on our customers that adversely impact our businesses.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ultimate impact of the COVID-19 pandemic on our operations and financial performance depends on many factors that are not within our control, including, but not limited to: the severity and duration of the pandemic; the impact of coronavirus variants and resurgences; governmental, business, and individuals’ actions in response to the pandemic; the impact of the pandemic on global and regional economies, travel, and economic activity; the development, availability, and public acceptance of effective treatments or vaccines; our employees’ compliance with vaccine mandates that may apply in various jurisdictions; the availability of federal, state, local, or non-U.S. funding programs; global economic conditions and levels of economic growth; and the pace and extent of the ultimate recovery from the COVID-19 pandemic. A number of accounting estimates that we make have been and will continue to be affected by the COVID-19 pandemic and uncertainties related to these and other factors, and our accounting estimates and assumptions may change over time in response to COVID-19 (see Note 2, “Summary of Significant Accounting Policies” to the audited combined financial statements included elsewhere in this prospectus). As the COVID-19 pandemic continues to adversely affect our operating and financial results, it may also have the effect of heightening many of the other risk factors described below.</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Relating to Technology and Intellectual Property</w:t>
      </w:r>
    </w:p>
    <w:p>
      <w:pPr>
        <w:spacing w:after="0" w:line="11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efforts may not succeed in developing commercially successful products and technologies, which could adversely affect our business.</w:t>
      </w:r>
    </w:p>
    <w:p>
      <w:pPr>
        <w:spacing w:after="0" w:line="5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To remain competitive, we must continue to launch new products, services, and solutions, requiring substantial investment in research and development. If we cannot successfully introduce new offerings that address the needs of our customers, our offerings may become obsolete, and business results, cash flows, and financial condition could suffer.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Many of our offerings have lengthy development and commercialization cycles. Promising new products, services, and solutions may fail to reach the market or may only have limited commercial success because of safety or efficacy concerns, failure to achieve positive outcomes, inability to obtain necessary regulatory authorizations, or third-party reimbursement decisions. Additionally, new offerings may be quickly rendered obsolete by changing customer preferences, changing industry standards, or competitors’ innovations or reverse engineering efforts. It is uncertain when or whether our products, services, or solutions currently under development will be launched or will be commercially successful. Any of these developments may have a material adverse effect on our business results, cash flows, financial condition, and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maintain, protect, or effectively enforce our intellectual property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place considerable emphasis on obtaining, maintaining, and using our intellectual property to support our business strategy. We pursue intellectual property protection in key jurisdictions to protect our R&amp;D investment and limit the risk of infringing third-party intellectual property rights. However, we cannot assure that our means of obtaining, maintaining, and enforcing our intellectual property rights will be adequate to maintain a competitive advantage.</w:t>
      </w:r>
    </w:p>
    <w:p>
      <w:pPr>
        <w:spacing w:after="0" w:line="180"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laws of many jurisdictions may not protect our intellectual property rights or provide an adequate forum to effectively address situations where our intellectual property rights have been compromised. Furthermore, protecting against the unauthorized use of proprietary technology is difficult and expensive and we may need to litigate with third parties to enforce or defend patents issued to us or to determine the enforceability and validity of our proprietary rights or those of others. Determining whether an offering infringes, misappropriates, or otherwise violates a third party’s intellectual property rights involves complex legal and factual issues, and the outcome of this type of litigation is often uncertain and inconsistent. An adverse determination in any such litigation could materially impair our intellectual property rights and may harm our business.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receive notices from third parties asserting infringement, misappropriation, or violation of their intellectual property rights. We are also subject to lawsuits alleging infringement, misappropriation, or other violation of third-party intellectual property rights. When such claims are asserted against us (or to avoid such claims), we may seek to license the third party’s intellectual property rights, which may be costly. We may be unable to obtain necessary licenses on satisfactory terms, if at all. If we are unable to obtain an adequate license, we may be subject to lawsuits seeking damages or an injunction against the manufacture, import, marketing, sale, or operation of our offerings or against the operation of our business as presently conducted. We do not maintain insurance for claims or litigation involving the infringement, misappropriation, or other violation of intellectual property rights. Regardless of the merits or outcome, the resolution of any intellectual property dispute could require significant financial and management resources.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Adverse judicial rulings or our entry into any license or settlement agreement in connection with third-party claims could affect our ability to compete and have a material adverse effect on our business results, cash flows, financial condition, or prospects. Our agreements with our customers and other third parties typically include indemnification or other provisions under which we agree to indemnify or otherwise be liable to them for losses suffered or incurred as a result of intellectual property claims. We may not always be successful in limiting our liability with respect to such obligations and could become subject to large indemnity payments or damages claims from contractual breach, which could harm our business results, cash flows, financial condition, or prospects.</w:t>
      </w:r>
    </w:p>
    <w:p>
      <w:pPr>
        <w:spacing w:after="0" w:line="18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Furthermore, protecting confidential information and trade secrets can be difficult and, even if a successful enforcement action is brought, such action may not be effective in protecting our intellectual property rights. Additionally, the increased sharing of our data with third parties as a result of right to repair legislation could increase the risk of loss or damage to our intellectual property. If we cannot adequately obtain, maintain, protect, or enforce our intellectual property rights, our competitors may be able to compete more successfully against us, which could have a material adverse effect on our business results, cash flows, financial condition, or prospects.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0" w:lineRule="auto"/>
        <w:rPr>
          <w:sz w:val="20"/>
          <w:szCs w:val="20"/>
          <w:color w:val="auto"/>
        </w:rPr>
      </w:pPr>
      <w:r>
        <w:rPr>
          <w:rFonts w:ascii="Times New Roman" w:cs="Times New Roman" w:eastAsia="Times New Roman" w:hAnsi="Times New Roman"/>
          <w:sz w:val="17"/>
          <w:szCs w:val="17"/>
          <w:color w:val="auto"/>
        </w:rPr>
        <w:t>We may not receive protection for pending or future applications relating to intellectual property rights owned by or licensed to us and the claims allowed under any issued intellectual property rights may not be sufficiently broad to protect our products, services, solutions, and any associated trademarks. Products sold by our competitors may infringe, misappropriate, or otherwise violate intellectual property rights owned or licensed by us. Any issued intellectual property rights owned by or licensed to us may be challenged, invalidated, held unenforceable, or circumvented in litigation or other proceedings, and these limited intellectual property rights may not provide us with effective competitive advantages. Intellectual property rights may also be unavailable, limited, unenforceable, or practically unenforceable in some countries, and some governments may require us to transfer our intellectual property rights to local entities to do business in the jurisdiction, either of which could make it easier for competitors to capture increased market position and compete with us. We may also incur substantial costs to protect ourselves in litigation or other proceedings involving the validity and enforceability of our intellectual property rights. If claims against us are successful, we could lose valuable intellectual property rights. An unfavorable outcome in any such litigation could have a material adverse effect on our business results, cash flows, financial condition, or prospects.</w:t>
      </w:r>
    </w:p>
    <w:p>
      <w:pPr>
        <w:spacing w:after="0" w:line="17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own the GE trademark or logo and will enter into a Trademark License Agreement with GE as of or prior to the date of the completion of the Spin-Off, pursuant to which GE will grant us a license to use specified trademarks, which will include the GE Monogram and the “GE HealthCare” word mark for use in connection with certain of our products, services, and solutions, as well as the right to use the GE brand in connection with certain legal entity names within our corporate structure. GE owns and controls the GE brand, and the integrity and strength of the GE brand will depend in large part on the efforts and businesses of GE and other licensees of the GE brand and how the brand is used, promoted, and protected by them, which will be outside of our control. Furthermore, there are certain circumstances under which the Trademark License Agreement may be terminated. Termination of the Trademark License Agreement would eliminate our rights to use the specified trademarks granted to us under this agreement and may result in our having to negotiate a new or reinstated agreement with less favorable terms or cause us to lose our rights under the Trademark License Agreement, which would require us to change our corporate name and undergo significant rebranding efforts. These rebranding efforts may require significant resources and expenses and may affect our ability to attract and retain customers, all of which could have an adverse effect on our business results, cash flows, financial condition, or prospects.</w:t>
      </w:r>
    </w:p>
    <w:p>
      <w:pPr>
        <w:spacing w:after="0" w:line="29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manufacture and sell products that rely upon software and computer systems to operate properly and process and store confidential information. Our products often are connected to, and reside within, our customers’ information technology (“IT”) infrastructures. In some jurisdictions, we are expected to design our products to include appropriate cybersecurity protections, and regulatory authorities review such protections when granting marketing authorizations. While we seek to protect our products and IT systems from unauthorized access, these measures may not be effective, particularly because techniques used to obtain unauthorized access or to sabotage systems change frequently, increase in sophistication, and often are not recognized until launched against a target. These risks apply to our installed base of products, products we currently sell, new products we will introduce in the future, and older technology that we no longer sell or service but remains in use by customers. Additionally, we offer software, cloud, and edge products that are developed by, reside with, or are hosted by third-party providers. A cybersecurity breach of our systems or products, our customers’ or service providers’ network security and systems, or of other third-party services could disrupt treatment being delivered to patients or interfere with our customers’ operations, and could lead to the loss of, damage to, or public disclosure of our employees’ and customers’ stored information, including personal data. Such an event could have serious negative consequences, including alleged customer or patient harm, obligations to notify enforcement authorities or users of our products, voluntary or forced recalls of or modifications to our products, regulatory actions, fines, penalties and damages, reduced demand for or use of our offerings by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customers, harm to our reputation, and time-consuming and expensive litigation, any of which could have a material adverse effect on our business results, cash flows, financial condition, or prospects.</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IT helps us operate efficiently, support our customers, maintain financial accuracy, and produce our financial statements. There are increasingly large volumes of information, including patient data, being generated that need to be securely processed and stored by healthcare organizations. However, like most multinational corporations, our IT systems have been subject to computer viruses, malicious code, unauthorized access, and other cyber-attacks. There has been an increase in the frequency and sophistication of the data security threats we and our service providers face. We may also be exposed to a more significant risk if such actions are taken by state or state-affiliated actors. The objectives of these cyber-attacks vary widely and may include, among other things, unauthorized access to personal, customer, or third-party information, disruptions of operations and the provision of services to customers, or theft of intellectual property or other sensitive assets or information belonging to us, our business partners, or customers. As such attacks become more effective, the risks in this area continue to grow. Although we have back-up systems in place, they may not be adequate in the event of a failure or interruption. We could suffer significant business disruption, including transaction errors, supply chain or manufacturing interruptions, processing inefficiencies, data loss, loss of customers, reputational damage, or the loss of or damage to intellectual property or other proprietary information, litigation, investigation and possible liability to employees, customers, suppliers, patients, and regulatory authorities as a result of a successful cyber-attack. Further, our ability to effectively plan, forecast, and execute our business plan and comply with applicable laws and regulations may be impaired by such cyber-attacks. Any of the above could have a material adverse effect on our business results, cash flows, financial condition, or prospects, and the timeliness of reporting our operating results.</w:t>
      </w:r>
    </w:p>
    <w:p>
      <w:pPr>
        <w:spacing w:after="0" w:line="19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software, hardware, and other material components from a number of third parties to manufacture our products. If a material cyber incident impacting a supplier were to result in its prolonged inability to manufacture and/or ship such components, this could impact our ability to manufacture our products. In addition, third-party sourced software components, malicious code, or a critical vulnerability emerging within such software could expose our customers to increased cyber risk. From a cybersecurity perspective, for the former, we address these risks through our robust supplier cybersecurity assessment process though which suppliers are classified by risk, assessed and approved prior to onboarding (per standards including ISO 27001 and NIST 800-53) and, for critical suppliers, continuously monitored through the use of third-party services to identify fluctuations in security posture. For the latter, we address potential software vulnerability risks through robust pre-market verification, validation, and security testing (including both internal and industry-leading third-party security testing) and our post-market vulnerability management program with response service level agreements and safety risk integration, continuous vulnerability intake, and assessment from relevant sources, coordinated vulnerability disclosure program, and customer security portal for vulnerability communication and related information. While we have undertaken these efforts to mitigate cybersecurity risks, these efforts may not prevent all incidents.</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we were to experience a significant cybersecurity breach of our information systems or data, the costs associated with the investigation, remediation, and potential notification of the breach to customers, regulators, and counterparties could be material. In addition, our remediation efforts may not be successful. We currently maintain data privacy and IT security insurance; however, such coverage may be inadequate. In addition, the market for such insurance continues to evolve and, in the future, our data privacy and IT security insurance coverage may be prohibitively expensive or not available on acceptable terms or in sufficient amounts, or at all.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and information security policies and regulations.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products and systems receive, generate, and store significant volumes of sensitive information, such as employee, customer, patient, and other personal data. Moreover, our digital ecosystem, which is intended to provide our customers with greater access to a broad array of personal and sensitive information to improve delivery of care to their patients, heightens our risks associated with the protection of such information. We have legal and contractual obligations regarding the protection of confidential and personal information and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appropriate collection, use, retention, protection, disclosure, transfer, and other processing of such data. We are subject to various privacy law regimes in the different jurisdictions in which we operate, including comprehensive regulatory systems in Europe, Latin America, and Asia Pacific and sector-specific requirements in the United States. Certain international jurisdictions have enacted or are enacting data localization laws mandating that certain types of data collected in a particular jurisdiction be physically stored within that jurisdiction.</w:t>
      </w:r>
    </w:p>
    <w:p>
      <w:pPr>
        <w:spacing w:after="0" w:line="180"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the Health Insurance Portability and Accountability Act of 1996 as amended by the Health Information and Technology for Economic and Clinical Health Act (collectively, “HIPAA”) establish privacy and security standards that limit the use and disclosure of individually identifiable health information (“protected health information” or “PHI”), require the implementation of safeguards to protect the privacy and security of PHI and ensure the confidentiality, integrity, and availability of electronic PHI, and require the provision of notice in the event of a breach of PHI. If we are unable to properly protect the privacy and security of PHI, we could face liability for breach of our contracts with our customers. Further, if we fail to comply with applicable HIPAA privacy and security standards, we could face civil and criminal penalties. In addition, there are also various state-level laws (e.g., the California Consumer Privacy Act), both enacted and proposed, that we must monitor for applicability and impact to our business and implement necessary controls and other requirements (if applicable).</w:t>
      </w:r>
    </w:p>
    <w:p>
      <w:pPr>
        <w:spacing w:after="0" w:line="188"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In addition, we are subject to the laws and regulations of foreign jurisdictions including, without limitation, the General Data Protection Regulation (Regulation (EU) 2016/679) (the “GDPR”) in the European Union (the “EU”) and the United Kingdom (“U.K.”) data protection legislation (including the GDPR, as it forms part of the law of the U.K. by virtue of the European Union (Withdrawal) Act 2018 (the “U.K. GDPR”) and the U.K. Data Protection Act 2018 (the “U.K. Data Protection Act”)). The GDPR contains robust, direct obligations on data processors in addition to data controllers, heavier documentation requirements for company data protection compliance programs, and a prohibition on the transfer of personal data from the EU to other countries whose laws do not protect personal data to an adequate level of privacy or security (unless you maintain an approved cross-border transfer mechanism, such as the binding corporate rules for personal data transfers). Data protection authorities have the power to impose substantial administrative fines for violations of the GDPR and the U.K. GDPR. Such penalties are in addition to any civil litigation or damages from claims by data controllers, customers, and data subjects. If we fail to comply with the GDPR, the U.K. GDPR, and the U.K. Data Protection Act, we could face fines and penalties.</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China, we are subject to laws and regulations governing both the use and disclosure of confidential patient medical information that may become more restrictive in the future, including restrictions on transfer of healthcare data (e.g., China Personal Information Protection Law). In China, we are also subject to the Cyber Security Law of China and accompanying regulations (collectively, the “CS Law”), which designates healthcare as a priority area that is part of critical information infrastructure and has recently increased privacy protections. Some of our products may be required to comply with detailed standards or guidance documents on cybersecurity and privacy issued by various regulatory authorities. Should the privacy or cybersecurity regime in China become more stringent, we could be required to implement additional safeguards and systems, which could be costly and cause disruption to our business in China.</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privacy laws and regulations in other regions of the world, such as Asia and Latin America, are becoming stricter and may potentially impose additional requirements on our business (e.g., Brazil’s General Data Protection Law (Lei Geral de Proteção de Dados Pessoias)), and certain jurisdictions have implemented data localization laws which can be costly and operationally difficult to satisfy. We cannot be sure how these laws and regulations will be interpreted, enforced, or applied to our operations. In addition to the risks associated with enforcement activities and potential contractual liabilities, our ongoing efforts to comply with evolving laws and regulations may be costly and require ongoing modifications to our policies, procedures, and systems. If we or third parties fail to adequately safeguard confidential personal data, or if such information or data are wrongfully used 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us or third parties or disclosed to unauthorized persons or entities, such an event could have a material adverse effect on our business results, cash flows, financial condition, or prospects.</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increasing focus on and investment in cloud, edge, artificial intelligence, and software offerings presents risks to our business. We may not be successful in driving the successful global deployment and customer adoption of digital offerings.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growing part of our business involves cloud, edge, and software solutions, and we are devoting significant resources to develop and deploy such strategies. Our success with these solutions will depend on the level of adoption of our offerings. We incur costs to develop cloud, edge, and software solutions and to build and maintain infrastructure to support cloud and edge computing offerings. Success with these solutions depends on execution in many areas, including:</w:t>
      </w:r>
    </w:p>
    <w:p>
      <w:pPr>
        <w:spacing w:after="0" w:line="85" w:lineRule="exact"/>
        <w:rPr>
          <w:sz w:val="20"/>
          <w:szCs w:val="20"/>
          <w:color w:val="auto"/>
        </w:rPr>
      </w:pPr>
    </w:p>
    <w:p>
      <w:pPr>
        <w:ind w:left="1080" w:hanging="424"/>
        <w:spacing w:after="0" w:line="312"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the utility, compatibility, and performance of our cloud, edge, and software solutions (including, the reliability of our third-party software vendors, network, and cloud providers) on a growing array of medical devices, software, and equipment;</w:t>
      </w:r>
    </w:p>
    <w:p>
      <w:pPr>
        <w:spacing w:after="0" w:line="45" w:lineRule="exact"/>
        <w:rPr>
          <w:rFonts w:ascii="Times New Roman" w:cs="Times New Roman" w:eastAsia="Times New Roman" w:hAnsi="Times New Roman"/>
          <w:sz w:val="17"/>
          <w:szCs w:val="17"/>
          <w:color w:val="auto"/>
        </w:rPr>
      </w:pPr>
    </w:p>
    <w:p>
      <w:pPr>
        <w:ind w:left="1080" w:right="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while ensuring these solutions meet their reliability and security expectations;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including obtaining marketing authorizations when required.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market. We commit substantial efforts, funds, and other resources to R&amp;D and IT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and software solutions are restricted areas of foreign investment. Collaborating with a domestic qualified third party will increase the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8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Cloud, edge, and software solutions in healthcare must comply with stringent regulations, including certification requirements, in many of the countries in which our customers are located, particularly in relation to obtaining, using, storing, and transferring personal data. Our software solutions must be compliant with applicable regulations in the country in question before we can launch our offerings. In some jurisdictions, we must obtain marketing authorizations before commercializing software solutions. Ensuring such regulatory compliance may take longer or cost more than expected or require that design changes be incorporated into our offerings. In addition, changes to reimbursement policies for digital healthcare offerings could potentially lead to delays and additional expense. The inability of customers to obtain adequate reimbursement from private and governmental third-party payers could adversely affect purchasing decisions and prices and cause our revenue and profitability to suffer.</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building AI into many of our digital offerings, which presents risks and challenges that could affect its acceptance, including flawed AI algorithms, insufficient or biased datasets, unauthorized access to personal data, lack of acceptance from our customers, or failure to deliver positive outcomes. These deficiencies could undermine the decisions, predictions, or analysis AI applications produce, as well as their adoption, subjecting us to competitive harm, legal liability, regulatory actions, and reputational harm. In addition, some AI scenarios present ethical, privacy, or other social issues, risking reputational harm. We have safeguards designed to promote the ethical implementation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AI but these safeguards may not be sufficient to protect us against negative outcomes. The occurrence of any of the above could have a material adverse effect on our business results, cash flows, financial condition, or prospects.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the FCPA and similar anti-corruption and anti-bribery laws globally has resulted and could continue to result in civil or criminal sanctions and adversely affect our business.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FCPA, the U.K. Bribery Act of 2010 (“UKBA”), and similar anti-corruption and anti-bribery laws in other jurisdictions generally prohibit companies from offering and making corrupt payments to or otherwise engaging in bribery of government officials. We operate in many parts of the world that have experienced elevated levels of public sector corruption. Because of the predominance of government-sponsored healthcare systems around the world, many of our customer relationships outside of the United States are with governmental entities, the employees of which may be considered government officials under such laws. Many anti-corruption laws, such as the UKBA, also prohibit bribery of private sector individuals, and thus extend far beyond interactions with government officials. We also are subject to the FCPA’s accounting provisions, which require us to keep accurate books and records and to maintain an adequate system of internal accounting controls sufficient to provide reasonable assurances of management’s control, authority, and responsibility over our assets. Non-U.S. companies, including some of our competitors, may not be subject to the provisions of the FCPA. If these competitors engage in corrupt practices, they may gain a business advantage.</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Global enforcement of anti-corruption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Companies in the healthcare sector have been a particular focus of government enforcement in recent years. We also face the risk of unauthorized payments, offers of payments or requests for payments being made by our employees, intermediaries, channel partners and their sub-parties, customers or customer representatives, consultants, or other representatives. We may face liability under anti-corruption laws based upon the actions or inactions of these parties even when they are not subject to our control and/or are not contractually bound to us. We may also face liability from employee misconduct, such as fraud, which cannot always be deterred or prevented. Enforcement of anti-corruption laws in the healthcare industry in recent years has focused on international operations, particularly in countries such as China, Brazil, Mexico, and Russia. China’s anti-corruption agency, the National Supervisory Commission, has the power to investigate government officials and individuals employed by state-owned entities and public institutions and to collect evidence (including from private companies and individuals), seize assets, and recommend cases for prosecution. In recent years, the Chinese judicial branch has publicly disclosed an increasing number of judgments against government officials and others found to have engaged in corruption and other misconduct across many industries; certain of these judgments contain references that identify some of our products, employees, and channel partners. We review these judgments and other concerns we identify and conduct internal inquiries where appropriate. Additionally, 2018 amendments to China’s Anti-Unfair Competition Law revised the definition of commercial bribery to include conduct “seeking transaction opportunities or competitive advantage.” Consequences for violations include civil, administrative, and criminal penalties for businesses that commit acts of unfair competition (including commercial bribery).</w:t>
      </w:r>
    </w:p>
    <w:p>
      <w:pPr>
        <w:spacing w:after="0" w:line="19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It is our policy to develop and implement safeguards and to educate our employees and certain third parties concerning these legal requirements and to prohibit improper practices. However, our existing safeguards and any future improvements may not always be effective, and employees or certain third parties may engage in conduct for which we may be held responsible or suffer reputational harm.</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Any alleged or actual violations of these laws or regulations may subject us to government scrutiny, criminal, civil or administrative sanctions, stockholder lawsuits, reputational damage, and other liabilities. In some instances, we make self-disclosures to relevant authorities who may pursue or decline to pursue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enforcement proceedings against us. A violation of certain anti-corruption laws could result in exclusion from government healthcare programs. In addition, governmental entities may seek to hold us liable for violations committed by any companies in which we invest or that we may acquire. The costs associated with the investigation, remediation, and potential notification of any violation to customers, regulators, and counterparties could be material. Any of the foregoing could have a material adverse effect on our business results, cash flows, financial condition, or prospects.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anti-kickback and false claims laws and failure to comply with these laws could adversely affect our business.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commercial practices of companies selling medical devices, pharmaceutical products, and related services and other arrangements with customers are generally subject to various U.S. federal, U.S. state, and foreign healthcare laws intended to prevent fraud and abuse in the healthcare industry and protect the integrity of government healthcare programs. These laws include anti-kickback laws and false claims laws. Anti-kickback laws, such as the U.S. Anti-Kickback Statute (“AKS”), generally prohibit anyone from soliciting, offering, receiving, or paying any remuneration to generate or reward business, including the purchase of a particular product or service for which payment may be made under a federal healthcare program. The U.S. Department of Justice has interpreted the AKS to cover any arrangement where one purpose of the remuneration is to induce or reward referrals of products or services reimbursable under U.S. federal healthcare programs. False claims laws generally prohibit anyone from knowingly presenting, or causing to be presented, any claims for payment for goods or services to third-party payers that are false or fraudulent. Claims generated as a result of kickbacks may be treated as false or fraudulent. In the U.S., the False Claims Act (“FCA”) imposes civil liability on any person or entity that submits, or causes the submission of, a false or fraudulent claim to the U.S. government. The FCA also allows a private individual or entity with knowledge of past or present fraud against the federal government to sue on behalf of the government to recover civil penalties and treble damages. In certain cases, manufacturers have entered criminal and civil settlements with the federal government under which they entered into plea agreements, paid substantial monetary amounts, and entered into corporate integrity agreements that require, among other things, substantial ongoing reporting, monitoring, and other remedial actions.</w:t>
      </w:r>
    </w:p>
    <w:p>
      <w:pPr>
        <w:spacing w:after="0" w:line="19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often enter complex contractual research agreements, collaborations, and similar arrangements with our customers and other healthcare professionals. These arrangements may result in transfers of value from us to our customers and other healthcare professionals (and vice versa), which require appropriate implementation to ensure compliance with anti-kickback and false claims laws and regulations. While we have policies and procedures in place to comply with these laws and regulations, a failure by any of our employees or agents to abide by such policies and procedures could result in potential criminal or civil penalties and damages against us, which may include treble damages, fines, or penalties under the FCA. Addressing such claims could generate significant expenses and take up significant management time, even if such claims are without merit.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not successful in defending ourselves, violations of fraud and abuse laws could have a significant impact on our business, including the potential imposition of civil, criminal, and administrative penalties, damages, disgorgement, monetary fines, individual imprisonment, possible exclusion from participation in certain government healthcare programs, contractual damages, reputational harm, diminished profits and future earnings, and curtailment or restructuring of our operations. The U.S. federal government, various states, and certain foreign governments have also enacted other laws to regulate the sales and marketing practices of companies selling medical devices, pharmaceutical products, and related services. These laws and regulations generally define permissible and impermissible financial interactions between manufacturers or service providers and healthcare providers, require disclosure to the government and public of such interactions, and require the adoption of compliance standards or programs. Individual U.S. states have become active in seeking to regulate the marketing of medical devices, pharmaceutical products, and related services under state consumer protection and false advertising laws. Other laws require disclosure of certain interactions with, or payments to, healthcare providers (e.g., U.S. Physician Payments Sunshine Act (“Sunshine Act”)). Given the evolving nature of these laws, their implementation, and increasing enforcement activity, compliance efforts can be resource-intensive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and costly, and we could be subject to penalties and damages if the government finds deficiencies. The costs associated with the investigation, remediation, and potential notification of any violation to customers, regulators, and counterparties could be material. Any of these risks could have a material adverse effect on our business results, cash flows, financial condition, or prospects.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antitrust and competition laws that can result in sanctions and conditions on the way we conduct our business.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cash flows, financial condition, or prospects.</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enter into collaborations, licensing arrangements, joint ventures, or strategic alliances with third parties to complement or augment our capabilities, including in research and development, product development, manufacturing, and marketing. Evaluating, appropriately structuring, negotiating, and implementing such arrangements may be a lengthy and complex process and must meet with applicable business, legal, and compliance requirements. Other companies may compete with us for these opportunities. As a result, we may not identify, secure, or complete such arrangements in a timely manner, on a cost-effective basis or on otherwise favorable terms, if at all.</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not realize the expected benefits from these arrangements. We may not be able to exercise sole decision-making authority regarding any such collaboration, licensing arrangement, joint venture, or strategic alliance. This could create the risk of impasses on decisions,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partners may suffer adverse commercial, financial, or legal circumstances that are outside of our control and may jeopardize their success, our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foreign entities with which we partner, quality control, and legal and regulatory violations committed by partners whose actions are outside of our control. See “—Risks Relating to Quality, Regulation, and Compliance.” Any of the foregoing could have a material adverse effect on our business results, cash flows, financial condition, or prospects.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government contracts, public procurement, and government reimbursements in many jurisdictions, as to which the failure to comply could adversely affect our business.</w:t>
      </w:r>
    </w:p>
    <w:p>
      <w:pPr>
        <w:spacing w:after="0" w:line="51"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We have agreements relating to the sale of our offerings to government entities around the world. Additionally, we are directly or indirectly subject to government policies governing reimbursement for healthcare procedures and services. As a result, we are subject to various statutes and regulations in a variety of jurisdictions that apply to companies doing business with the government. The laws governing government contracts can differ from the laws governing private contracts and government contracts may contain terms and conditions that are not applicable to private contracts or that expose us to higher levels of risk and potential liability than non-government contracts. Similarly, most jurisdictions have public procurement laws and reimbursement policies that set out rules and regulations for purchases and reimbursements by governmental entities. These jurisdictions may modify their laws, policies, rules, or regulations, or impose new requirements that could adversely affect our business. We are subject to investigation for non-compliance with the regulations governing government contracts, public procurement, and government reimbursements. A failure to comply with these regulations could result in suspension of these contracts, delayed or reduced payment, criminal, civil, or administrative penalties, contract termination, reputational harm that diminishes our ability to successfully compete for new government work, or debarment.</w:t>
      </w:r>
    </w:p>
    <w:p>
      <w:pPr>
        <w:spacing w:after="0" w:line="17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contracts with the U.S. federal government, with certain exceptions, we must comply with the Federal Acquisition Regulation and applicable agency rules, the Procurement Integrity Act, the Buy American Act, and/or the Trade Agreements Act. Because the use of our products, services, and solutions is often reimbursed by the U.S. federal government through Medicare and Medicaid, we must comply with the AKS, the Sunshine Act, and the FCA. See “—We are subject to anti-kickback and false claims laws and failure to comply with these laws could adversely affect our business.” We must also comply with various other domestic and foreign government regulations and requirements as well as various statutes related to employment and labor practices, supply chain requirements, reporting and disclosure obligations, EH&amp;S matters, recordkeeping, and accounting. Certain countries impose additional requirements on government suppliers as a prerequisite to doing business in the country. These can include, among other things, local headcount requirements, local manufacturing and supplier requirements, and technology or intellectual property transfers.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China has a government-run procurement system for public hospitals to obtain medical devices and drugs. The system for reimbursing the costs of these medical devices and drugs for patients is also set by the central and local governments. Medical device and drug distribution chains may be restricted in certain provinces by a policy that requires that at most two tax invoices may be issued throughout the distribution chain, which effectively prohibits sale of products through multi-layer distributors (even between wholly owned subsidiaries). The continued existence, and any expansion and tightening, of this policy, could present significant challenges for our products to reach a larger geographic area in China. Failure to comply with this policy may preclude us from participating in the government-run procurement processes with public hospitals or result in our disqualification from engaging in medical device or product sales to public hospitals in a certain locality. These regulations and requirements affect how we transact business with our clients and, in some instances, impose additional costs and risks on our business operations.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some governmental entities, including the U.S. federal government, can terminate contracts for their convenience or for our default. These governmental entities may also be subject to continued legislative funding approval. Early termination for convenience of one or more of our contracts, or a change in a government customer’s funding levels, could impact our expected revenues. See “—Demand for some of our products depends on capital spending policies of our customers and on government funding policies.” A termination for default of one or more of our contracts could subject us to penalties and damages resulting from the default, including costs for the governmental entity to reprocure the items under contract, in addition to other penalties previously listed.</w:t>
      </w:r>
    </w:p>
    <w:p>
      <w:pPr>
        <w:spacing w:after="0" w:line="18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U.S. federal government could also invoke the Defense Production Act (“DPA”), requiring that we accept and prioritize contracts for materials deemed necessary for national defense, regardless of loss in revenue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incurred on such contracts. In such circumstances, we may be required to reallocate time and resources away from our customers to fulfill U.S. federal government requests under the DPA. This could cause us to be unable to fulfill contractual obligations to non-U.S. federal government customers and harm long-term business relationships with our customers, suppliers, and channel partners, which could adversely affect our business.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also subject to government audits, investigations, and oversight proceedings. Efforts to ensure our business arrangements comply with applicable laws involve substantial costs. It is possible that governmental and enforcement authorities will conclude that our business practices do not comply with current or future laws and regulations. If any such actions are instituted against us, defense can be costly, time-consuming, and may require significant financial and personnel resources. If we are not successful in defending ourselves or asserting our rights, those actions could have a significant impact on our business, including the imposition of civil, criminal, and administrative penalties, damages, disgorgement, monetary fines, individual imprisonment, possible exclusion from participation in certain government healthcare programs (including Medicare and Medicaid in the United States), contractual damages, reputational harm, diminished profits and future earnings, and curtailment or restructuring of our operations. In addition, any of our government contracts could be terminated or we could be suspended or debarred from all government contract work. Any of these risks could have a material adverse effect on our business, cash flows, financial condition, results of operations, or prospects.</w:t>
      </w:r>
    </w:p>
    <w:p>
      <w:pPr>
        <w:spacing w:after="0" w:line="29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by public and private payers to control the growth of healthcare costs may lead to lower reimbursements or increased utilization controls related to the use of our products by healthcare providers, which may affect demand for our products, services, or solutions.</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Sales of many of our offerings directly or indirectly depend on the availability of reimbursement and the amount of reimbursement that our customers may seek from various third-party payers, including government programs, authorities, or agencies (e.g., Medicare and Medicaid in the United States), and private health plans. In general, employers and third-party payers, particularly in the United States, have become increasingly cost-conscious, with higher deductibles imposed in many medical plans. The imposition of higher deductibles tends to inhibit individuals from seeking the same level of medical treatments as they might seek if the costs were lower, particularly in the medical diagnostic portion of our business. Third-party payers have also increased utilization controls related to the use of our offerings by healthcare providers.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Without adequate support from third-party payers, the market for our offerings may be limited and adversely impacted. Governments and other payers may institute changes in healthcare delivery systems that reduce funding for services or encourage greater scrutiny of healthcare costs. The ability of customers to obtain appropriate reimbursement for our offerings from third-party payers is critical to the success of medical technology companies because it affects which offerings customers purchase and the prices they are willing to pay. Some countries impose drug price controls or reimbursement limitations for pharmaceutical products. Even if we develop promising new offerings, we may find limited demand for the offerings unless reimbursement approval is obtained from third-party payers. Further legislative or administrative reforms that impact reimbursements or pricing could have a material adverse effect on our business results, cash flows, financial condition, or prospects.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private third-party payers, although independent from Medicare, sometimes use portions of Medicare reimbursement policies and payment amounts in making their own reimbursement decisions. As a result, decisions by the Centers for Medicare and Medicaid Services (“CMS”) to reimburse for a diagnosis or treatment, or changes to Medicare’s reimbursement policies or reductions in payment amounts with respect to a diagnosis or treatment, sometimes extend to U.S. third-party payers’ reimbursement policies and amounts for that diagnosis or treatment. Decision-making by our U.S. customers is complicated by the uncertainty surrounding Medicare reimbursement rates for certain procedures. From time to time, CMS and third-party payers may review and modify the factors upon which they rely to determine appropriate levels of reimbursement for certain diagnosis or treatments. In China, government authorities control the inclusion or removal of drugs from the Essential Drug List and the National Reimbursement Drug List, which govern reimbursement under state-sponsored health plans. The removal 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reclassification of our products on Chinese national or provincial lists can affect the reimbursement or reimbursement rate of our products in China. Any significant cuts in reimbursement rates or changes in reimbursement methodology or administration for procedures that use our offerings, or concerns or proposals regarding further cuts or changes in methodology or administration, could further increase uncertainty, adversely affect our customers’ decisions, reduce demand for our offerings, cause customers to cancel orders, and could have a material adverse effect on our business results, cash flows, financial condition, or prospects.</w:t>
      </w:r>
    </w:p>
    <w:p>
      <w:pPr>
        <w:spacing w:after="0" w:line="28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design, manufacture, sell, install, and service a wide range of products, including products and related services that are at the cutting edge of existing technologies and medical advances. Our products are used by healthcare providers to diagnose, monitor, and treat a wide range of medical conditions. We are required to comply with the highest quality standards in product manufacturing and quality management plays an essential role in determining and meeting customer requirements, preventing defects, improving our offerings, and assuring the safety and efficacy of our products. As a result, our business exposes us to potential product liability claims. Customers or their patients may bring product liability claims if our products fail, or allegedly fail, to perform as expected or show a failure rate that is higher than expected, or the use of our products results, or is alleged to result, in bodily injury, death, or property damage. Claims may allege that our products cause or result in alleged new disease states. Even if these or similar claims are without merit, they can result in costly and time-consuming litigation. We may also be exposed to claims or regulatory action if our products do not conform or are alleged not to conform to applicable product or design specifications, labeling, or manufacturing requirements. Quality issues could result in warranty, guarantee, or other claims, including with respect to performance guarantees under service contracts. Even if such non-conformance has no actual impact on the quality of our products, we may be exposed to claims, regulatory actions, or negative press reports, or may be required to modify our products or their labeling, conduct a recall or take other actions, any of which could adversely affect our reputation or our relationships with customers and users of our products.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Because some of our products are involved in the intentional delivery of radiation to the human body and other situations where people may be exposed to radiation, including X-rays, the possibility for significant bodily injury or death exists for the intended or unintended recipient of the delivery. Our products are used to diagnose and treat acutely ill patients and at critical moments in the patient care continuum, and the failure (or alleged failure) of our products to perform as expected in such moments could compromise patient treatment, which, depending on the circumstances, could be life-threatening to patients.</w:t>
      </w:r>
    </w:p>
    <w:p>
      <w:pPr>
        <w:spacing w:after="0" w:line="183" w:lineRule="exact"/>
        <w:rPr>
          <w:sz w:val="20"/>
          <w:szCs w:val="20"/>
          <w:color w:val="auto"/>
        </w:rPr>
      </w:pPr>
    </w:p>
    <w:p>
      <w:pPr>
        <w:ind w:left="120" w:right="340" w:firstLine="440"/>
        <w:spacing w:after="0" w:line="255" w:lineRule="auto"/>
        <w:rPr>
          <w:sz w:val="20"/>
          <w:szCs w:val="20"/>
          <w:color w:val="auto"/>
        </w:rPr>
      </w:pPr>
      <w:r>
        <w:rPr>
          <w:rFonts w:ascii="Times New Roman" w:cs="Times New Roman" w:eastAsia="Times New Roman" w:hAnsi="Times New Roman"/>
          <w:sz w:val="18"/>
          <w:szCs w:val="18"/>
          <w:color w:val="auto"/>
        </w:rPr>
        <w:t>Product and other liability actions, claims or injunctions are subject to significant uncertainty and may be expensive, time-consuming, and disruptive to our operations. For these and other reasons, we may choose to settle product liability claims and other liability actions against us, regardless of their actual merit. If such action or injunction were finally determined adversely to us, it could result in significant damages and reputational harm, including the possibility of punitive damages, and our financial position could be adversely affected. Adverse publicity regarding patient outcomes, accidents, failure rates, misdiagnoses and resulting mistreatments, even ones that do not involve our products, could result in additional regulation of our products or the healthcare industry in general, cause reputational harm and adversely affect our ability to promote, manufacture and sell our products, even if the claims against us are later shown to be unfounded or unsubstantiated.</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Moreover, if our products gain a reputation for being unreliable, unsafe, or ineffective, our relationships with governmental authorities may be adversely affected, which could result in increased scrutiny by regulatory authorities. In addition, if one of our products is determined to be defective (whether due to design, labeling, or manufacturing defects or other reasons) or found to be so by a regulatory authority, we may be liable for damages or fines or be required to correct, remove, or recall the product or notify competent regulatory authorities. See “—Risks Relating to Quality, Regulation, and Compliance.” The adverse publicity resulting from a recall could damage our reputation and cause customers to review and possibly terminate their relationships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with us, potentially beyond the product that was the subject of the action. A correction, removal, or recall could consume management and employee time and adverse publicity, harm to our reputation, or increased regulatory scrutiny could have a material adverse effect on our business results, cash flows, financial condition, or prospects.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maintain product liability insurance coverage, among other liability insurance coverage, which includes deductible amounts and self-insured retentions. Our insurance coverage may prove to be inadequate and future policies may not be available on acceptable terms or in sufficient amounts, if at all. If a material claim is successfully brought against us relating to a self-insured liability or a liability that is in excess of our insurance coverage, or for which insurance coverage is denied or limited, we could be required to pay substantial damages, which could have a material adverse effect on our business results, financial position, or prospects. Any litigation, investigation, or complaint and any adverse publicity surrounding such allegations or actions could have a material adverse effect on our business results, cash flows, financial condition, or prospects.</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Moreover, we may face substantial liability to patients, customers, and others for damages resulting from the faulty, or allegedly faulty, design, manufacture, installation, servicing, support, testing, or interoperability of our products with other products, or their misuse or failure. Our products generally operate within our customers’ facilities and network systems. Human and other errors or accidents may occur during the operation of our products in complex environments, particularly where our products are used in conjunction with products from other vendors, where interoperability or data sharing protocols may result in unsatisfactory performance even though the equipment operates according to specifications. In addition, independent service organizations could fail to adequately perform their obligations or to properly service our products, which could subject us to further liability. We may also be subject to claims for property damage, economic loss, or bodily injury or death related to or resulting from the installation, servicing, and support of our products. Any accident, mistreatment, or related injury or death could cause us to incur legal costs, subject us to litigation, recall, or regulatory enforcement actions, or generate negative publicity and cause damage to our reputation, whether or not we or our products were at fault and could have a material adverse effect on our business results, cash flows, financial condition, or prospects.</w:t>
      </w:r>
    </w:p>
    <w:p>
      <w:pPr>
        <w:spacing w:after="0" w:line="298"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arbitration, and governmental proceedings, including those stemming from third-party conduct beyond our control.</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involved in, or threatened with, legal, arbitration, and governmental proceedings or investigations from time to time in the ordinary course of our business and heightened scrutiny in the healthcare industry, including disputes with employees, competitors, customers, suppliers, competition authorities, regulators and other authorities, purported whistle-blowers, or regulatory agencies concerning allegations of, among other things, breaches of contract, product liability, product defects, intellectual property infringement, logistics or manufacturing related topics, quality regulations, EH&amp;S or employment issues, termination of business relationship, or alleged or suspected violations of applicable laws in various jurisdictions. 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directed at us, our customers, suppliers, or channel partners, or our or their respective business partners, could also result in the distraction of management resources and adversely affect our reputation, which could have a material adverse effect on our business results, cash flows, financial condition, or prospects. Like other companies in our industry, we are subject to investigations and extensive regulation by government agencies around the world. As a result, we have interactions with government agencies on an ongoing basis. Criminal charges and substantial fines or civil penalties, as well as limitations on our ability to conduct business in applicable jurisdictions, could result from government investigations. See Note 14, “Commitments, Guarantees, Product Warranties, and Other Loss Contingencies—Legal Matters” to the audited combined financial statements included elsewhere in this prospectus.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geopolitical and economic instability as well as continuing uncertainties and challenging conditions in regional economies could adversely affect our business.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generate the majority of our revenue outside the United States and our business is sensitive to global economic conditions. Slower global economic growth, actual or anticipated default on sovereign debt, volatility in the currency and credit markets, high levels of unemployment or underemployment, reduced levels of capital expenditures, changes or anticipation of potential changes in government fiscal, tax, import and export, and monetary policies, changes in capital requirements for financial institutions, government deficit reduction and budget negotiation dynamics, sequestration, austerity measures, and other challenges that affect the global economy could adversely affect us and our customers, suppliers, and channel partners. Economic instability could also cause renewed uncertainty in global markets and the investment climate to deteriorate.</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business is affected by global geopolitical conditions. Future geopolitical factors that have the effect of reducing capital expenditures generally, and for healthcare products, services, or solutions may negatively impact sales of our offerings and, as a result, make it more difficult for us to attract new customers, retain existing customers, or maintain sales at existing levels. In particular, the imposition of import and export restrictions and trade tariff developments have contributed to increased global economic uncertainty. In addition, the rise of economic nationalism could make it more difficult for us to attract new customers, retain existing customers, or maintain sales at existing levels in countries other than the U.S. Geopolitical and economic risks have increased over the past few years as a result of increasing trade tensions between the United States and China. Our operations expose us to the risk that increased trade protectionism from China or other nations may adversely affect our business. Any of these risks or the further deterioration of trade relations between countries could make our offerings more expensive or non-competitive in the affected countries. Growing tensions may also lead to a deglobalization of the world economy, a general reduction of international trade in goods and services, and a reduction in the integration of financial markets, any of which could materially and adversely affect our business results, cash flows, financial condition, or prospects.</w:t>
      </w:r>
    </w:p>
    <w:p>
      <w:pPr>
        <w:spacing w:after="0" w:line="17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Further risks stem from geopolitical tensions (such as in Cuba, Iran, Syria, Russia, and North Korea), the conflicts that may potentially arise, and economic sanctions imposed relating to such regions and persons included on sanctioned party lists. In particular, the conflict between Ukraine and Russia may negatively impact our revenue to the extent the conflict and the sanctions significantly impact our ability to sell products or services to customers in the affected regions or collect receivables from such customers. Given the nature of our products, we do not believe that the current sanctions and other measures imposed by the United States and other countries preclude us from conducting business in the region. However, if the sanctions and other retaliatory measures imposed by the global community change, we may be required to cease or suspend our operations in the region or we may voluntarily elect to do so. We are continuously monitoring economic, political, and geopolitical developments to assess any potential future impact that may arise.</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impact of geopolitical and economic developments globally will depend on a number of factors, including the effectiveness of measures by central banks and financial authorities. Such developments may also result in or coincide with reduced budgets for capital equipment and services, particularly if it becomes more difficult for our customers to accurately forecast and plan future business activities. This, in turn, may cause our customers to reduce, delay, or abandon purchases of our offerings. An uncertain economic environment may also adversely affect our customers’ budgets and may result in pricing pressure, requests for extended warranty provisions, cancellation of service contracts, and could make it more difficult for us to collect outstanding receivables, especially in emerging markets. Any of these risks could have a material adverse effect on our business results, cash flows, financial condition, or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Increasing attention to ESG matters, including EH&amp;S matters, may impose additional costs on our business and expose us to new risks.</w:t>
      </w:r>
    </w:p>
    <w:p>
      <w:pPr>
        <w:spacing w:after="0" w:line="121"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from investors, regulators, and other stakeholders related to their ESG commitments, performance, and disclosures, including related to climate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change, diversity and inclusion, and governance standards. Investor advocacy groups, certain institutional investors, lenders, investment funds, and other influential investors are increasingly focused on companies’ ESG commitments, performance, and disclosures, and in recent years have placed increasing importance on social costs and related implications of their investments. Furthermore, organizations that provide information to investors on corporate governance and related matters have developed ratings processes for evaluating companies on their respective approaches to ESG matters. Unfavorable ESG ratings may be used by investors, lenders, and customers to inform their investment, financing or purchasing decisions, which could have a negative impact on our business.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is also increased legal and regulatory focus on ESG commitments, performance, and disclosures both in the United States and around the world. Continuing political and social attention to these issues, particularly climate change, has resulted in both existing and pending international agreements and national, regional, or local legislation and regulatory requirements specific to ESG matters. We expect regulatory requirements related to ESG matters to continue to expand globally, particularly in the United States and the European Union. A failure to adequately meet regulatory or stakeholder expectations may result in non-compliance, the loss of business, reputational impacts, diluted market valuation, an inability to attract customers, and an inability to attract and retain top talent. In addition, meeting the requirements of future regulatory requirements or our adoption of certain voluntary or other ESG-related standards could necessitate additional investments that could impact our profitability.</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also subject to international, national, state, and local laws, regulations, and industry and customer standards, including licensing and authorization requirements, related to EH&amp;S matters. These EH&amp;S laws, regulations, and standards apply to a broad range of activities across our whole product lifecycle and our entire global organization, including those related to (i) protection of the environment, protected species, and use of natural resources; (ii) occupational health, safety, and well-being; (iii) the use, handling, management, release, storage, transportation, remediation and disposal of, and exposure to, hazardous waste (including biohazardous waste), radiochemical materials, and other hazardous or toxic materials; (iv) our products, including the use of certain chemicals in our products and production processes; (v) emissions to air and water; and (vi) climate change and greenhouse gas emissions. EH&amp;S laws, regulations, and standards vary by jurisdiction and have become increasingly stringent over time. These requirements impose certain responsibilities on our business, including the obligation to install pollution control technologies and obtain and maintain various environmental permits, the cost of which may be substantial. They can also impose cleanup liabilities, including with respect to discontinued or predecessor operations or third-party waste disposal sites. In some jurisdictions we may increasingly be subject to climate change mitigation and adaptation regulation, tax, disclosure, and reporting requirements. If we fail to comply with these requirements, or fail to obtain or maintain a required permit, we could be subject to administrative, civil or criminal fines and penalties, remediation costs, enforcement actions, the suspension or termination of our permits, licenses, and authorizations or operations, third-party claims or other sanctions. In addition, private parties, including current or former employees, could bring personal injury or other claims against us due to the presence of, or exposure to, hazardous substances used, stored, or disposed of by us or contained in our products. Strict, as well as joint and several, liability may be imposed on us under EH&amp;S laws, which could render us liable for the conduct of others or for consequences of our own actions that were compliant with all applicable laws at the time those actions were taken. Insurance coverage from which we benefit as a named insured only covers a limited scope of potential liability under EH&amp;S laws and regulations in the United States and Canada. In connection with certain acquisitions, we could acquire, or be required to provide indemnification against, EH&amp;S liabilities that could expose us to material losses. The occurrence of any of the foregoing could have a material adverse effect on our business results, cash flows, financial condition, or prospects.</w:t>
      </w:r>
    </w:p>
    <w:p>
      <w:pPr>
        <w:spacing w:after="0" w:line="18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products and operations utilizing radioactive material are subject to varying foreign, federal, state, and local regulation and must be conducted in accordance with a number of licenses and certifications. The handling and disposal of radioactive materials and wastes may impose significant requirements and costs, including with respect to the decommissioning of facilities handling radioactive materials. Disposal sites for the lawful disposal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of materials or wastes associated with our products may be limited or non-existent, may no longer accept these materials in the future, or may accept them on unfavorable terms, which could adversely impact our operations.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implementation of new or existing EH&amp;S laws, regulations, and industry and customer standards, and any changes to them, which we cannot predict and which have historically become more stringent over time, could increase our costs. Administrative decisions, legal developments, or other governmental or judicial actions may influence the interpretation or enforcement of EH&amp;S laws, regulations, and industry standards, and may thereby increase compliance or other costs. In addition, EH&amp;S laws, regulations, and standards may also have an adverse impact on our ability to develop our products and to maintain our access to certain markets. EH&amp;S laws and regulations enacted world-wide may require us to re-design products or production processes, or cease using certain substances, leading to detrimental operational impacts and an increase in operating costs. Any of these risks or costs, and any future violations or liabilities under existing or future EH&amp;S laws or regulations, could have a material adverse effect on our business results, cash flows, financial condition, or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material impairments in the value of our long-lived assets, including goodwill, could adversely affect our business.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review our long-lived assets, including identifiable intangible assets, goodwill, and property, plant, and equipment (“PP&amp;E”), for impairment at least annually. All long-lived assets are reviewed when there is an indication that impairment may have occurred. Changes in market conditions or other changes in the outlook of value may lead to impairment charges in the future. In addition, we may sell assets that we determine are not critical to our strategy. Future events or decisions may lead to asset impairments 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and interest rates could adversely affect our business.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generate the majority of our revenue outside of the United States. As a result, our financial results may be adversely affected by fluctuations in foreign currency exchange rates. We cannot predict with any certainty changes in foreign currency exchange rates or our ability to mitigate these risks. We may experience additional volatility because of increasing inflationary pressures and other macroeconomic factors, including in emerging market countries. High inflation rates could have an adverse effect on economic growth and the business climate and could dampen consumer purchasing power. We are also exposed to changes in interest rates and our ability to access money markets and capital markets could be impeded if adverse liquidity market conditions occur. In addition, we may be unable to hedge the effects of foreign exchange rate and interest rate changes in a cost-effective manner. A discussion of the ways and extent to which we attempt to mitigate the impact of foreign exchange risk is contained in Note 13, “Derivatives and Hedging” to the audited combined financial statements included elsewhere in this prospectus. Any of these risks could have a material adverse effect on our business results, cash flows, financial condition, or prospects.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access the capital and credit markets on terms that are favorable to us, or at all.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capital and credit markets may experience extreme volatility or disruptions that may lead to uncertainty and liquidity issues for both borrowers and investors. We expect to access the capital markets to supplement our existing funds and cash generated from operations to satisfy our needs for working capital, to meet capital expenditure and debt service requirements, and for other business initiatives, including acquisitions and licensing activities. In the event of adverse capital and credit market conditions, we may be unable to obtain capital market financing on favorable terms, or at all, and changes in credit ratings issued by nationally recognized credit-rating agencies could adversely affect our ability to obtain capital market financing and the cost of such financing. Additionally, a large portion of our total consolidated cash will be held overseas and may not be efficiently accessible to fund our third-party debt and other financial obligations, which are expected to be primarily held in the United States. Any of these risks could have a material adverse effect on our business results, cash flows, financial condition, prospects, and the market price of our securities.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applicable tax laws and regulations could adversely affect our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income and other taxes (including sales, excise, and value-added) in the United States and foreign jurisdictions. Thus, the tax treatment of our company is subject to changes in tax laws or regulations, tax treaties, or positions by the relevant authority regarding the application, administration, or interpretation of these tax laws and regulations. These factors, together with the ambiguity of tax laws and regulations, the subjectivity of factual interpretations, and uncertainties regarding the geographic mix of earnings in any period, can affect our estimates of our effective tax rate and income tax assets and liabilities, result in changes in our estimates and accruals, and have a material adverse effect on our business results, cash flows, or financial condition. We are unable to predict what tax reforms may be proposed or enacted in the future or what effect such changes would have on our business, but such changes could potentially result in higher tax expense and payments, along with increasing the complexity, burden, and cost of compliance.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tax burden could increase as a result of ongoing or future tax audits.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periodic tax audits by tax authorities. Tax authorities may not agree with our interpretation of applicable tax laws and regulations. As a result, such tax authorities may assess additional tax, interest, and penalties. We regularly assess the likely outcomes of these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audit or other tax dispute or that issues raised by tax authorities will be resolved at a financial cost that does not exceed our related reserves. As such, the actual outcomes of these disputes and other tax audits could have a material impact on our business results or financial position.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deferred tax assets may be subject to limitation.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deferred tax assets in certain countries and our ability to use such assets will depend on taxable income generation in the relevant countries. Further, while the majority of these assets either do not currently have an expiration date or have an expiration date that is later than when we expect to use such assets, subsequent changes to applicable tax laws in these jurisdictions could impact our ability to fully benefit from the deferred tax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Quality, Regulation, and Compliance</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are subject to extensive laws and regulations, and any changes thereto or violations thereof could have a material adverse effect on our business.</w:t>
      </w:r>
    </w:p>
    <w:p>
      <w:pPr>
        <w:spacing w:after="0" w:line="51"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Our business operations are subject to various national, regional, and local laws and regulations relating to healthcare, medical devices, pharmaceutical products, consumer protection, privacy and security, employment, accounting, EH&amp;S, import and export, product promotion, tax, antitrust, anti-corruption, anti-bribery, financing, and competition matters.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particular, the sale, manufacturing, distribution, servicing, and marketing of many of our offerings are highly regulated and we are subject to heightened scrutiny by regulators and other authorities. Regulatory scrutiny may increase in the future and could require us to change the way we operate, including the way in which we offer certain services. These laws and regulations are complex, change frequently, are subject to changes in interpretation and enforcement, and have tended to become more stringent over time. Moreover, certain fields, such as cloud, clinical decision support software and AI, are new fields for which it remains unclear how they will be regulated in the future.</w:t>
      </w:r>
    </w:p>
    <w:p>
      <w:pPr>
        <w:spacing w:after="0" w:line="18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Furthermore, regulatory, and legislative changes, such as the adoption of right to repair laws in the United States, could further strengthen the ability of ISOs to obtain valuable service contracts and directly compete with us in the services area. Right to repair legislation may require us to provide ISOs with increased access to our service tools, parts, documents, software updates, and training. ISOs have also brought lawsuits against original equipment manufacturers in the United States requesting such access. In Europe, ISOs have supported investigations by competition authorities into alleged anti-competitive conduct by OEMs. If ISOs succeed in implementing legislative and/or regulatory reforms such as right to repair laws, prevail in lawsuits against OEMs, or if competition authorities confirm ISO claims, our service business could be adversely affected. The activities of ISOs could expose us to a number of risks, including (i) loss or damage to our intellectual property; (ii) fines, penalties, and injunctive relief; (iii) costly, time-consuming litigation or other enforcement actions; (iv) reputational harm from adverse publicity concerning product safety or reliability issues; and</w:t>
      </w:r>
    </w:p>
    <w:p>
      <w:pPr>
        <w:ind w:left="120" w:hanging="4"/>
        <w:spacing w:after="0" w:line="253"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a cyber-attack from increased access to our products, service tools, and software updates. The strengthening of ISOs and enactment of right to repair legislation could increase compliance costs, require changes to our business practices, or otherwise impact our ability to compete in the services and repairs area. Our ability to effectively compete with an increased number of ISOs and the continued momentum surrounding right to repair legislation (and similar campaigns) could adversely affect our business results, cash flows, financial condition, or prospects.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need to comply with regulations is a substantial controlling, operational, and reputational risk. A failure to comply with applicable laws and regulations could result in governmental investigations, fines, and other sanctions, the temporary or permanent shutdown of production facilities, recalls of products, product withdrawals, revocation of marketing authorizations, disqualification from participation in healthcare activities, third-party and purported whistleblower claims, import detentions, and negative publicity, which could have adverse consequences on our business results, cash flows, financial condition, or prospects. Any new legislation or regulation or any changes in the interpretation or enforcement of existing legislation or regulation may impose significant and costly new obligations on us, which may interrupt our supply of products, delay launch of new offerings, or negatively affect our cost of doing business. Given all of the foregoing, future costs and liabilities relating to compliance with applicable laws and regulations could have a material adverse effect on our business results, cash flows, financial condition, or prospects.</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strictly regulated industry, and changes in regulations or the implementation or enforcement of existing regulations could adversely affect our business.</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rigorous regulation governing the protection of the health and safety of patients and users of our products, as well as development, product testing (including clinical evaluations or clinical investigations), manufacturing, labeling, safety, storage, marketing clearance or approval, advertising and promotion, import and export, sales and distribution, and performance and effectiveness. Certain laws and regulations may also affect the purchasing decisions of our customers. For example, policies in countries such as China and Russia that require purchase of locally manufactured products may affect customer purchasing decisions.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our Equipment Finance business is subject to various laws, rules, and regulations administered by authorities in jurisdictions where it does business, including the United States, Canada, China, France, Germany, the United Kingdom, and certain countries in Latin America. Our business may also be affected by new laws and regulations, in particular laws and regulations that may govern innovative offerings and business activities, including digital offerings, such as cloud and edge computing, software, mobile medical applications, and AI.</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U.S. FDA, the various competent authorities of the European Union member states or other European countries that enforce the EU’s Medical Device Regulation, and the National Medical Products Administration (“NMPA”) in China are the regulatory authorities affecting us most prominently with respect to the commercialization of our medical device products, services, and solutions. There are numerous other regulatory schemes at the international, national, and sub-national levels. Regulations pertaining to our offerings are increasing in previously unregulated countries and are becoming more stringent in already regulated countries. Regulatory premarket clearance, approval, or conformity assessment requirements may affect or delay our ability to market new offerings.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same oversight is reflected for our pharmaceutical products with stringent regulatory requirements to demonstrate safety, efficacy, and quality. For these products, we must conduct clinical trials on humans before we commercialize certain products. Delays and complications in planned clinical trials can result in increased development costs and delays in regulatory authorizations and products reaching the market. These regulations can be burdensome and subject to change, exposing us to the risk of increased costs and business disruption.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Both before and after an offering is commercially distributed, we have ongoing responsibilities under various laws and regulations, including the monitoring of product safety throughout the lifecycle, taking corrective and preventive actions to assure product quality, and reporting certain events and actions to regulatory authorities. For both medical devices and pharmaceutical products, if a regulatory authority concludes that we are not in compliance with applicable laws or regulations, or that any of our offerings are defective, ineffective, or pose an unreasonable risk for patients, users, or others, the authority may ban such offerings, detain or seize adulterated or misbranded products, order a recall, repair, replacement, or refund of such products, or require us to notify healthcare professionals and others that the offerings present unreasonable risks of substantial harm to public health. A regulatory authority may impose operating restrictions or enjoin certain violations of applicable law pertaining to medical devices or pharmaceutical products and assess civil or criminal penalties against us. The regulatory authority may also recommend prosecution by law enforcement agencies. Any governmental law or regulation, whether now existing or imposed in the future, or enforcement action taken could have a material adverse effect on our business results, cash flows, financial condition, or prospects.</w:t>
      </w:r>
    </w:p>
    <w:p>
      <w:pPr>
        <w:spacing w:after="0" w:line="29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FDA and other regulatory agencies actively enforce the laws and regulations governing the development, approval or clearance, and commercialization of medical devices and pharmaceutical products.</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activities related to the development, manufacture, marketing, servicing, and sale of medical devices and pharmaceuticals are subject to extensive federal and state government laws and regulations in the U.S. Compliance with these laws and regulations is expensive and time consuming. Failure to comply could adversely affect our business results, cash flows, financial condition, or prospects.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Before we can market a new medical device, make substantial changes to a previously cleared or approved device, we must receive either FDA clearance under Section 510(k) of the Federal Food, Drug, and Cosmetic Act (“FDCA”) or FDA approval of a Premarket Approval Application (“PMA”), unless an exemption applies. To obtain 510(k) clearance, the FDA must conclude that the device is “substantially equivalent” to a legally marketed predicate device, which generally refers to a device that itself has already received 510(k) clearance. To obtain PMA approval, we must provide FDA with valid scientific evidence demonstrating that there is a reasonable assurance of the safety and effectiveness of the device for its intended uses. Clinical development of a new investigational device or an existing device for a new intended use may require FDA approval of an Investigational Device Exemption (“IDE”), if the device at issue meets the criteria for a “significant risk” device. Even if FDA approval of an IDE is not required, clinical studies of non-significant risk devices are still subject to significant regulation and oversight, including requirements for monitoring, recordkeeping, reporting, obtaining informed consent, and institutional review board approval. A similar set of requirements governs FDA approval of pharmaceuticals. Development of new pharmaceuticals, such as imaging agents, typically begins with extensive pre-clinical R&amp;D, followed by approval of an Investigational New Drug Application (“IND”), and then, upon successful completion of several phases of rigorous clinical trials, the filing and request for FDA</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approval of a New Drug Application (“NDA”). The FDA premarket review process is rigorous and not always predictable. FDA can delay, limit, or deny clearance or approval of a product, which could have a material adverse effect on our business results, cash flows, financial condition, or prospects.</w:t>
      </w:r>
    </w:p>
    <w:p>
      <w:pPr>
        <w:spacing w:after="0" w:line="14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Once a medical device or pharmaceutical is cleared or approved, a manufacturer must notify FDA of certain changes to the product. In the case of 510(k) medical devices, FDA requires a device manufacturer to document its determination of whether or not a modification requires a new clearance. FDA can review a manufacturer’s decision not to file and may disagree and require a 510(k) submission or take other regulatory actions or enforcement. Modifications to a PMA approved device may require either submission of a PMA supplement for review and approval by FDA prior to implementing the modification or a notification in an annual report. For pharmaceuticals, FDA approval is required before making changes to the product’s formulation, dosage, or strength, and we must submit an IND if we intend to market an approved pharmaceutical product for a new use or in a new form. We may not be able to obtain additional FDA clearance or approval for new products or for modifications to, or additional indications for, already approved or cleared products in a timely fashion, or at all. Delays in obtaining required future clearances or approvals could harm our financial performance and future growth. If we make additional modifications in the future that we believe do not or will not require additional clearances or approvals and FDA disagrees and requires a submission, we may be required to recall or to stop selling our products as modified, which could impact our reputation, harm our operating results, or require us to redesign our products. In these circumstances, we may also be subject to legal or regulatory actions.</w:t>
      </w:r>
    </w:p>
    <w:p>
      <w:pPr>
        <w:spacing w:after="0" w:line="19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FDA and the Federal Trade Commission (“FTC”) also regulate the advertising and promotion of our offerings to ensure that our claims are consistent with our regulatory clearances and approvals, that there is data to substantiate the claims, and that our materials are not false or misleading. If we or any of our suppliers, channel partners, or agents fail to comply with FDA, FTC, and other applicable U.S. regulatory requirements or any such promotional labeling and advertising is perceived to potentially be false, misleading, or otherwise not permissible, we may face legal or regulatory actions.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device manufacturer, we are required to report to the FDA within specific timelines when any of our devices may have caused or contributed to death or serious injury, or when any of our devices has malfunctioned and it would be likely to cause or contribute to a death or serious injury if the malfunction were to recur. We are also required to report adverse drug events associated with use of our pharmaceutical products. If these reports are not filed in a timely manner, regulators may impose sanctions impacting product sales, and we may be subject to product liability or regulatory enforcement actions, all of which would harm our business.</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particularly with respect to emerging technologies. Failure to comply with new requirements or otherwise maintain regulatory compliance could limit or delay regulatory authorization of our products and adversely affect our business results, cash flows, financial condition, or prospects.</w:t>
      </w:r>
    </w:p>
    <w:p>
      <w:pPr>
        <w:spacing w:after="0" w:line="284" w:lineRule="exact"/>
        <w:rPr>
          <w:sz w:val="20"/>
          <w:szCs w:val="20"/>
          <w:color w:val="auto"/>
        </w:rPr>
      </w:pPr>
    </w:p>
    <w:p>
      <w:pPr>
        <w:jc w:val="both"/>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the FDA actively enforces laws and regulations governing the manufacture of medical devices and pharmaceutical products, and failure to comply with applicable laws and regulations could adversely affect our business.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Following FDA clearance or approval of a medical device or pharmaceutical product, our activities are subject to ongoing FDA regulation and monitoring. We are subject to FDA’s requirements for registration and listing, as well as current Good Manufacturing Practices (“cGMPs”), which are intended to ensure that our products are safe and consistently meet applicable requirements and specifications. FDA’s cGMPs (referred to in the medical device context as the medical device Quality System Regulation (“QSR”)) set forth minimum requirements for the methods, facilities and controls used in the design, testing, production, control, quality assurance, inspection, complaint handling, recordkeeping, management review, adverse event reporting, labeling,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packaging, sterilization, storage, and shipping of our medical devices and pharmaceutical products. We are also required to comply with other federal and state regulations for medical devices, radiation-emitting products and pharmaceutical products. In addition, we must engage in extensive recordkeeping and reporting and must make available our manufacturing facilities and records for periodic announced or unannounced inspections by the FDA to determine compliance with QSR, cGMPs and similar regulatory requirements. In connection with these inspections, if the FDA believes a manufacturer has failed to comply with applicable regulations or procedures, it may issue observations through a “Form 483.” If these observations are not addressed sufficiently or in a timely manner and to the FDA’s satisfaction, the FDA may issue a Warning Letter or proceed directly to other forms of enforcement. If a Warning Letter is issued, prompt corrective action is required to come into compliance. Failure to respond timely to Form 483 observations, a Warning Letter or other notice of non-compliance and to promptly come into compliance could result in the FDA bringing enforcement action against us, which could include the partial or total shutdown of our affected production facilities, denial of importation into the United States for products manufactured in affected non-U.S. locations, adverse publicity, and criminal and civil fines. The FDA also may request that we enter into a consent decree imposing substantial fines or permanent injunction under which our activities are substantially curtailed or subject to rigorous ongoing regulatory scrutiny. A failure to enter into or comply with a consent decree with the FDA or similar agreements with governmental entities could result in enforcement actions by the FDA or other governmental entities, liquidated damages, fines, penalties, civil or criminal liability, and other interruptions to, or expenses for, our business.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also participate in the Medical Device Single Audit Program (“MDSAP”), which is recognized by regulators in Australia, Brazil, Canada, Japan, and the United States. Audits are conducted by a third-party audit organization that has been approved by the MDSAP consortium and include audits against ISO 13485, a standard issued by the International Organization for Standardization (“ISO 13485”) and the specific regulatory requirements of the five participating countries. We are participating in MDSAP across all of our relevant medical device manufacturing sites. A satisfactory audit with no significant findings will result in acceptance of the audit results by all five regulators and will be in lieu of a routine audit by each of these regulators. However, an audit that results in significant non-conformances will highlight the relevant issues to all five regulators and will likely result in follow-up inspections by one or more of these regulators. In addition, participating regulators reserve the right to conduct directed inspections if any other items rise to their attention, such as product recalls or other post-market issues. We are MDSAP-certified at all of our relevant sites; further, MDSAP certification is mandatory in Canada as of January 1, 2019 in order to maintain regulatory licenses and to sell products in Canada. Any of these risks could have a material adverse effect on our business results, cash flows, financial condition, or prospects.</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laws and regulations applicable to the manufacture and distribution of our products outside the United States may be costly, and failure to comply may result in significant penalties.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general, outside the United States, our products are regulated as medical devices or pharmaceuticals by foreign governmental agencies similar to FDA, but regulatory requirements affecting our operations and sales vary from country to country. To market our products internationally in compliance with applicable medical device and pharmaceutical regulations, we must obtain approvals for products and product modifications. These processes can be time-consuming, expensive, and uncertain, which can delay our ability to market products in those countries. Delays or failure to receive regulatory approvals, the inclusion of significant limitations on the indicated uses of a product, the loss of previously obtained approvals, or failure to comply with existing or future regulations could restrict or prevent us from doing business in a country or subject us to enforcement actions and civil or criminal penalties, which would adversely affect our business.</w:t>
      </w:r>
    </w:p>
    <w:p>
      <w:pPr>
        <w:spacing w:after="0" w:line="189"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Failure to obtain premarket regulatory approval of medical devices or pharmaceutical products will impact our ability to sell products in those jurisdictions. Regulatory requirements and interpretations change frequently, leading to increased scrutiny and uncertainty. As a result, market access may be delayed and additional investment may be needed. In addition to health authorities, other related healthcare, quality, consumer protection, and advertising regulators have become increasingly active in the enforcement of laws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regulations governing our products. This trend in increased enforcement could result in civil or criminal penalties, which could adversely affect our business.</w:t>
      </w:r>
    </w:p>
    <w:p>
      <w:pPr>
        <w:spacing w:after="0" w:line="162"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In the European Economic Area (“EEA”), if we cannot support our performance claims and demonstrate compliance with the applicable regulations, we would lose our right to affix a European marking of conformity that indicates that the device meets the essential requirements of the Medical Device Regulations (a “CE marking”) to our devices, which would prevent us from selling our devices in countries that recognize the CE marking. We must also comply with post-market surveillance requirements and requirements applicable to economic operators. Globally, we are required to file various reports with regulatory authorities, including reports for adverse events associated with our products.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Some of our products are also regulated under other product-specific laws and regulations. Any efforts to send direct marketing to potential consumers of our products would need to comply with EU rules regulating such marketing, including the e-Privacy Directive 2002/58 and member state laws transposing that Directive. There are, additionally, EU laws regulating e-commerce activities more generally. Failure to comply with any such applicable laws, rules or regulations could have a material adverse effect on our business and results of operations.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above, the U.S. Department of the Treasury’s Office of Foreign Assets Control administers laws and regulations that restrict U.S. persons and, in some instances, non-U.S. persons, in conducting activities, transacting business with, or making investments in certain countries or with governments, entities, and individuals subject to U.S. economic sanctions. Furthermore, the U.S. Department of Commerce Bureau of Industry and Security administers export controls that apply to products, software, and technology. Due to our international operations, we are subject to such laws and regulations, which are complex, restrict our business dealings with certain countries and individuals, and are constantly changing. There can be no guarantee that policies and procedures we have that are designed to assist us in complying will be effective in preventing us from a violation of these laws and regulations. Such a violation could result in potential civil penalties or criminal fines or imprisonment and have a material adverse effect on our business results, cash flows, financial condition, or prospects.</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or, if we are deemed to have engaged in the promotion of these uses, result in costly investigations, fines, or sanctions by regulatory bodies.</w:t>
      </w:r>
    </w:p>
    <w:p>
      <w:pPr>
        <w:spacing w:after="0" w:line="51"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Regulatory authorities, including the FDA, strictly regulate the indications for use and associated promotional safety and effectiveness claims that may be made about medical devices and pharmaceuticals. In general, we are prohibited from promoting our medical devices or pharmaceutical products for uses that are not consistent with each product’s labeling. For any products we may develop, we receive marketing approval or clearance for specific uses. Physicians may nevertheless lawfully choose to use such products on their patients in a manner that is inconsistent with the label (“off-label use”), as the FDA, for example, does not restrict or regulate a physician’s choice of treatment within the practice of medicine.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However, if regulatory authorities determine that our external-facing materials, oral statements, or physician training constitute promotion of an off-label use, such authorities could request that we modify our training, promotional, or other external-facing materials or subject us to enforcement action, including the issuance of warning or untitled letters, fines, penalties, or seizures. If we are found to have promoted such off-label uses, we may become subject to significant liability. Regulatory authorities may also request that companies enter into consent decrees of permanent injunctions under which specified promotional conduct is changed, curtailed, or prohibited. If we cannot successfully manage our external-facing materials or the advertising and promotion of and training for our products, we could become subject to significant liability and restrictions, which could harm our reputation and adversely affect our business. Additionally, the intentional misuse of our products, whether by customers or third parties, for non-medical purposes could result in allegations of product liability or otherwise harm our reputation. Any of these risks could have a material adverse effect on our business results, cash flows, financial condition, or prospects.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face similar risks in China. Medical device and pharmaceutical product labels and advertising and promotion materials must be in accordance with the approval from the NMPA. The Advertisement Law of the People’s Republic of China, the Anti-Unfair Competition Law and related medical device and pharmaceutical regulations require government approval of advertising and prohibit the advertisement of medical devices and pharmaceutical products for off-label uses. The failure to follow these rules could lead to government investigations, significant fines, seizures of advertising material, and disqualification from participation in medical device and pharmaceutical product activities, among other penalties. Any of these risks could have a material adverse effect on our business results, cash flows, financial condition, or prospects.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following regulatory authorization, including results in post-approval device or pharmaceutical Phase 4 trials or other studies, could adversely affect sales or decrease demand for our medical devices or pharmaceutical products.</w:t>
      </w:r>
    </w:p>
    <w:p>
      <w:pPr>
        <w:spacing w:after="0" w:line="51"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As a condition to granting marketing authorization of a medical device or pharmaceutical product, FDA may require a company to conduct additional clinical trials or surveillance studies. Outcome of these post-market trials could result in the loss of marketing authorization, changes in product labeling, or new or increased concerns about the safety or efficacy of a product. Regulatory agencies in countries outside the United States often have similar authority and may impose comparable requirements. Post-marketing studies, whether conducted by us or by others and whether mandated by regulatory agencies or voluntary, and other emerging data about marketed products, such as adverse event reports, may also adversely affect the availability or commercial potential of our products. Further, the discovery of significant problems with a product similar to one of our products that implicate (or are perceived to implicate) an entire class of products could have an adverse effect on the availability or commercial potential of the affected products. Accordingly, new data about our products, or products similar to our products, could negatively impact demand for our products due to real or perceived safety issues or uncertainty regarding efficacy and, in some cases, could result in updated labeling, restrictions on use, product withdrawal, or recall. Any of these risks could have a material adverse effect on our business results, cash flows, financial condition, or prospects.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for some of our products depends on capital spending policies of our customers and on government funding policies.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customers include hospitals, universities, healthcare providers, government agencies, and public and private research institutions. Many factors, including public policy spending priorities, available resources, and product and economic cycles, have a significant impact on the capital spending policies of these entities. Impasses in national, regional, or local government budgeting decisions could lead to substantial delays or reductions in governmental spending.</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Many of our products have lengthy sales and purchase order cycles or are subject to competitive bidding or public tender processes. As a result, customers may delay or accelerate system purchases in conjunction with timing of their capital budget timelines or be unable to complete such purchases at all. Any of these risks could have a material adverse effect on our business results, cash flows, financial condition, or prospects.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U.S. healthcare industry and other changes to the U.S. healthcare environment may adversely affect our business.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recent years, U.S. healthcare industry participants, including distributors, manufacturers, suppliers, healthcare providers, insurers, and pharmacy chains, have consolidated or formed strategic alliances. Consolidations create larger enterprises with greater negotiating power and may result in the loss of a customer where the combined enterprise selects one distributor from two incumbents. If consolidation trends continue, it could adversely affect our business results, cash flows, financial condition, or prospects.</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U.S. healthcare industry has undergone significant changes designed to increase access to medical care, improve safety and patient outcomes, contain costs, and increase efficiencies. These changes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include a general decline and/or changes in public and private insurer reimbursement levels and payment models and the industry shifting away from traditional healthcare venues like hospitals and into clinics, physician offices, and patients’ homes. We expect the U.S. healthcare industry to continue to change in the future, which may adversely affect our business results, cash flows, financial condition, or prospects.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Spin-Off</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Spin-Off could result in significant tax liability to GE and its stockholders if it is determined to be a taxable transaction.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 has received a private letter ruling from the IRS to the effect that, among other things, the Spin-Off, including the retention of up to 19.9% of the shares of our common stock, will qualify as a transaction that is tax-free for U.S. federal income tax purposes under Sections 355 and 368(a)(1)(D) of the Code. Completion of the Spin-Off is conditioned on GE’s receipt of a written opinion from each of Paul, Weiss, Rifkind, Wharton &amp; Garrison LLP and Ernst &amp; Young, LLP to the effect that the Spin-Off will qualify for non-recognition of gain and loss under Section 355 and related provisions of the Code. GE can waive receipt of the tax opinions as a condition to the completion of the Spin-Off.</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opinion of counsel and the opinion of Ernst &amp; Young, LLP will not address any U.S. state or local or foreign tax consequences of the Spin-Off. Each opinion assumes that the Spin-Off will be completed according to the terms of the Separation and Distribution Agreement and relies on the facts as stated in the Separation and Distribution Agreement, the Tax Matters Agreement, the other ancillary agreements, this prospectus and a number of other documents.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opinion of counsel, the opinion of Ernst &amp; Young, LLP, and the private letter ruling rely on certain facts, assumptions, representations, and undertakings from GE and us regarding the past and future conduct of the companies’ respective businesses and other matters. If any of these facts, assumptions, representations, or undertakings are incorrect or not otherwise satisfied, GE and its stockholders may not be able to rely on the opinion of counsel, the opinion of Ernst &amp; Young, LLP, or the private letter ruling and could be subject to significant tax liabilities.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opinion of counsel and the opinion of Ernst &amp; Young, LLP will not be binding on the IRS or the courts, and there can be no assurance that the IRS or a court will not take a contrary position. Notwithstanding the opinion of counsel, the opinion of Ernst &amp; Young, LLP, or the private letter ruling, the IRS could determine on audit that the Spin-Off or any of certain related transactions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stock ownership of GE or us after the Spin-Off. If the conclusions expressed in the opinion of counsel or the opinion of Ernst &amp; Young, LLP are challenged by the IRS, and if the IRS prevails in such challenge, the tax consequences of the Spin-Off (including the tax consequences to GE and the U.S. Holders (as defined herein)) could be materially less favorable.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Spin-Off were determined not to qualify for non-recognition of gain or loss under Section 355 and related provisions of the Code, each U.S. Holder who receives our common stock in the Spin-Off would generally be treated as receiving a distribution in an amount equal to the fair market value of our common stock received, which would generally result in: (i) a taxable dividend to the U.S. Holder to the extent of that U.S. Holder’s pro rata share of GE’s current or accumulated earnings and profits; (ii) a reduction in the U.S. Holder’s basis (but not below zero) in GE common stock to the extent the amount received exceeds the stockholder’s share of GE’s earnings and profits; and (iii) taxable gain from the exchange of GE common stock to the extent the amount received exceeds the sum of the U.S. Holder’s share of GE’s earnings and profits and the U.S. Holder’s basis in its GE common stock. See below and “Material U.S. Federal Income Tax Consequences of the Spin-Off.”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Spin-Off were determined not to qualify as tax-free for U.S. federal income tax purposes, we could have an indemnification obligation to GE, which could adversely affect our business, financial condition, cash flows, and results of operations.</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as a result of any of our representations being untrue or our covenants being breached, the Spin-Off were determined not to qualify for non-recognition of gain or loss under Section 355 and related provisions of the Code, we could be required by the Tax Matters Agreement to indemnify GE for the resulting taxes and related expenses. Those amounts could be material. Any such indemnification obligation could adversely affect our business, financial condition, cash flows, and results of operations.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if we or our stockholders were to engage in transactions that resulted in a 50% or greater change by vote or value in the ownership of our stock during the four-year period beginning on the date that begins two years before the date of the Spin-Off, the Spin-Off would generally be taxable to GE, but not to GE stockholders, under Section 355(e), unless it were established that such transactions and the Spin-Off were not part of a plan or series of related transactions. If the Spin-Off were taxable to GE due to such a 50% or greater change by vote or value in the ownership of our stock, GE would recognize gain equal to the excess of the fair market value on the Distribution Date of our common stock distributed to GE stockholders over GE’s tax basis in our common stock, and we generally would be required to indemnify GE for the tax on such gain and related expenses. Those amounts could be material. Any such indemnification obligation could adversely affect our business, financial condition, cash flows, and results of operations. See “Certain Relationships and Related Person Transactions—Agreements with GE—Tax Matters Agreement.”</w:t>
      </w:r>
    </w:p>
    <w:p>
      <w:pPr>
        <w:spacing w:after="0" w:line="29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agree to numerous restrictions to preserve the non-recognition tax treatment of the Spin-Off, which may reduce our strategic and operating flexibility.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preserve the tax-free nature of the Spin-Off and related transactions, we intend to agree in the Tax Matters Agreement to covenants and indemnification obligations that address compliance with Section 355 and related provisions of the Code, as well as state, local and foreign tax law. These covenants will include certain restrictions on our activity for a period of two years following the Spin-Off. Specifically, we will be subject to certain restrictions on our ability to enter into acquisition, merger, liquidation, sale and stock redemption transactions with respect to our stock or assets and we may be required to indemnify GE against any resulting tax liabilities even if we do not participate in or otherwise facilitate the acquisition. Furthermore, we will be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These covenants and indemnification obligations may limit our ability to pursue strategic transactions or engage in new businesses or other transactions that may maximize the value of our business, and might discourage or delay a strategic transaction that our stockholders may consider favorable. See “Certain Relationships and Related Person Transactions—Agreements with GE—Tax Matters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some or all of the benefits that we expect to achieve from the Spin-Off.</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unable to achieve the full strategic and financial benefits expected to result from the separation and distribution, or such benefits may be delayed or not occur at all. We believe that, as an independent, publicly traded company, we will be able to, among other things, more effectively focus on our own distinct operating priorities and strategies, enhance our ability to better address specific market dynamics and target innovation, create incentives for our management and employees that align more closely with our business performance and the interests of our stockholders, and allow us to articulate a clear investment proposition and tailored capital allocation policy to attract a long-term investor base best suited to our business needs. We may be unable to achieve some or all of the benefits that we expect to achieve as an independent company in the time we expect, if at all, for a variety of reasons, including: (i) the completion of the Spin-Off and compliance with the requirements of being an independent, publicly traded company will require significant amounts of our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management’s time and effort, which may divert management’s attention from operating and growing our business; (ii) following the Spin-Off, we may be more susceptible to market fluctuations and other adverse events than if we were still a part of GE; (iii) following the Spin-Off, our businesses will be less diversified than GE’s businesses prior to the separation; (iv) the other actions required to separate GE’s and our respective businesses could disrupt our operations; and (v) under the terms of the Tax Matters Agreement, we will be restricted from taking certain actions that could cause the Spin-Off to fail to qualify as a tax-free transaction and these restrictions may limit us for a period of time from pursuing strategic transactions and equity issuances or engaging in other transactions that may increase the value of our business. If we fail to achieve some or all of the benefits that we expect to achieve as an independent company, or do not achieve them in the time we expect, our business, financial condition, cash flows, and results of operations could be adversely affected.</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we will receive in our agreements with GE could be less beneficial than the terms we may have otherwise received from unaffiliated third parties.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agreements we will enter into with GE in connection with the separation will be negotiated prior to the Spin-Off, at a time when our business will still be operated by GE. Many aspects of the agreements will be entered into on arms-length terms similar to those that would be agreed with an unaffiliated third party such as a buyer in a sale transaction, but we will not have an independent board of directors or a management team independent of GE representing our interests while the agreements are being negotiated. In addition, until the Spin-Off occurs, we will continue to be a wholly owned subsidiary of GE and, accordingly, GE will still have the discretion to determine and change the terms of the separation until the Distribution Date. As a result of these factors, some of the terms of those agreements may not reflect terms that would have resulted from arm’s-length negotiations between unaffiliated third parties, and it is possible that we might have been able to achieve more favorable terms if the circumstances differed. See “Certain Relationships and Related Person Transactions.”</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Spin-Off, we could incur substantial additional costs and experience temporary business interruptions, and we may not be adequately prepared to meet the requirements of an independent, publicly traded company on a timely or cost-effective basis.</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operated as part of GE, and GE has provided us with various corporate functions. Following the Spin-Off, GE will not provide us with assistance other than the transition and other services described under “Certain Relationships and Related Person Transactions.” These services do not include every service that we have received from GE in the past, and GE is only obligated to provide the transition services for limited periods following completion of the Spin-Off. Following the Spin-Off and the cessation of any transition services agreements, we will need to provide internally or obtain from unaffiliated third parties the services we will no longer receive from GE. We may be unable to replace these services in a timely manner or on terms and conditions as favorable as those we receive from GE.</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Spin-Off, we have been installing and implementing information technology infrastructure to support certain of our business functions, including accounting and financial reporting, human resources, legal and compliance, communications, and indirect sourcing. We may incur substantially higher costs than currently anticipated as we transition from the existing transactional and operational systems and data centers we currently use as part of GE. If we are unable to transition effectively, we may incur temporary interruptions in business operations. Any delay in implementing, or operational interruptions suffered while implementing, our new information technology infrastructure could disrupt our business and have a material adverse effect on our results of operations.</w:t>
      </w:r>
    </w:p>
    <w:p>
      <w:pPr>
        <w:spacing w:after="0" w:line="187"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addition, we are directly subject to reporting and other obligations under the U.S. Securities and Exchange Act of 1934, as amended (the “Exchange Act”). The Exchange Act requires that we file annual, quarterly, and current reports with respect to our business and financial condition. Beginning with our second required Annual Report on Form 10-K, we intend to comply with Section 404 of the Sarbanes Oxley Act of 2002, as amended (the “Sarbanes Oxley Act”), which will require annual management assessments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effectiveness of our internal control over financial reporting and a report by our independent registered public accounting firm on the effectiveness of internal control over financial reporting. Under the Sarbanes Oxley Act, we are also required to maintain effective disclosure controls and procedures. To comply with these requirements, we may need to upgrade our systems, implement additional financial and management controls, reporting systems, and procedures and hire additional accounting and finance staff. These reporting and other obligations may place significant demands on management, administrative, and operational resources, including accounting systems and resources. If we are unable to upgrade our financial and management controls, reporting systems, information technology systems, and procedures in a timely and effective fashion, our ability to comply with financial reporting requirements and other rules that apply to reporting companies under the Exchange Act could be impaired, and we may be unable to conclude that our internal control over financial reporting is effective. If we are not able to comply with the requirements of Section 404 of the Sarbanes Oxley Act in a timely manner, or if we or our independent registered public accounting firm identify deficiencies in our internal control over financial reporting that are deemed to be material weaknesses, the market price of shares of our common stock could decline and we could be subject to sanctions or investigations by the SEC or other regulatory authorities, which would require additional financial and management resources.</w:t>
      </w:r>
    </w:p>
    <w:p>
      <w:pPr>
        <w:spacing w:after="0" w:line="19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Moreover, we cannot be certain that these measures would ensure that we implement and maintain adequate controls over our financial processes and reporting in the future. Even if we were to conclude, and our auditors were to concur, that our internal control over financial reporting provided reasonable assurance regarding the reliability of financial reporting and the preparation of financial statements for external purposes in accordance with U.S. GAAP, because of its inherent limitations, internal control over financial reporting might not prevent or detect fraud or misstatements. This, in turn, could have an adverse impact on trading prices for shares of our common stock, and could adversely affect our ability to access the capital markets.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an independent, publicly traded company, we may not enjoy the same benefits that we did as a part of GE.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There is a risk that, by separating from GE, we may become more susceptible to market fluctuations and other adverse events than we would have been if we were still a part of the current GE organizational structure. As part of GE, we have been able to enjoy certain benefits from GE’s operating diversity, size, purchasing power, cost of capital, and opportunities to pursue integrated strategies with GE’s other businesses. As an independent, publicly traded company, we will not have the same benefits. Additionally, as part of GE, we have been able to leverage GE’s historical reputation, performance, and brand identity to recruit and retain key personnel to run and operate our business. As an independent, publicly traded company, we will need to develop new strategies, and it may be more difficult for us to recruit or retain such key personnel.</w:t>
      </w:r>
    </w:p>
    <w:p>
      <w:pPr>
        <w:spacing w:after="0" w:line="291"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as an independent, publicly traded company, and our historical combined financial information is not necessarily representative of the results we would have achieved as an independent, publicly traded company and may not be a reliable indicator of our future results.</w:t>
      </w:r>
    </w:p>
    <w:p>
      <w:pPr>
        <w:spacing w:after="0" w:line="67"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derived the historical combined financial information included in this prospectus from GE’s consolidated financial statements, and this information does not necessarily reflect the results of operations and financial position we would have achieved as an independent, publicly traded company during the periods presented, or those that we will achieve in the future. This is primarily because of the following factors:</w:t>
      </w:r>
    </w:p>
    <w:p>
      <w:pPr>
        <w:spacing w:after="0" w:line="81" w:lineRule="exact"/>
        <w:rPr>
          <w:sz w:val="20"/>
          <w:szCs w:val="20"/>
          <w:color w:val="auto"/>
        </w:rPr>
      </w:pPr>
    </w:p>
    <w:p>
      <w:pPr>
        <w:ind w:left="1080" w:right="1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Spin-Off, we operated as part of GE, and GE performed various corporate functions for us. Our historical combined financial information reflects allocations of corporate expenses from GE for these functions. These allocations may not reflect the costs we will incur for similar services in the future as an independent, publicly traded company.</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transactions with GE that did not exist prior to the Spin-Off, such as GE’s provision of transition and other services, and undertake indemnification obligations, which will cause us to incur new costs. See “Certain Relationships and Related Person Transactions —Agreements with 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financial information does not reflect changes that we expect to experience in the future as a result of our separation from GE, including changes in the financing, cash management, operations, cost structure, and personnel needs of our business. As part of GE, we enjoyed certain benefits from GE’s operating diversity, reputation, size, purchasing power, ability to borrow, and available capital for investments, and we will lose these benefits after the Spin-Off. As an independent entity, we may be unable to purchase goods, services, and technologies, obtain insurance and health care benefits, computer software licenses, or other services or licenses, or access capital markets, on terms as favorable to us as those we obtained as part of GE prior to the Spin-Off, and our results of operations may be adversely affected. In addition, our historical combined financial data do not include an allocation of interest expense comparable to the interest expense we will incur as a result of the Reorganization Transactions and the Spin-Off, including interest expense in connection with our incurrence of indebtedness.</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Following the Spin-Off, we will also face additional costs and demands on management’s time associated with being an independent, publicly traded company, including costs and demands related to corporate governance, investor and public relations, and public financial reporting. For additional information about our past financial performance and the basis of presentation of our combined financial statements, see “Unaudited Pro Forma Condensed Combined Financial Statements,” “Management’s Discussion and Analysis of Financial Condition and Results of Operations,” and our historical combined financial statements and the notes thereto included elsewhere in this prospectus.</w:t>
      </w:r>
    </w:p>
    <w:p>
      <w:pPr>
        <w:spacing w:after="0" w:line="28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new indebtedness prior to the Spin-Off, and the degree to which we will be leveraged following completion of the Spin-Off could adversely affect our business, results of operations, cash flows, and financial condition.</w:t>
      </w:r>
    </w:p>
    <w:p>
      <w:pPr>
        <w:spacing w:after="0" w:line="51" w:lineRule="exact"/>
        <w:rPr>
          <w:sz w:val="20"/>
          <w:szCs w:val="20"/>
          <w:color w:val="auto"/>
        </w:rPr>
      </w:pPr>
    </w:p>
    <w:p>
      <w:pPr>
        <w:jc w:val="both"/>
        <w:ind w:left="12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Spin-Off, we will incur indebtedness in an aggregate principal amount of $10.25 billion, consisting of $2.0 billion of Term Loan Facility, which will be drawn prior to or concurrently with the Spin-Off, and $8.25 billion of senior notes issued on November 22, 2022. We issued $4.0 billion of such indebtedness directly to GE, as partial consideration for certain assets that will be contributed to us in connection with the Spin-Off, and GE exchanged such indebtedness for an equivalent principal amount of GE’s indebtedness. In addition, we have made a cash distribution of</w:t>
      </w:r>
    </w:p>
    <w:p>
      <w:pPr>
        <w:spacing w:after="0" w:line="3"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$4.2 billion from the balance of debt proceeds to GE and expect to make one or more additional cash distributions to GE prior to or concurrently with the Spin-Off, with the remaining proceeds to be held by the Company in cash and cash equivalents. We expect that GE will use the proceeds of such indebtedness to pay off GE obligations. After giving effect to such distributions, we expect to begin operations as an independent company with a cash balance of approximately $1.8 billion. We also entered into a 5-Year Revolving Credit Facility of $2.5 billion and a 364-Day Revolving Credit Facility of $1.0 billion, however, the facilities are not expected to be utilized at the completion of the Spin-Off. GE HealthCare’s capital structure remains under review and will be finalized prior to the Spin-Off. See “Capitalization,” “Unaudited Pro Forma Condensed Combined Financial Statements,” and “Management’s Discussion and Analysis of Financial Condition and Results of Operations—Liquidity and Capital Resources.”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historically relied upon GE to fund our working capital requirements and other cash requirements. After the Spin-Off, we will not be able to rely on the earnings, assets, or cash flow of GE, and GE will not provide funds to finance our working capital or other cash requirements. As a result, after the Spin-Off, we will be responsible for servicing our own debt and obtaining and maintaining sufficient working capital and other funds to satisfy our cash requirements. After the Spin-Off, our access to and cost of debt financing will be different from the historical access to and cost of debt financing under GE. Differences in access to and cost of debt financing may result in differences in the interest rate charged to us on financings, as well as the amount of indebtedness, types of financing structures and debt markets that may be available to us. Our ability to make payments on and to refinance our indebtedness, including the debt incurred in connection with the Spin-Off,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outlook, or watch assigned to our new debt by rating agencies may increase our future borrowing costs, reduce our access to capital, and adversely impact our financial performance.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indebtedness has investment-grade credit ratings, and any credit rating, outlook, or watch assigned could be lowered or withdrawn entirely by a credit rating agency if, in that credit rating agency’s judgment, current or future circumstances relating to the basis of the credit rating, outlook, or watch such as adverse changes to our business, so warrant. Any future lowering of our credit ratings, outlook, or watch likely would make it more difficult or more expensive for us to obtain additional debt financing. Moreover, a reduction in our credit rating to below investment-grade could cause certain customers to reduce or cease to do business with us, which would adversely impact our financial performance.</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Spin-Off, certain of our directors and employees may have actual or potential conflicts of interest because of their financial interests in GE or because of their previous or continuing positions with GE.</w:t>
      </w:r>
    </w:p>
    <w:p>
      <w:pPr>
        <w:spacing w:after="0" w:line="5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Because of their current or former positions with GE, certain of our expected executive officers and directors own equity interests in both us and GE. Continuing ownership of GE shares and equity awards could create, or appear to create, potential conflicts of interest if we and GE face decisions that could have implications for both us and GE. For example, potential conflicts of interest could arise in connection with the resolution of any dispute between us and GE regarding the terms of the agreements governing the separation and distribution and our relationship with GE following the separation and distribution. Potential conflicts of interest may also arise out of any commercial arrangements that we or GE may enter into in the future.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or GE may fail to perform under various transaction agreements that will be executed as part of the separation.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and prior to the Spin-Off, we and GE will enter into various transaction agreements related to the Spin-Off. All of these agreements will also govern our relationship with GE following the Spin-Off. We will rely on GE to satisfy its performance obligations under these agreements. If we or GE are unable to satisfy our or its respective obligations under these agreements, including indemnification obligations, our business, results of operations, cash flows, and financial condition could be adversely affected. See “Certain Relationships and Related Person 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non-U.S. entities or assets that are part of our separation from GE may not be transferred to us prior to the Spin-Off or at all.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non-U.S. entities and assets that are part of our separation from GE may not be transferred prior to the Spin-Off because the entities or assets, as applicable, are subject to foreign government or third-party approvals that we may not receive prior to the Spin-Off. Such approvals may include, but are not limited to, approvals to merge or demerge, to form new legal entities (including obtaining required registrations and/or licenses or permits), and to transfer assets and/or liabilities. It is currently anticipated that most material transfers will occur without delays beyond the Distribution Date, but we cannot offer any assurance that such transfers will ultimately occur or not be delayed for an extended period of time. To the extent such transfers do not occur prior to the Spin-Off, under the Separation and Distribution Agreement, the economic consequences of owning such assets and/or entities will, to the extent reasonably possible and permitted by applicable law, be provided to us. In the event such transfers do not occur or are significantly delayed because we do not receive the required approvals, we may not realize all of the anticipated benefits of our separation from GE and we may be dependent on GE for transition services for a longer period of time than would otherwise be the case.</w:t>
      </w:r>
    </w:p>
    <w:p>
      <w:pPr>
        <w:spacing w:after="0" w:line="292"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Transfer or assignment of some of the contracts and other assets in connection with the Spin-Off will require the consent of a third party to the transfer or assignment. Similarly, in some circumstances, we are joint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Spin-Off, we may not be able to obtain all required consents or enter into all such new agreements, as applicable, until after the Distribution Date.</w:t>
      </w:r>
    </w:p>
    <w:p>
      <w:pPr>
        <w:spacing w:after="0" w:line="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Spin-Off.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all such required third-party consents and new agreements will be procured or put in place, as applicable, prior to the Distribution Date. Consequently, we may not realize certain of the benefits that are intended to be allocated to us as part of the Spin-Off.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the Securities Market</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market for our common stock currently exists and an active trading market may not develop or be sustained after the Spin-Off. Following the Spin-Off, our stock price may fluctuate significantly, and there can be no assurance that the combined trading prices of our and GE’s common stock would exceed the trading price of GE common stock absent the Spin-Off.</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 is currently no public market for our common stock. In connection with the Spin-Off, our common stock has been approved for listing on the Exchange under the symbol “GEHC.” We anticipate that before the Distribution Date, trading of shares of our common stock will begin on a “when-issued” basis and this trading will continue through the Distribution Date. However, an active trading market for our common stock may not develop as a result of the Spin-Off or may not be sustained in the future. The lack of an active market may make it more difficult for stockholders to sell our shares and could lead to our share price being depressed or volatile.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cannot predict the prices at which our common stock may trade after the Spin-Off or whether the combined trading prices of a share of our common stock and a share of GE’s common stock will be less than, equal to, or greater than the trading price of a share of GE common stock prior to the Spin-Off. The market price of our common stock may fluctuate widely depending on many factors, some of which may be beyond our control.</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Furthermore, our business profile and market capitalization may not fit the investment objectives of some GE stockholders and, as a result, these GE stockholders may sell their shares of our common stock after the Spin-Off. See “—Substantial sales of our common stock may occur in connection with the Spin-Off, or in the future, including the disposition by GE of shares of our common stock that it may retain after the Spin-Off, either of which could cause our stock price to decline or be volatile.” Low trading volume for our stock, which may occur if an active trading market does not develop, among other reasons, would amplify the effect of the above factors on our stock price volatility. Should the market price of our shares drop significantly, stockholders may institute securities class action lawsuits against us. A lawsuit against us could cause us to incur substantial costs and could divert the time and attention of our management and other resources.</w:t>
      </w:r>
    </w:p>
    <w:p>
      <w:pPr>
        <w:spacing w:after="0" w:line="29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sales of our common stock may occur in connection with the Spin-Off, or in the future, including the disposition by GE of shares of our common stock that it may retain after the Spin-Off, either of which could cause our stock price to decline or be volatile.</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GE will own up to 19.9% of the economic interest and voting power of our outstanding common stock. We understand that GE currently intends to dispose of all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3" w:lineRule="auto"/>
        <w:rPr>
          <w:sz w:val="20"/>
          <w:szCs w:val="20"/>
          <w:color w:val="auto"/>
        </w:rPr>
      </w:pPr>
      <w:r>
        <w:rPr>
          <w:rFonts w:ascii="Times New Roman" w:cs="Times New Roman" w:eastAsia="Times New Roman" w:hAnsi="Times New Roman"/>
          <w:sz w:val="17"/>
          <w:szCs w:val="17"/>
          <w:color w:val="auto"/>
        </w:rPr>
        <w:t>that it retains after the Spin-Off, based on market and general economic conditions and sound business judgment, (A) through one or more subsequent exchanges of our common stock for GE debt held by one or more investment banks, (B) through distributions to GE stockholders either pro rata as dividends or in exchange for outstanding shares of GE common stock, or (C) in one or more public or private sale transactions (including potentially through secondary transactions). Prior to the Spin-Off, we will enter into a stockholder and registration rights agreement (the “Stockholder and Registration Rights Agreement”) under which we will agree, upon the request of GE, to use our reasonable best efforts to effect a registration under applicable federal and state securities laws of any shares of our common stock retained by GE to facilitate GE’s disposition of our common stock. See “Certain Relationships and Related Person Transactions—Agreements with GE—Stockholder and Registration Rights Agreement.”</w:t>
      </w:r>
    </w:p>
    <w:p>
      <w:pPr>
        <w:spacing w:after="0" w:line="17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Further, GE stockholders receiving shares of our common stock in the Spin-Off generally may sell those shares immediately in the public market. It is likely that some GE stockholders, including some of its larger stockholders, will sell their shares of our common stock received in the Spin-Off if, for reasons such as our business profile or market capitalization as an independent company, we do not fit their investment objectives or, in the case of index funds, we are not a participant in the index in which they are investing. The sales of significant amounts of our common stock or the perception in the market that such sales might occur may decrease the market price of our common stock.</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evaluate whether to pay cash dividends on shares of our common stock in the future, and the terms of our indebtedness may limit our ability to pay dividends on shares of our common stock.</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an independent, publicly traded company, we will be evaluating whether to pay cash dividends to our stockholders. The timing, declaration, amount, and payment of future dividends to stockholders, if any, will fall within the discretion of our Board. Our Board’s decisions regarding the payment of dividends will depend on consideration of many factors, such as our financial condition, earnings, sufficiency of distributable reserves, opportunities to retain future earnings for use in the operation of our business and to fund future growth, capital requirements, debt service obligations, legal requirements, regulatory constraints, and other factors that our Board deems relevant. For more information, See “Dividend Policy.”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can be no assurance that we will pay a dividend in the future or continue to pay any dividend if we do commence paying dividends.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common stock may be diluted due to equity issuances.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future, holders of our common stock may be diluted because of equity issuances for acquisitions, capital market transactions, or otherwise, including any equity awards that we will grant to our directors, officers, and employees. Our employees will have stock-based awards that correspond to shares of our common stock after the Spin-Off as a result of the conversion of and/or adjustments to their GE stock-based awards. Such awards will have a dilutive effect on our earnings per share, which could adversely affect the market price of our common stock. We also plan to issue additional stock-based awards, including annual awards, new hire awards, and periodic retention awards, as applicable, to our directors, officers, and other employees under our employee benefits plans as part of our ongoing equity compensation program.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rights associated with our common stock will differ from the rights associated with GE common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Spin-Off, the rights of GE stockholders who become our stockholders will be governed by our certificate of incorporation, bylaws, and Delaware law. The rights associated with GE shares are different from the rights associated with our shares. In addition, the rights of GE stockholders are governed by New York law, while the rights of our stockholders will be governed by Delaware law. Material differences between the rights of stockholders of GE and the rights of our stockholders include differences with respect to, among other things, anti-takeover measures. See “Description of Our Capital Stock—Certain Provisions of Delaware Law, Our Certificate of Incorporation, and Bylaws.”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our certificate of incorporation, bylaws, and Delaware law may discourage takeovers and limit the power of our stockholders.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Several provisions of our certificate of incorporation, bylaws, and Delaware law may discourage, delay, or prevent a merger or acquisition. These include, among others, provisions that (i) establish advance notice requirements for stockholder nominations and proposals; (ii) limit the ability of stockholders to call special meetings or act by written consent; (iii) provide the Board the right to issue shares of preferred stock without stockholder approval; and (iv) provide for the ability of our directors, and not stockholders, to fill vacancies on the Board (including those resulting from an enlargement of the Board). In addition, we are subject to Section 203 of the Delaware General Corporation Law (“DGCL”), which could have the effect of delaying or preventing a change of control that you may favor. See “Description of Our Capital Stock.”</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These and other provisions of our certificate of incorporation, bylaws, and Delaware law, as well as the restrictions in our Tax Matters Agreement (see “Certain Relationships and Related Person Transactions—Agreements with GE—Tax Matters Agreement”), may discourage, delay, or prevent certain types of transactions involving an actual or a threatened acquisition or change in control of GE HealthCare,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 See “Description of Our Capital Stock.”</w:t>
      </w:r>
    </w:p>
    <w:p>
      <w:pPr>
        <w:spacing w:after="0" w:line="29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will provide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will state that the foregoing provision will not apply to claims arising under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jurisdiction for state and federal courts over all suits brought to enforce any duty or liability created by the Securities Act or the rules and regulations thereunder.</w:t>
      </w:r>
    </w:p>
    <w:p>
      <w:pPr>
        <w:spacing w:after="0" w:line="19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certificate of incorporation described above. The choice of forum provision may result in increased costs for investors to bring a claim. Further,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certificate of incorporation to be inapplicable or unenforceable in an action, we may incur additional costs associated with resolving such action in other jurisdictions.</w:t>
      </w:r>
    </w:p>
    <w:p>
      <w:pPr>
        <w:spacing w:after="0" w:line="1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40"/>
          </w:cols>
          <w:pgMar w:left="320" w:top="455" w:right="8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that involve risks and uncertainties. Forward-looking statements are based on our current assumptions regarding future business and financial performance. These statements by their nature address matters that are uncertain to different degrees. Forward-looking statements provide current expectations of future events based on certain assumptions and include any statement that does not directly relate to any historical or current fact. Words such as “anticipates,” “believes,” “expects,” “estimates,” “intends,” “plans,” “projects,” and similar expressions, may identify such forward-looking statements. Any forward-looking statement in this prospectus speaks only as of the date on which it is made. Although we believe that the forward-looking statements contained in this prospectus are based on reasonable assumptions, you should be aware that many factors could affect our actual financial results, cash flows, or results of operations and could cause actual results to differ materially from those in such forward-looking statements, including but not limited to:</w:t>
      </w:r>
    </w:p>
    <w:p>
      <w:pPr>
        <w:spacing w:after="0" w:line="9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outcomes, and growth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dealings involving third-party partners in various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from acquisitions, collaborations, and dispositions;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components or raw materials supplied by third parties and other manufacturing and related supply chain difficulties, interruptions, and delays;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operations of our manufacturing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increasing legal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global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protect our intellectual property or allegations that we have infringed the intellectual property of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focus on and investment in cloud, edge, artificial intelligence, and software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sanctions resulting from our failure to comply with the FCPA and similar anti-corruption and anti-bribery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anti-kickback and false claims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third-party collaboration arrangements, licensing arrangements, joint ventures, or strategic alliances;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commercial and credit environment on our access to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interest rate and currency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GE’s failure to complete the Spin-Off as planned or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manage the transition to a stand-alone public company;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discussed elsewhere in this prospectus.</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These and other factors are more fully discussed in the “Risk Factors” and “Management’s Discussion and Analysis of Financial Condition and Results of Operations” sections and elsewhere in this prospectus. Those cautionary statements are not exclusive and are in addition to other factors discussed elsewhere in this prospectus. Except as required by law, we assume no obligation to update or revise any forward-looking statements.</w:t>
      </w:r>
    </w:p>
    <w:p>
      <w:pPr>
        <w:spacing w:after="0" w:line="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80"/>
          </w:cols>
          <w:pgMar w:left="320" w:top="455" w:right="6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9, 2021, GE announced its plans to form three industry-leading, global investment-grade public companies: (i) GE Aerospace,</w:t>
      </w:r>
    </w:p>
    <w:p>
      <w:pPr>
        <w:spacing w:after="0" w:line="27" w:lineRule="exact"/>
        <w:rPr>
          <w:sz w:val="20"/>
          <w:szCs w:val="20"/>
          <w:color w:val="auto"/>
        </w:rPr>
      </w:pPr>
    </w:p>
    <w:p>
      <w:pPr>
        <w:ind w:left="120" w:right="20" w:hanging="4"/>
        <w:spacing w:after="0" w:line="253" w:lineRule="auto"/>
        <w:tabs>
          <w:tab w:leader="none" w:pos="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and (iii) GE Vernova. To effect the separation of GE HealthCare, GE is undertaking the Reorganization Transactions and, following the Reorganization Transactions, will distribute at least 80.1% of the outstanding shares of our common stock to holders of GE’s common stock on a pro rata basis. GE will retain up to 19.9% of our outstanding shares of common stock following the Spin-Off. Prior to completing the Spin-Off, GE may adjust the percentage of our common stock to be distributed to GE stockholders and retained by GE in response to market and other factors, and we will amend this prospectus to reflect any such adjustment.</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November 30, 2022, the GE Board approved the distribution of at least 80.1% of the issued and outstanding shares of our common stock, on the basis of one share of our common stock for every three shares of GE common stock held as of the close of business on the record date of December 16, 2022.</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January 3, 2023, the Distribution Date, each GE stockholder will receive one share of our common stock for every three shares of GE common stock held at close of business on the record date. Following the Spin-Off, we will operate independently from GE. No approval of GE’s stockholders is required in connection with the Spin-Off, and GE’s stockholders will not have any appraisal rights in connection with the Spin-Off.</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Completion of the Spin-Off is subject to the satisfaction, or the GE Board’s waiver, to the extent permitted by law, of a number of conditions. In addition, GE may at any time until the Spin-Off decide to abandon the Spin-Off or modify or change the terms of the Spin-Off. For a more detailed discussion, see “—Conditions to the Spin-Off.”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Spin-Off</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2021, the GE Board authorized a review of GE’s business portfolio and capital allocation options, with the goal of enhancing stockholder value. Due to differences in operational and strategic focus between GE’s different businesses and because the healthcare industry is a highly complex and global market that would benefit from the focus and investment by an independent company, GE considered a variety of alternatives for separating the Healthcare business from GE. As part of its review process, GE evaluated a range of potential structural alternatives in addition to the Spin-Off, including potential opportunities for sales and other separation transactions. In this process, GE also evaluated potential options for maintaining its existing businesses and structure.</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part of this evaluation, the GE Board considered a number of factors, including strategic clarity and flexibility for GE and GE HealthCare after the Spin-Off, the ability of the GE Healthcare business to compete and operate efficiently in the global healthcare market (including the ability to retain and attract management talent), the financial profile of GE HealthCare, GE HealthCare’s ability to optimize merger, acquisition, and other capital allocation strategies for its focus areas, the expected tax impact of each structural alternative, and the potential reaction of investors. After evaluating these and other considerations, the GE Board concluded that the other alternatives considered did not present the same advantages as the Spin-Off, that the separation of the GE Healthcare business from the remainder of GE as a stand-alone, public company is the most attractive alternative for enhancing long-term stockholder value and that proceeding with the Spin-Off would be in the best interests of GE and its stockholders.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particular, the GE Board considered the following potential benefits in making the determination to consummate the Spin-Off:</w:t>
      </w:r>
    </w:p>
    <w:p>
      <w:pPr>
        <w:spacing w:after="0" w:line="127" w:lineRule="exact"/>
        <w:rPr>
          <w:sz w:val="20"/>
          <w:szCs w:val="20"/>
          <w:color w:val="auto"/>
        </w:rPr>
      </w:pPr>
    </w:p>
    <w:p>
      <w:pPr>
        <w:ind w:left="1080" w:hanging="424"/>
        <w:spacing w:after="0" w:line="28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Enhanced Strategic and Operational Focus</w:t>
      </w:r>
      <w:r>
        <w:rPr>
          <w:rFonts w:ascii="Times New Roman" w:cs="Times New Roman" w:eastAsia="Times New Roman" w:hAnsi="Times New Roman"/>
          <w:sz w:val="18"/>
          <w:szCs w:val="18"/>
          <w:color w:val="auto"/>
        </w:rPr>
        <w:t>: The Spin-Off will permit both us and GE, and their respective management teams and boards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to more effectively focus on pursuing distinct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operating strategies and to leverage their deep domain expertise. As a result, we will have greater agility to deliver market-leading innovation across our products, services, and solutions. This will enable each company to better serve and adapt faster to clients’ changing needs. Additionally, after our separation from GE, GE intends to complete the separate spin-off of GE Vernova and to focus on GE Aerospace.</w:t>
      </w:r>
    </w:p>
    <w:p>
      <w:pPr>
        <w:spacing w:after="0" w:line="81" w:lineRule="exact"/>
        <w:rPr>
          <w:sz w:val="20"/>
          <w:szCs w:val="20"/>
          <w:color w:val="auto"/>
        </w:rPr>
      </w:pPr>
    </w:p>
    <w:p>
      <w:pPr>
        <w:ind w:left="1080" w:right="300" w:hanging="424"/>
        <w:spacing w:after="0" w:line="26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Financial Profile to Support Growth</w:t>
      </w:r>
      <w:r>
        <w:rPr>
          <w:rFonts w:ascii="Times New Roman" w:cs="Times New Roman" w:eastAsia="Times New Roman" w:hAnsi="Times New Roman"/>
          <w:sz w:val="18"/>
          <w:szCs w:val="18"/>
          <w:color w:val="auto"/>
        </w:rPr>
        <w:t>: The Spin-Off will enable each business to maintain investment-grade credit ratings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strong financial characteristics and to independently drive growth and investment to better address specific market dynamics and target innovation.</w:t>
      </w:r>
    </w:p>
    <w:p>
      <w:pPr>
        <w:spacing w:after="0" w:line="76"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More Flexible and Efficient Allocation of Capital</w:t>
      </w:r>
      <w:r>
        <w:rPr>
          <w:rFonts w:ascii="Times New Roman" w:cs="Times New Roman" w:eastAsia="Times New Roman" w:hAnsi="Times New Roman"/>
          <w:sz w:val="18"/>
          <w:szCs w:val="18"/>
          <w:color w:val="auto"/>
        </w:rPr>
        <w:t>: The Spin-Off is expected to allow each company to use its securities to pursue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strategic objectives including evaluating and effectuating acquisitions and other growth opportunities.</w:t>
      </w:r>
    </w:p>
    <w:p>
      <w:pPr>
        <w:spacing w:after="0" w:line="60" w:lineRule="exact"/>
        <w:rPr>
          <w:rFonts w:ascii="Times New Roman" w:cs="Times New Roman" w:eastAsia="Times New Roman" w:hAnsi="Times New Roman"/>
          <w:sz w:val="18"/>
          <w:szCs w:val="18"/>
          <w:color w:val="auto"/>
        </w:rPr>
      </w:pPr>
    </w:p>
    <w:p>
      <w:pPr>
        <w:ind w:left="1080" w:right="180" w:hanging="424"/>
        <w:spacing w:after="0" w:line="26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Alignment of Incentives with Performance</w:t>
      </w:r>
      <w:r>
        <w:rPr>
          <w:rFonts w:ascii="Times New Roman" w:cs="Times New Roman" w:eastAsia="Times New Roman" w:hAnsi="Times New Roman"/>
          <w:sz w:val="18"/>
          <w:szCs w:val="18"/>
          <w:color w:val="auto"/>
        </w:rPr>
        <w:t>: The Spin-Off will enable each company to create incentives for its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that align more closely with business performance and the interests of their respective stockholders, which is also expected to help each company attract, retain, and motivate highly qualified personnel.</w:t>
      </w:r>
    </w:p>
    <w:p>
      <w:pPr>
        <w:spacing w:after="0" w:line="76" w:lineRule="exact"/>
        <w:rPr>
          <w:rFonts w:ascii="Times New Roman" w:cs="Times New Roman" w:eastAsia="Times New Roman" w:hAnsi="Times New Roman"/>
          <w:sz w:val="18"/>
          <w:szCs w:val="18"/>
          <w:color w:val="auto"/>
        </w:rPr>
      </w:pPr>
    </w:p>
    <w:p>
      <w:pPr>
        <w:ind w:left="1080" w:right="700" w:hanging="424"/>
        <w:spacing w:after="0" w:line="28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Broadening of Investor Base</w:t>
      </w:r>
      <w:r>
        <w:rPr>
          <w:rFonts w:ascii="Times New Roman" w:cs="Times New Roman" w:eastAsia="Times New Roman" w:hAnsi="Times New Roman"/>
          <w:sz w:val="18"/>
          <w:szCs w:val="18"/>
          <w:color w:val="auto"/>
        </w:rPr>
        <w:t>: The Spin-Off allows each company to articulate a clear investment proposition and tailored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 policy to attract a long-term investor base best suited to its business needs.</w:t>
      </w:r>
    </w:p>
    <w:p>
      <w:pPr>
        <w:spacing w:after="0" w:line="15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determining whether to effect the Spin-Off, the GE Board considered the costs and risks associated with the transaction, including the costs associated with preparing GE HealthCare to become an independent, publicly traded company, the risk of volatility in our stock price immediately following the Spin-Off due to sales by GE stockholders whose investment objectives may no longer be met by shares of our common stock, the time it may take for us to attract our optimal stockholder base, the possibility of disruptions in our business as a result of the Spin-Off, the risk that the combined trading prices of shares of our common stock and the shares of common stock of GE after the Spin-Off may drop below the trading price of shares of common stock of GE before the Spin-Off, and the loss of synergies and scale, including the improved capital allocation from operation as one company. Notwithstanding these costs and risks, taking into account the factors discussed above, GE determined that the Spin-Off provided the best opportunity to achieve the above benefits and enhance long-term stockholder value. Please refer to the “Risk Factors—Risks Relating to the Spin-Off” elsewhere in this prospectus for additional considerations.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GE’s Retention of Shares of Our Common Stock</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GE’s plan to transfer less than all of our common stock to its stockholders in the Spin-Off is motivated by its desire to establish, in an efficient and non-taxable, cost-effective manner, an appropriate capital structure for each of us and GE, including by reducing, directly or indirectly, GE’s indebtedness following the Spin-Off. We understand that GE currently intends to dispose of all of our common stock that it retains after the Spin-Off, based on market and general economic conditions and sound business judgment, (A) through one or more subsequent exchanges of our common stock for GE debt held by one or more investment banks, (B) through distributions to GE stockholders either pro rata as dividends or in exchange for outstanding shares of GE common stock, or (C) in one or more public or private sale transactions (including potentially through secondary transactions).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Incurrence of Debt</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Spin-Off, we will incur indebtedness in an aggregate principal amount of $10.25 billion, consisting of $2.0 billion of Term Loan Facility, which will be drawn prior to or concurrently with the Spin-Off, and $8.25 billion of senior notes issued on November 22, 2022. We issued $4.0 billion of such indebtedness directly to GE, as partial consideration for certain assets that will be contributed to us in connection with the Spin-Off, and GE exchanged such indebtedness for an equivalent principal amount of GE’s indebtedness. In addition, we have made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cash distribution of $4.2 billion from the balance of debt proceeds to GE and expect to make one or more additional cash distributions to GE prior to or concurrently with the Spin-Off, with the remaining proceeds to be held by the Company in cash and cash equivalents. We expect that GE will use the proceeds of such indebtedness to pay off GE obligations. After giving effect to such distributions, we expect to begin operations as an independent company with a cash balance of approximately $1.8 billion. We also entered into a 5-Year Revolving Credit Facility of $2.5 billion and a 364-Day Revolving Credit Facility of $1.0 billion, however, the facilities are not expected to be utilized at the completion of the Spin-Off. GE HealthCare’s capital structure remains under review and will be finalized prior to the Spin-Off. See “Capitalization,” “Unaudited Pro Forma Condensed Combined Financial Statements,” and “Management’s Discussion and Analysis of Financial Condition and Results of Operations—Liquidity and Capital Resources.”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Equity Awards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GE equity awards outstanding as of the Distribution Date that are expected to be converted, in whole or in part, into GE HealthCare equity awards, are described below.</w:t>
      </w:r>
    </w:p>
    <w:p>
      <w:pPr>
        <w:spacing w:after="0" w:line="266"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 Option and Restricted Stock Unit Awards Held by GE HealthCare Employees and Restricted Stock Unit Awards Held by GE Corporate Employees and GE Former Employees</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the Distribution Date, each outstanding GE stock option and restricted stock unit award (including any performance stock unit award) that is held immediately prior to the Spin-Off by an employee of GE HealthCare or one of its subsidiaries will be converted into a respective stock option or restricted stock unit award denominated in shares of our common stock.</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as of the Distribution Date, a portion of each outstanding GE restricted stock unit award (including any performance stock unit award) held immediately prior to the Spin-Off by a corporate employee or former employee of GE or one of its subsidiaries who, in either case, is not subject to China State Administration of Foreign Exchange requirements or a resident of Vietnam will be converted into a respective restricted stock unit award denominated in shares of our common stock, which shares are being offered by this prospectus.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of our converted awards will generally be subject to the same terms, vesting conditions and other restrictions that applied to the original GE award immediately before the Spin-Off, except that performance-vesting conditions, as applicable, will be adjusted to reflect the Spin-Off.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Deferred Stock Units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Distribution Date, a portion of each outstanding GE deferred stock unit held by a current or former director of GE will be converted into a deferred stock unit relating to shares of our common stock. GE will retain the liability for our deferred stock units held by each current and former director of GE. Our deferred stock units will generally be subject to the same terms, payment timing rules and other restrictions that applied to the original GE deferred stock units immediately before the Spin-Off.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the Spin-Off</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After the Spin-Off, we will be an independent, publicly traded company. Immediately following the Spin-Off, we expect to have approximately 454,710,004 shares of our common stock outstanding, based on the number of GE shares of common stock outstanding on September 30, 2022 and the number of shares to be retained by GE as described above. The actual number of shares of our common stock GE will distribute in the Spin-Off will depend on the actual number of shares of GE common stock outstanding on the Record Date, which will reflect any issuance of new shares, vesting of equity awards, or exercises of outstanding options pursuant to GE’s equity plans, and any repurchase of GE shares by GE under its common stock repurchase program, on or prior to the Record Date. Shares of GE common stock held by GE as treasury shares will not be considered outstanding for purposes of, and will not be entitled to participate in, the Spin-Off. The Spin-Off will not affect the number of outstanding shares of GE common stock or any rights of GE stockholders. However,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following the Spin-Off, the equity value of GE will no longer reflect the value of the GE Healthcare business (except to the extent of the shares of our common stock retained by GE as described above). Although GE believes that our separation from GE offers its stockholders the greatest long-term value, there can be no assurance that the combined trading prices of the GE common stock and our common stock will equal or exceed what the trading price of GE common stock would have been in absence of the Spin-Off.</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November 7, 2022, we entered into the Separation and Distribution Agreement with GE and, before our separation from GE, we intend to enter into several other agreements with GE related to the Spin-Off. These agreements will govern the relationship between us and GE up to and after completion of the Spin-Off and allocate between us and GE various assets, liabilities, rights and obligations, including employee benefits, environmental, intellectual property, and tax-related assets and liabilities. We describe these arrangements in greater detail under “Certain Relationships And Related Person Transactions—Agreements with 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and Trading of Our Common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we are a wholly owned subsidiary of GE. Accordingly, no public market for our common stock currently exists, although a “when-issued” market in our common stock may develop prior to the Spin-Off. We have applied to list our shares of common stock on the Exchange under the ticker symbol “GEHC.” Following the Spin-Off, GE common stock will continue to trade on the New York Stock Exchange under the ticker symbol “GE.”</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Although GE believes that our separation from GE offers its stockholders the greatest long-term value, neither we nor GE can assure you as to the trading price of GE common stock or our common stock after the Spin-Off, or as to whether the combined trading prices of our common stock and the GE common stock after the Spin-Off will equal or exceed the trading prices of GE common stock prior to the Spin-Off. The trading price of our common stock may fluctuate significantly following the Spin-Off.</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our common stock distributed to GE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federal securities law purposes. These individuals may include some or all of our directors and executive officers. Individuals who are our affiliates will be permitted to sell their shares of our common stock only pursuant to an effective registration statement under the Securities Act of 1933, or the “Securities Act,” or an exemption from the registration requirements of the Securities Act, such as those afforded by Section 4(a)(1) of the Securities Act or Rule 144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Spin-Off</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Spin-Off will be effective on the Distribution Date, provided that the following conditions shall have been satisfied or waived by GE:</w:t>
      </w:r>
    </w:p>
    <w:p>
      <w:pPr>
        <w:spacing w:after="0" w:line="67" w:lineRule="exact"/>
        <w:rPr>
          <w:sz w:val="20"/>
          <w:szCs w:val="20"/>
          <w:color w:val="auto"/>
        </w:rPr>
      </w:pPr>
    </w:p>
    <w:p>
      <w:pPr>
        <w:ind w:left="1080" w:right="2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 Board shall have approved the Spin-Off and not withdrawn such approval, and shall have declared the dividend of our common stock to GE stockholders;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and Distribution Agreement, as well as the ancillary agreements contemplated by the Separation and Distribution Agreement, shall have been executed by each party to those agreements;</w:t>
      </w:r>
    </w:p>
    <w:p>
      <w:pPr>
        <w:spacing w:after="0" w:line="67"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have declared effective our Registration Statement on Form 10 under the Exchange Act, and no stop order suspending the effectiveness of the Registration Statement on Form 10 shall be in effect and no proceedings for that purpose shall be pending before or threatened by the SEC;</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shall have been accepted for listing on a national securities exchange approved by GE, subject to official notice of issuance;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6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shall have incurred indebtedness in an aggregate principal amount of $10.25 billion, consisting of senior notes and term loans, of which we expect to make a distribution from the balance of debt issuance proceeds to GE concurrently with the Spin-Off, with the remaining proceeds to be held in cash and cash equivalents;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shall have received the written opinion of Paul, Weiss, Rifkind, Wharton &amp; Garrison LLP, which shall remain in full force and effect, regarding the intended tax treatment of the Spin-Off under the Code;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shall have received the written opinion of Ernst &amp; Young, LLP, which shall remain in full force and effect, regarding the intended tax treatment of the Spin-Off under the Code;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shall have been completed (other than those steps that are expressly contemplated to occur at or after the Spin-Off);</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issued by any governmental authority of competent jurisdiction or other legal restraint or prohibition preventing consummation of the Spin-Off shall be in effect, and no other event outside the control of GE shall have occurred or failed to occur that prevents the consummation of the Spin-Off;</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events or developments shall have occurred prior to the Spin-Off that, in the judgment of the GE Board, would result in the Spin-Off having a material adverse effect on GE or its stockholders;</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Notice of Internet Availability of the Information Statement included as an exhibit to our Registration Statement on Form 10 or such Information Statement shall have been mailed to the holders of GE common stock as of the Record Date;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set forth in the Separation and Distribution Agreement.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of the above conditions may be waived by the GE Board to the extent such waiver is permitted by law. If GE waives a condition or changes the terms of the Spin-Off and such waiver or change is material to GE stockholders, we would communicate such waiver or change to GE’s stockholders by filing a Form 8-K describing the waiver or change.</w:t>
      </w:r>
    </w:p>
    <w:p>
      <w:pPr>
        <w:spacing w:after="0" w:line="176"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The fulfillment of the above conditions will not create any obligation on GE’s part to complete the Spin-Off. We are not aware of any material federal, foreign, or state regulatory requirements with which we must comply, other than SEC rules and regulations, or any material approvals that we must obtain, other than the approval for listing of our common stock and the SEC’s declaration of the effectiveness of the Registration Statement, in connection with the Spin-Off. GE may at any time until the Spin-Off decide to abandon the Spin-Off or modify or change the terms of the Spin-Off.</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 will not receive any proceeds from the shares of our common stock offered under the GE HealthCare Mirror LTIPs.</w:t>
      </w:r>
    </w:p>
    <w:p>
      <w:pPr>
        <w:spacing w:after="0" w:line="1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139"/>
          </w:cols>
          <w:pgMar w:left="320" w:top="455"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an independent, publicly traded company, we will be evaluating whether to pay cash dividends to our stockholders. The timing, declaration, amount, and payment of future dividends to stockholders, if any, will fall within the discretion of our Board. Among the items we will consider when establishing a dividend policy will be the capital needs of GE HealthCare and opportunities to retain future earnings for use in the operation of our business and to fund future growth. There can be no assurance that we will pay a dividend in the future or continue to pay any dividend if we do commence the payment of dividends.</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860"/>
          </w:cols>
          <w:pgMar w:left="320" w:top="455" w:right="7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September 30, 2022, on a historical basis and on an as adjusted basis to give effect to the Spin-Off and the transactions related to the Spin-Off, as if they occurred on September 30, 2022. You should review the following table in conjunction with “Management’s Discussion and Analysis of Financial Condition and Results of Operations,” our unaudited condensed combined financial statements and the notes thereto, and our unaudited pro forma condensed combined financial statements and the notes thereto included elsewhere in this prospectus.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in millions</w:t>
            </w:r>
            <w:r>
              <w:rPr>
                <w:rFonts w:ascii="Times New Roman" w:cs="Times New Roman" w:eastAsia="Times New Roman" w:hAnsi="Times New Roman"/>
                <w:sz w:val="14"/>
                <w:szCs w:val="14"/>
                <w:b w:val="1"/>
                <w:bCs w:val="1"/>
                <w:i w:val="1"/>
                <w:iCs w:val="1"/>
                <w:color w:val="auto"/>
              </w:rPr>
              <w:t>)</w:t>
            </w:r>
          </w:p>
        </w:tc>
        <w:tc>
          <w:tcPr>
            <w:tcW w:w="120" w:type="dxa"/>
            <w:vAlign w:val="bottom"/>
          </w:tcPr>
          <w:p>
            <w:pPr>
              <w:spacing w:after="0"/>
              <w:rPr>
                <w:sz w:val="15"/>
                <w:szCs w:val="15"/>
                <w:color w:val="auto"/>
              </w:rPr>
            </w:pPr>
          </w:p>
        </w:tc>
        <w:tc>
          <w:tcPr>
            <w:tcW w:w="19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12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7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cash equivalents, and restricted cash</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Total debt</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Redeemable noncontrolling interests</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324"/>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18,801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198"/>
        </w:trPr>
        <w:tc>
          <w:tcPr>
            <w:tcW w:w="6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 net</w:t>
            </w:r>
          </w:p>
        </w:tc>
        <w:tc>
          <w:tcPr>
            <w:tcW w:w="1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17,100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line="25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we will incur indebtedness in an aggregate principal amount of $10.25 billion, consisting of $2.0 billion of Term Loan Facility, which will be drawn prior to or concurrently with the Spin-Off, and $8.25 billion of senior notes issued on November 22, 2022. During the fourth quarter of 2022, we issued $4.0 billion of such indebtedness directly to GE, as partial consideration for certain assets that will be contributed to us in connection with the Spin-Off, and GE exchanged such indebtedness for an equivalent principal amount of GE’s indebtedness. In addition, we have made a cash distribution of $4.2 billion from the balance of debt proceeds to GE and expect to make one or more additional cash distributions to GE prior to or concurrently with the Spin-Off, with the remaining proceeds to be held by the Company in cash and cash equivalents. We expect that GE will use the proceeds of such indebtedness to pay off GE obligations. After giving effect to such distributions, we expect to begin operations as an independent company with a cash balance of approximately $1.8 billion. We also entered into a 5-Year Revolving Credit Facility of $2.5 billion and a 364-Day Revolving Credit Facility of $1.0 billion, however, the facilities are not expected to be utilized at the completion of the Spin-Off. GE HealthCare’s capital structure remains under review and will be finalized prior to the Spin-Off. See “Unaudited Pro Forma Condensed Combined Financial Statements,” and “Management’s Discussion and Analysis of Financial Condition and Results of Operations—Liquidity and Capital Resources.”</w:t>
      </w:r>
    </w:p>
    <w:p>
      <w:pPr>
        <w:spacing w:after="0" w:line="2"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to Redeemable noncontrolling interests of $167 million as of September 30, 2022 to record certain redeemable noncontrolling interest at current redemption value due to redemption provisions that are triggered upon a change of control, which is assumed to be probable at the time of Spin-Off. See “Unaudited Pro Forma Condensed Combined Financial Statements.”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consist of the unaudited pro forma condensed combined statement of financial position as of September 30, 2022 and the unaudited pro forma condensed combined statements of income for the nine months ended September 30, 2022 and the year ended December 31, 2021.</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reflect adjustments to our historical unaudited condensed combined statement of financial position as of September 30, 2022, our historical unaudited condensed combined statement of income for the nine months ended September 30, 2022, and our historical audited combined statement of income for the year ended December 31, 2021.</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gives effect to the Spin-Off and related transactions, described below, as if they occurred as of September 30, 2022, our latest statement of financial position date. The unaudited pro forma condensed combined statements of income give effect to the Spin-Off and related transactions as if they had occurred on January 1, 2021, the beginning of our most recently completed fiscal year.</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to reflect transaction accounting and autonomous entity adjustments to present the financial condition and results of operations as if we were a separate stand-alone entity. In addition, we have provided a presentation of management adjustments that management believes are necessary to enhance an understanding of the pro forma effects of the transaction. The unaudited pro forma condensed combined financial statements have been adjusted to give effect to the following (collectively, the “Pro Forma Transactions”):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assets and liabilities that comprise our business by GE pursuant to the Separation and Distribution Agreement;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transfer to us, prior to or concurrent with the Spin-Off of various GE assets and liabilities not included in our historical condensed combined statements of financial position (including the transfer of certain pension and employee benefit obligations, net of any related assets, associated with our active, retired, and other former employees from GE);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post-Spin-Off capital structure, including; (i) the issuance of 454,710,004 shares of common stock, where at least 80.1% of the outstanding shares will be distributed to holders of GE common stock in connection with the Spin-Off and GE will retain up to 19.9% and (ii) the issuance of $10.25 billion of debt securities at an estimated weighted-average interest rate of 5.5%, additional details on debt issuance can be found in note (a);</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Tax Matters Agreement to be entered into with GE in connection with the Spin-Off;</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Services Agreement and other commercial agreements to be entered into with GE in connection with the Spin-Off (see “Certain Relationships and Related Person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incremental income and costs expected to be incurred as an autonomous entity and specifically related to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described in the notes to the unaudited pro forma condensed combined financial statements;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adjustments which consist of reasonably estimated transaction effects expected to occur.</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Regulation S-X. In May 2020, the SEC adopted Release No. 33-10786 “Amendments to Financial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Disclosures about Acquired and Disposed Businesses” (the “Final Rule”). The Final Rule became effective on January 1, 2021 and the unaudited pro forma condensed combined financial statements herein are presented in accordance therewith. The unaudited pro forma condensed combined financial statements are presented for informational purposes only and do not purport to represent what our financial position and results of operations actually would have been had the Pro Forma Transactions occurred on the dates indicated, or to project our financial performance for any future period. The unaudited pro forma condensed combined financial statements are based on information and assumptions, which are described in the accompanying notes.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historical combined financial statements, which were the basis for the unaudited pro forma condensed combined financial statements, were prepared on a carve-out basis as we did not operate as a stand-alone entity for the periods presented. Accordingly, such financial information reflects an allocation of certain corporate costs, such as finance, supply chain, human resources, information technology, insurance, employee benefits, and other expenses that are either specifically identifiable or clearly applicable to GE HealthCare. See Note 1, “Description of the Business and Basis of Presentation”, Note 17, “Related Parties” to the audited combined financial statements, and Note 16, “Related Parties” to the unaudited condensed combined financial statements included elsewhere in this prospectus for further information on the allocation of corporate costs.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to include transaction accounting (including the impact of changes to our legal entity structure in anticipation of the Spin-Off), autonomous entity and management adjustments to reflect the financial condition and results of operations as if we were a stand-alone entity. Transaction adjustments have been presented to show the impact and associated cost as a result of the legal separation from GE, including the incurrence of indebtedness, transfer of additional pension and employee benefit assets and liabilities, and the Tax Matters Agreement. Autonomous entity adjustments have been presented to show the impact of items such as the Transition Services Agreement, lease arrangements with third parties and GE, and incremental costs expected to be incurred as an autonomous entity. In addition, we have provided a presentation of management adjustments that management believes are necessary to enhance an understanding of the pro forma effects of the transaction. Actual future costs incurred may differ from these estimates.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shown below should be read in conjunction with the sections herein entitled “Capitalization,” “Management’s Discussion and Analysis of Financial Condition and Results of Operations,” and “Certain Relationships and Related Person Transactions” as well as the audited combined financial statements, unaudited condensed combined financial statements and the corresponding notes included elsewhere in this prospectus. For factors that could cause actual results to differ materially from those presented in the unaudited pro forma condensed combined financial statements, see “Cautionary Statement Concerning Forward-Looking Statements” and “Risk Factors” included elsewhere in this prospectus.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40"/>
          </w:cols>
          <w:pgMar w:left="320" w:top="455" w:right="5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in millions except share and per share amounts</w:t>
            </w:r>
            <w:r>
              <w:rPr>
                <w:rFonts w:ascii="Times New Roman" w:cs="Times New Roman" w:eastAsia="Times New Roman" w:hAnsi="Times New Roman"/>
                <w:sz w:val="14"/>
                <w:szCs w:val="14"/>
                <w:b w:val="1"/>
                <w:bCs w:val="1"/>
                <w:i w:val="1"/>
                <w:iCs w:val="1"/>
                <w:color w:val="auto"/>
              </w:rPr>
              <w:t>)</w:t>
            </w:r>
          </w:p>
        </w:tc>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5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5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480" w:type="dxa"/>
            <w:vAlign w:val="bottom"/>
            <w:vMerge w:val="continue"/>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13,403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13,403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5,247</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line="216" w:lineRule="exact"/>
              <w:rPr>
                <w:sz w:val="20"/>
                <w:szCs w:val="20"/>
                <w:color w:val="auto"/>
              </w:rPr>
            </w:pPr>
            <w:r>
              <w:rPr>
                <w:rFonts w:ascii="Times New Roman" w:cs="Times New Roman" w:eastAsia="Times New Roman" w:hAnsi="Times New Roman"/>
                <w:sz w:val="25"/>
                <w:szCs w:val="25"/>
                <w:color w:val="auto"/>
                <w:vertAlign w:val="subscript"/>
              </w:rPr>
              <w:t>20</w:t>
            </w:r>
            <w:r>
              <w:rPr>
                <w:rFonts w:ascii="Times New Roman" w:cs="Times New Roman" w:eastAsia="Times New Roman" w:hAnsi="Times New Roman"/>
                <w:sz w:val="11"/>
                <w:szCs w:val="11"/>
                <w:color w:val="auto"/>
              </w:rPr>
              <w:t>(g)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80"/>
              <w:spacing w:after="0" w:line="216" w:lineRule="exact"/>
              <w:rPr>
                <w:sz w:val="20"/>
                <w:szCs w:val="20"/>
                <w:color w:val="auto"/>
              </w:rPr>
            </w:pPr>
            <w:r>
              <w:rPr>
                <w:rFonts w:ascii="Times New Roman" w:cs="Times New Roman" w:eastAsia="Times New Roman" w:hAnsi="Times New Roman"/>
                <w:sz w:val="25"/>
                <w:szCs w:val="25"/>
                <w:color w:val="auto"/>
                <w:vertAlign w:val="subscript"/>
              </w:rPr>
              <w:t>28</w:t>
            </w:r>
            <w:r>
              <w:rPr>
                <w:rFonts w:ascii="Times New Roman" w:cs="Times New Roman" w:eastAsia="Times New Roman" w:hAnsi="Times New Roman"/>
                <w:sz w:val="11"/>
                <w:szCs w:val="11"/>
                <w:color w:val="auto"/>
              </w:rPr>
              <w:t>(o),(q)</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3,550</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60"/>
              <w:spacing w:after="0" w:line="216" w:lineRule="exact"/>
              <w:rPr>
                <w:sz w:val="20"/>
                <w:szCs w:val="20"/>
                <w:color w:val="auto"/>
              </w:rPr>
            </w:pPr>
            <w:r>
              <w:rPr>
                <w:rFonts w:ascii="Times New Roman" w:cs="Times New Roman" w:eastAsia="Times New Roman" w:hAnsi="Times New Roman"/>
                <w:sz w:val="17"/>
                <w:szCs w:val="17"/>
                <w:color w:val="auto"/>
              </w:rPr>
              <w:t>431</w:t>
            </w:r>
            <w:r>
              <w:rPr>
                <w:rFonts w:ascii="Times New Roman" w:cs="Times New Roman" w:eastAsia="Times New Roman" w:hAnsi="Times New Roman"/>
                <w:sz w:val="25"/>
                <w:szCs w:val="25"/>
                <w:color w:val="auto"/>
                <w:vertAlign w:val="superscript"/>
              </w:rPr>
              <w:t>(h)</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benefit (income) costs</w:t>
            </w:r>
          </w:p>
        </w:tc>
        <w:tc>
          <w:tcPr>
            <w:tcW w:w="10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24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7"/>
                <w:szCs w:val="17"/>
                <w:color w:val="auto"/>
                <w:w w:val="97"/>
              </w:rPr>
              <w:t>(57)</w:t>
            </w:r>
            <w:r>
              <w:rPr>
                <w:rFonts w:ascii="Times New Roman" w:cs="Times New Roman" w:eastAsia="Times New Roman" w:hAnsi="Times New Roman"/>
                <w:sz w:val="25"/>
                <w:szCs w:val="25"/>
                <w:color w:val="auto"/>
                <w:w w:val="97"/>
                <w:vertAlign w:val="superscript"/>
              </w:rPr>
              <w:t>(f)</w:t>
            </w:r>
          </w:p>
        </w:tc>
        <w:tc>
          <w:tcPr>
            <w:tcW w:w="14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line="216" w:lineRule="exact"/>
              <w:rPr>
                <w:sz w:val="20"/>
                <w:szCs w:val="20"/>
                <w:color w:val="auto"/>
              </w:rPr>
            </w:pPr>
            <w:r>
              <w:rPr>
                <w:rFonts w:ascii="Times New Roman" w:cs="Times New Roman" w:eastAsia="Times New Roman" w:hAnsi="Times New Roman"/>
                <w:sz w:val="25"/>
                <w:szCs w:val="25"/>
                <w:color w:val="auto"/>
                <w:vertAlign w:val="subscript"/>
              </w:rPr>
              <w:t>92</w:t>
            </w:r>
            <w:r>
              <w:rPr>
                <w:rFonts w:ascii="Times New Roman" w:cs="Times New Roman" w:eastAsia="Times New Roman" w:hAnsi="Times New Roman"/>
                <w:sz w:val="11"/>
                <w:szCs w:val="11"/>
                <w:color w:val="auto"/>
              </w:rPr>
              <w:t>(d)</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560"/>
              <w:spacing w:after="0" w:line="216" w:lineRule="exact"/>
              <w:rPr>
                <w:sz w:val="20"/>
                <w:szCs w:val="20"/>
                <w:color w:val="auto"/>
              </w:rPr>
            </w:pPr>
            <w:r>
              <w:rPr>
                <w:rFonts w:ascii="Times New Roman" w:cs="Times New Roman" w:eastAsia="Times New Roman" w:hAnsi="Times New Roman"/>
                <w:sz w:val="25"/>
                <w:szCs w:val="25"/>
                <w:color w:val="auto"/>
                <w:vertAlign w:val="subscript"/>
              </w:rPr>
              <w:t>7</w:t>
            </w:r>
            <w:r>
              <w:rPr>
                <w:rFonts w:ascii="Times New Roman" w:cs="Times New Roman" w:eastAsia="Times New Roman" w:hAnsi="Times New Roman"/>
                <w:sz w:val="11"/>
                <w:szCs w:val="11"/>
                <w:color w:val="auto"/>
              </w:rPr>
              <w:t>(p)</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Earnings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(l), (m)</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(m)</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(l), (m)</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238" w:lineRule="exact"/>
        <w:rPr>
          <w:sz w:val="20"/>
          <w:szCs w:val="20"/>
          <w:color w:val="auto"/>
        </w:rPr>
      </w:pPr>
    </w:p>
    <w:p>
      <w:pPr>
        <w:sectPr>
          <w:pgSz w:w="11900" w:h="16838" w:orient="portrait"/>
          <w:cols w:equalWidth="0" w:num="2">
            <w:col w:w="8380" w:space="720"/>
            <w:col w:w="20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32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3"/>
                <w:szCs w:val="13"/>
                <w:color w:val="auto"/>
              </w:rPr>
              <w:t>(l), (n)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(n)</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6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share</w:t>
            </w:r>
          </w:p>
        </w:tc>
        <w:tc>
          <w:tcPr>
            <w:tcW w:w="32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3"/>
                <w:szCs w:val="13"/>
                <w:color w:val="auto"/>
              </w:rPr>
              <w:t>(l), (n)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3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3"/>
                <w:szCs w:val="13"/>
                <w:color w:val="auto"/>
              </w:rPr>
              <w:t>(m)</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454,710,004</w:t>
            </w: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20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(n)</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454,710,004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in millions except share and per share amounts</w:t>
            </w:r>
            <w:r>
              <w:rPr>
                <w:rFonts w:ascii="Times New Roman" w:cs="Times New Roman" w:eastAsia="Times New Roman" w:hAnsi="Times New Roman"/>
                <w:sz w:val="14"/>
                <w:szCs w:val="14"/>
                <w:b w:val="1"/>
                <w:bCs w:val="1"/>
                <w:i w:val="1"/>
                <w:iCs w:val="1"/>
                <w:color w:val="auto"/>
              </w:rPr>
              <w:t>)</w:t>
            </w: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74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17,585</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20"/>
              <w:spacing w:after="0" w:line="216" w:lineRule="exact"/>
              <w:rPr>
                <w:sz w:val="20"/>
                <w:szCs w:val="20"/>
                <w:color w:val="auto"/>
              </w:rPr>
            </w:pPr>
            <w:r>
              <w:rPr>
                <w:rFonts w:ascii="Times New Roman" w:cs="Times New Roman" w:eastAsia="Times New Roman" w:hAnsi="Times New Roman"/>
                <w:sz w:val="25"/>
                <w:szCs w:val="25"/>
                <w:color w:val="auto"/>
                <w:vertAlign w:val="subscript"/>
              </w:rPr>
              <w:t>28</w:t>
            </w:r>
            <w:r>
              <w:rPr>
                <w:rFonts w:ascii="Times New Roman" w:cs="Times New Roman" w:eastAsia="Times New Roman" w:hAnsi="Times New Roman"/>
                <w:sz w:val="11"/>
                <w:szCs w:val="11"/>
                <w:color w:val="auto"/>
              </w:rPr>
              <w:t>(g)</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line="216" w:lineRule="exact"/>
              <w:rPr>
                <w:sz w:val="20"/>
                <w:szCs w:val="20"/>
                <w:color w:val="auto"/>
              </w:rPr>
            </w:pPr>
            <w:r>
              <w:rPr>
                <w:rFonts w:ascii="Times New Roman" w:cs="Times New Roman" w:eastAsia="Times New Roman" w:hAnsi="Times New Roman"/>
                <w:sz w:val="25"/>
                <w:szCs w:val="25"/>
                <w:color w:val="auto"/>
                <w:vertAlign w:val="subscript"/>
              </w:rPr>
              <w:t>134</w:t>
            </w:r>
            <w:r>
              <w:rPr>
                <w:rFonts w:ascii="Times New Roman" w:cs="Times New Roman" w:eastAsia="Times New Roman" w:hAnsi="Times New Roman"/>
                <w:sz w:val="11"/>
                <w:szCs w:val="11"/>
                <w:color w:val="auto"/>
              </w:rPr>
              <w:t>(o),(q),(r)</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134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4,541</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1"/>
              </w:rPr>
              <w:t>(134)</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584</w:t>
            </w:r>
            <w:r>
              <w:rPr>
                <w:rFonts w:ascii="Times New Roman" w:cs="Times New Roman" w:eastAsia="Times New Roman" w:hAnsi="Times New Roman"/>
                <w:sz w:val="25"/>
                <w:szCs w:val="25"/>
                <w:color w:val="auto"/>
                <w:vertAlign w:val="superscript"/>
              </w:rPr>
              <w:t>(h)</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benefit (income) costs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7"/>
                <w:szCs w:val="17"/>
                <w:color w:val="auto"/>
              </w:rPr>
              <w:t>668</w:t>
            </w:r>
            <w:r>
              <w:rPr>
                <w:rFonts w:ascii="Times New Roman" w:cs="Times New Roman" w:eastAsia="Times New Roman" w:hAnsi="Times New Roman"/>
                <w:sz w:val="25"/>
                <w:szCs w:val="25"/>
                <w:color w:val="auto"/>
                <w:vertAlign w:val="superscript"/>
              </w:rPr>
              <w:t>(f)</w:t>
            </w:r>
          </w:p>
        </w:tc>
        <w:tc>
          <w:tcPr>
            <w:tcW w:w="14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81"/>
              </w:rPr>
              <w:t>(134)</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bscript"/>
              </w:rPr>
              <w:t>294</w:t>
            </w:r>
            <w:r>
              <w:rPr>
                <w:rFonts w:ascii="Times New Roman" w:cs="Times New Roman" w:eastAsia="Times New Roman" w:hAnsi="Times New Roman"/>
                <w:sz w:val="11"/>
                <w:szCs w:val="11"/>
                <w:color w:val="auto"/>
              </w:rPr>
              <w:t>(c),(d)</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480"/>
              <w:spacing w:after="0" w:line="216" w:lineRule="exact"/>
              <w:rPr>
                <w:sz w:val="20"/>
                <w:szCs w:val="20"/>
                <w:color w:val="auto"/>
              </w:rPr>
            </w:pPr>
            <w:r>
              <w:rPr>
                <w:rFonts w:ascii="Times New Roman" w:cs="Times New Roman" w:eastAsia="Times New Roman" w:hAnsi="Times New Roman"/>
                <w:sz w:val="25"/>
                <w:szCs w:val="25"/>
                <w:color w:val="auto"/>
                <w:vertAlign w:val="subscript"/>
              </w:rPr>
              <w:t>32</w:t>
            </w:r>
            <w:r>
              <w:rPr>
                <w:rFonts w:ascii="Times New Roman" w:cs="Times New Roman" w:eastAsia="Times New Roman" w:hAnsi="Times New Roman"/>
                <w:sz w:val="11"/>
                <w:szCs w:val="11"/>
                <w:color w:val="auto"/>
              </w:rPr>
              <w:t>(p)</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1"/>
              </w:rPr>
              <w:t>(102)</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1"/>
              </w:rPr>
              <w:t>(102)</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1"/>
              </w:rPr>
              <w:t>(102)</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Earnings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(l), (m)</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(m)</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(l), (m)</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238" w:lineRule="exact"/>
        <w:rPr>
          <w:sz w:val="20"/>
          <w:szCs w:val="20"/>
          <w:color w:val="auto"/>
        </w:rPr>
      </w:pPr>
    </w:p>
    <w:p>
      <w:pPr>
        <w:sectPr>
          <w:pgSz w:w="11900" w:h="16838" w:orient="portrait"/>
          <w:cols w:equalWidth="0" w:num="2">
            <w:col w:w="8220" w:space="720"/>
            <w:col w:w="22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328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3"/>
                <w:szCs w:val="13"/>
                <w:color w:val="auto"/>
              </w:rPr>
              <w:t>(l), (n)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80" w:type="dxa"/>
            <w:vAlign w:val="bottom"/>
          </w:tcPr>
          <w:p>
            <w:pPr>
              <w:ind w:left="2200"/>
              <w:spacing w:after="0"/>
              <w:rPr>
                <w:sz w:val="20"/>
                <w:szCs w:val="20"/>
                <w:color w:val="auto"/>
              </w:rPr>
            </w:pPr>
            <w:r>
              <w:rPr>
                <w:rFonts w:ascii="Times New Roman" w:cs="Times New Roman" w:eastAsia="Times New Roman" w:hAnsi="Times New Roman"/>
                <w:sz w:val="13"/>
                <w:szCs w:val="13"/>
                <w:color w:val="auto"/>
              </w:rPr>
              <w:t>(n)</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66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share</w:t>
            </w:r>
          </w:p>
        </w:tc>
        <w:tc>
          <w:tcPr>
            <w:tcW w:w="328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3"/>
                <w:szCs w:val="13"/>
                <w:color w:val="auto"/>
              </w:rPr>
              <w:t>(l), (n)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3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8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3"/>
                <w:szCs w:val="13"/>
                <w:color w:val="auto"/>
              </w:rPr>
              <w:t>(m)</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454,710,004</w:t>
            </w: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280" w:type="dxa"/>
            <w:vAlign w:val="bottom"/>
          </w:tcPr>
          <w:p>
            <w:pPr>
              <w:ind w:left="2200"/>
              <w:spacing w:after="0"/>
              <w:rPr>
                <w:sz w:val="20"/>
                <w:szCs w:val="20"/>
                <w:color w:val="auto"/>
              </w:rPr>
            </w:pPr>
            <w:r>
              <w:rPr>
                <w:rFonts w:ascii="Times New Roman" w:cs="Times New Roman" w:eastAsia="Times New Roman" w:hAnsi="Times New Roman"/>
                <w:sz w:val="13"/>
                <w:szCs w:val="13"/>
                <w:color w:val="auto"/>
              </w:rPr>
              <w:t>(n)</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454,710,004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right"/>
              <w:ind w:right="1153"/>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Autonomous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in millions except per share amounts</w:t>
            </w:r>
            <w:r>
              <w:rPr>
                <w:rFonts w:ascii="Times New Roman" w:cs="Times New Roman" w:eastAsia="Times New Roman" w:hAnsi="Times New Roman"/>
                <w:sz w:val="16"/>
                <w:szCs w:val="16"/>
                <w:b w:val="1"/>
                <w:bCs w:val="1"/>
                <w:i w:val="1"/>
                <w:iCs w:val="1"/>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right"/>
              <w:ind w:right="1153"/>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160" w:type="dxa"/>
            <w:vAlign w:val="bottom"/>
          </w:tcPr>
          <w:p>
            <w:pPr>
              <w:spacing w:after="0"/>
              <w:rPr>
                <w:sz w:val="17"/>
                <w:szCs w:val="17"/>
                <w:color w:val="auto"/>
              </w:rPr>
            </w:pPr>
          </w:p>
        </w:tc>
        <w:tc>
          <w:tcPr>
            <w:tcW w:w="1600" w:type="dxa"/>
            <w:vAlign w:val="bottom"/>
            <w:gridSpan w:val="2"/>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60" w:type="dxa"/>
            <w:vAlign w:val="bottom"/>
          </w:tcPr>
          <w:p>
            <w:pPr>
              <w:spacing w:after="0"/>
              <w:rPr>
                <w:sz w:val="18"/>
                <w:szCs w:val="18"/>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6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3"/>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180" w:type="dxa"/>
            <w:vAlign w:val="bottom"/>
            <w:tcBorders>
              <w:top w:val="single" w:sz="8" w:color="CCEEFF"/>
            </w:tcBorders>
            <w:shd w:val="clear" w:color="auto" w:fill="CCEEFF"/>
          </w:tcPr>
          <w:p>
            <w:pPr>
              <w:jc w:val="center"/>
              <w:ind w:right="953"/>
              <w:spacing w:after="0"/>
              <w:rPr>
                <w:sz w:val="20"/>
                <w:szCs w:val="20"/>
                <w:color w:val="auto"/>
              </w:rPr>
            </w:pPr>
            <w:r>
              <w:rPr>
                <w:rFonts w:ascii="Times New Roman" w:cs="Times New Roman" w:eastAsia="Times New Roman" w:hAnsi="Times New Roman"/>
                <w:sz w:val="13"/>
                <w:szCs w:val="13"/>
                <w:color w:val="auto"/>
              </w:rPr>
              <w:t>(a)</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 net of allowances of $ 91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and other deferred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293"/>
              <w:spacing w:after="0" w:line="216" w:lineRule="exact"/>
              <w:rPr>
                <w:sz w:val="20"/>
                <w:szCs w:val="20"/>
                <w:color w:val="auto"/>
              </w:rPr>
            </w:pPr>
            <w:r>
              <w:rPr>
                <w:rFonts w:ascii="Times New Roman" w:cs="Times New Roman" w:eastAsia="Times New Roman" w:hAnsi="Times New Roman"/>
                <w:sz w:val="25"/>
                <w:szCs w:val="25"/>
                <w:color w:val="auto"/>
                <w:vertAlign w:val="subscript"/>
              </w:rPr>
              <w:t>11</w:t>
            </w:r>
            <w:r>
              <w:rPr>
                <w:rFonts w:ascii="Times New Roman" w:cs="Times New Roman" w:eastAsia="Times New Roman" w:hAnsi="Times New Roman"/>
                <w:sz w:val="11"/>
                <w:szCs w:val="11"/>
                <w:color w:val="auto"/>
              </w:rPr>
              <w:t>(b),(j)</w:t>
            </w:r>
          </w:p>
        </w:tc>
        <w:tc>
          <w:tcPr>
            <w:tcW w:w="160" w:type="dxa"/>
            <w:vAlign w:val="bottom"/>
          </w:tcPr>
          <w:p>
            <w:pPr>
              <w:spacing w:after="0"/>
              <w:rPr>
                <w:sz w:val="18"/>
                <w:szCs w:val="18"/>
                <w:color w:val="auto"/>
              </w:rPr>
            </w:pPr>
          </w:p>
        </w:tc>
        <w:tc>
          <w:tcPr>
            <w:tcW w:w="1600" w:type="dxa"/>
            <w:vAlign w:val="bottom"/>
            <w:gridSpan w:val="2"/>
          </w:tcPr>
          <w:p>
            <w:pPr>
              <w:ind w:left="540"/>
              <w:spacing w:after="0" w:line="216" w:lineRule="exact"/>
              <w:rPr>
                <w:sz w:val="20"/>
                <w:szCs w:val="20"/>
                <w:color w:val="auto"/>
              </w:rPr>
            </w:pPr>
            <w:r>
              <w:rPr>
                <w:rFonts w:ascii="Times New Roman" w:cs="Times New Roman" w:eastAsia="Times New Roman" w:hAnsi="Times New Roman"/>
                <w:sz w:val="25"/>
                <w:szCs w:val="25"/>
                <w:color w:val="auto"/>
                <w:vertAlign w:val="subscript"/>
              </w:rPr>
              <w:t>75</w:t>
            </w:r>
            <w:r>
              <w:rPr>
                <w:rFonts w:ascii="Times New Roman" w:cs="Times New Roman" w:eastAsia="Times New Roman" w:hAnsi="Times New Roman"/>
                <w:sz w:val="11"/>
                <w:szCs w:val="11"/>
                <w:color w:val="auto"/>
              </w:rPr>
              <w:t>(r)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7,278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b w:val="1"/>
                <w:bCs w:val="1"/>
                <w:color w:val="auto"/>
              </w:rPr>
              <w:t>1,311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75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8,664</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(b)</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tcPr>
          <w:p>
            <w:pPr>
              <w:jc w:val="right"/>
              <w:ind w:right="653"/>
              <w:spacing w:after="0"/>
              <w:rPr>
                <w:sz w:val="20"/>
                <w:szCs w:val="20"/>
                <w:color w:val="auto"/>
              </w:rPr>
            </w:pPr>
            <w:r>
              <w:rPr>
                <w:rFonts w:ascii="Times New Roman" w:cs="Times New Roman" w:eastAsia="Times New Roman" w:hAnsi="Times New Roman"/>
                <w:sz w:val="13"/>
                <w:szCs w:val="13"/>
                <w:color w:val="auto"/>
                <w:w w:val="92"/>
              </w:rPr>
              <w:t>(o)</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12,767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80"/>
              <w:spacing w:after="0" w:line="216" w:lineRule="exact"/>
              <w:rPr>
                <w:sz w:val="20"/>
                <w:szCs w:val="20"/>
                <w:color w:val="auto"/>
              </w:rPr>
            </w:pPr>
            <w:r>
              <w:rPr>
                <w:rFonts w:ascii="Times New Roman" w:cs="Times New Roman" w:eastAsia="Times New Roman" w:hAnsi="Times New Roman"/>
                <w:sz w:val="25"/>
                <w:szCs w:val="25"/>
                <w:color w:val="auto"/>
                <w:vertAlign w:val="subscript"/>
              </w:rPr>
              <w:t>3,424</w:t>
            </w:r>
            <w:r>
              <w:rPr>
                <w:rFonts w:ascii="Times New Roman" w:cs="Times New Roman" w:eastAsia="Times New Roman" w:hAnsi="Times New Roman"/>
                <w:sz w:val="11"/>
                <w:szCs w:val="11"/>
                <w:color w:val="auto"/>
              </w:rPr>
              <w:t>(c),(d),(e),(f)</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93"/>
              <w:spacing w:after="0" w:line="216" w:lineRule="exact"/>
              <w:rPr>
                <w:sz w:val="20"/>
                <w:szCs w:val="20"/>
                <w:color w:val="auto"/>
              </w:rPr>
            </w:pPr>
            <w:r>
              <w:rPr>
                <w:rFonts w:ascii="Times New Roman" w:cs="Times New Roman" w:eastAsia="Times New Roman" w:hAnsi="Times New Roman"/>
                <w:sz w:val="17"/>
                <w:szCs w:val="17"/>
                <w:color w:val="auto"/>
              </w:rPr>
              <w:t>(14)</w:t>
            </w:r>
            <w:r>
              <w:rPr>
                <w:rFonts w:ascii="Times New Roman" w:cs="Times New Roman" w:eastAsia="Times New Roman" w:hAnsi="Times New Roman"/>
                <w:sz w:val="25"/>
                <w:szCs w:val="25"/>
                <w:color w:val="auto"/>
                <w:vertAlign w:val="superscript"/>
              </w:rPr>
              <w:t>(p)</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25"/>
                <w:szCs w:val="25"/>
                <w:color w:val="auto"/>
                <w:vertAlign w:val="subscript"/>
              </w:rPr>
              <w:t>852</w:t>
            </w:r>
            <w:r>
              <w:rPr>
                <w:rFonts w:ascii="Times New Roman" w:cs="Times New Roman" w:eastAsia="Times New Roman" w:hAnsi="Times New Roman"/>
                <w:sz w:val="11"/>
                <w:szCs w:val="11"/>
                <w:color w:val="auto"/>
              </w:rPr>
              <w:t>(a),(c),(e),(f),(j)</w:t>
            </w:r>
          </w:p>
        </w:tc>
        <w:tc>
          <w:tcPr>
            <w:tcW w:w="160" w:type="dxa"/>
            <w:vAlign w:val="bottom"/>
          </w:tcPr>
          <w:p>
            <w:pPr>
              <w:spacing w:after="0"/>
              <w:rPr>
                <w:sz w:val="18"/>
                <w:szCs w:val="18"/>
                <w:color w:val="auto"/>
              </w:rPr>
            </w:pPr>
          </w:p>
        </w:tc>
        <w:tc>
          <w:tcPr>
            <w:tcW w:w="160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26,067</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b w:val="1"/>
                <w:bCs w:val="1"/>
                <w:color w:val="auto"/>
              </w:rPr>
              <w:t>5,639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97</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31,803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500"/>
              <w:spacing w:after="0" w:line="216" w:lineRule="exact"/>
              <w:rPr>
                <w:sz w:val="20"/>
                <w:szCs w:val="20"/>
                <w:color w:val="auto"/>
              </w:rPr>
            </w:pPr>
            <w:r>
              <w:rPr>
                <w:rFonts w:ascii="Times New Roman" w:cs="Times New Roman" w:eastAsia="Times New Roman" w:hAnsi="Times New Roman"/>
                <w:sz w:val="25"/>
                <w:szCs w:val="25"/>
                <w:color w:val="auto"/>
                <w:vertAlign w:val="subscript"/>
              </w:rPr>
              <w:t>11</w:t>
            </w:r>
            <w:r>
              <w:rPr>
                <w:rFonts w:ascii="Times New Roman" w:cs="Times New Roman" w:eastAsia="Times New Roman" w:hAnsi="Times New Roman"/>
                <w:sz w:val="11"/>
                <w:szCs w:val="11"/>
                <w:color w:val="auto"/>
              </w:rPr>
              <w:t>(k)</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(106)</w:t>
            </w:r>
            <w:r>
              <w:rPr>
                <w:rFonts w:ascii="Times New Roman" w:cs="Times New Roman" w:eastAsia="Times New Roman" w:hAnsi="Times New Roman"/>
                <w:sz w:val="25"/>
                <w:szCs w:val="25"/>
                <w:color w:val="auto"/>
                <w:vertAlign w:val="superscript"/>
              </w:rPr>
              <w:t>(k)</w:t>
            </w:r>
          </w:p>
        </w:tc>
        <w:tc>
          <w:tcPr>
            <w:tcW w:w="160" w:type="dxa"/>
            <w:vAlign w:val="bottom"/>
          </w:tcPr>
          <w:p>
            <w:pPr>
              <w:spacing w:after="0"/>
              <w:rPr>
                <w:sz w:val="18"/>
                <w:szCs w:val="18"/>
                <w:color w:val="auto"/>
              </w:rPr>
            </w:pPr>
          </w:p>
        </w:tc>
        <w:tc>
          <w:tcPr>
            <w:tcW w:w="160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25"/>
                <w:szCs w:val="25"/>
                <w:color w:val="auto"/>
                <w:vertAlign w:val="subscript"/>
              </w:rPr>
              <w:t>541</w:t>
            </w:r>
            <w:r>
              <w:rPr>
                <w:rFonts w:ascii="Times New Roman" w:cs="Times New Roman" w:eastAsia="Times New Roman" w:hAnsi="Times New Roman"/>
                <w:sz w:val="11"/>
                <w:szCs w:val="11"/>
                <w:color w:val="auto"/>
              </w:rPr>
              <w:t>(b),(f),(g),(j),(k)</w:t>
            </w:r>
          </w:p>
        </w:tc>
        <w:tc>
          <w:tcPr>
            <w:tcW w:w="160" w:type="dxa"/>
            <w:vAlign w:val="bottom"/>
          </w:tcPr>
          <w:p>
            <w:pPr>
              <w:spacing w:after="0"/>
              <w:rPr>
                <w:sz w:val="18"/>
                <w:szCs w:val="18"/>
                <w:color w:val="auto"/>
              </w:rPr>
            </w:pPr>
          </w:p>
        </w:tc>
        <w:tc>
          <w:tcPr>
            <w:tcW w:w="1600" w:type="dxa"/>
            <w:vAlign w:val="bottom"/>
            <w:gridSpan w:val="2"/>
          </w:tcPr>
          <w:p>
            <w:pPr>
              <w:jc w:val="right"/>
              <w:ind w:right="653"/>
              <w:spacing w:after="0" w:line="216" w:lineRule="exact"/>
              <w:rPr>
                <w:sz w:val="20"/>
                <w:szCs w:val="20"/>
                <w:color w:val="auto"/>
              </w:rPr>
            </w:pPr>
            <w:r>
              <w:rPr>
                <w:rFonts w:ascii="Times New Roman" w:cs="Times New Roman" w:eastAsia="Times New Roman" w:hAnsi="Times New Roman"/>
                <w:sz w:val="25"/>
                <w:szCs w:val="25"/>
                <w:color w:val="auto"/>
                <w:vertAlign w:val="subscript"/>
              </w:rPr>
              <w:t>7</w:t>
            </w:r>
            <w:r>
              <w:rPr>
                <w:rFonts w:ascii="Times New Roman" w:cs="Times New Roman" w:eastAsia="Times New Roman" w:hAnsi="Times New Roman"/>
                <w:sz w:val="11"/>
                <w:szCs w:val="11"/>
                <w:color w:val="auto"/>
              </w:rPr>
              <w:t>(o)</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b w:val="1"/>
                <w:bCs w:val="1"/>
                <w:color w:val="auto"/>
              </w:rPr>
              <w:t>446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7,088</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18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(a)</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313"/>
              <w:spacing w:after="0" w:line="216" w:lineRule="exact"/>
              <w:rPr>
                <w:sz w:val="20"/>
                <w:szCs w:val="20"/>
                <w:color w:val="auto"/>
              </w:rPr>
            </w:pPr>
            <w:r>
              <w:rPr>
                <w:rFonts w:ascii="Times New Roman" w:cs="Times New Roman" w:eastAsia="Times New Roman" w:hAnsi="Times New Roman"/>
                <w:sz w:val="25"/>
                <w:szCs w:val="25"/>
                <w:color w:val="auto"/>
                <w:vertAlign w:val="subscript"/>
              </w:rPr>
              <w:t>5,931</w:t>
            </w:r>
            <w:r>
              <w:rPr>
                <w:rFonts w:ascii="Times New Roman" w:cs="Times New Roman" w:eastAsia="Times New Roman" w:hAnsi="Times New Roman"/>
                <w:sz w:val="11"/>
                <w:szCs w:val="11"/>
                <w:color w:val="auto"/>
              </w:rPr>
              <w:t>(f),(g),(k)</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600"/>
              <w:spacing w:after="0" w:line="216" w:lineRule="exact"/>
              <w:rPr>
                <w:sz w:val="20"/>
                <w:szCs w:val="20"/>
                <w:color w:val="auto"/>
              </w:rPr>
            </w:pP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1"/>
                <w:szCs w:val="11"/>
                <w:color w:val="auto"/>
              </w:rPr>
              <w:t>(d)</w:t>
            </w:r>
          </w:p>
        </w:tc>
        <w:tc>
          <w:tcPr>
            <w:tcW w:w="160" w:type="dxa"/>
            <w:vAlign w:val="bottom"/>
          </w:tcPr>
          <w:p>
            <w:pPr>
              <w:spacing w:after="0"/>
              <w:rPr>
                <w:sz w:val="18"/>
                <w:szCs w:val="18"/>
                <w:color w:val="auto"/>
              </w:rPr>
            </w:pPr>
          </w:p>
        </w:tc>
        <w:tc>
          <w:tcPr>
            <w:tcW w:w="160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500"/>
              <w:spacing w:after="0" w:line="216" w:lineRule="exact"/>
              <w:rPr>
                <w:sz w:val="20"/>
                <w:szCs w:val="20"/>
                <w:color w:val="auto"/>
              </w:rPr>
            </w:pPr>
            <w:r>
              <w:rPr>
                <w:rFonts w:ascii="Times New Roman" w:cs="Times New Roman" w:eastAsia="Times New Roman" w:hAnsi="Times New Roman"/>
                <w:sz w:val="25"/>
                <w:szCs w:val="25"/>
                <w:color w:val="auto"/>
                <w:vertAlign w:val="subscript"/>
              </w:rPr>
              <w:t>99</w:t>
            </w:r>
            <w:r>
              <w:rPr>
                <w:rFonts w:ascii="Times New Roman" w:cs="Times New Roman" w:eastAsia="Times New Roman" w:hAnsi="Times New Roman"/>
                <w:sz w:val="11"/>
                <w:szCs w:val="11"/>
                <w:color w:val="auto"/>
              </w:rPr>
              <w:t>(b),(c),(e),(j)</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53"/>
              <w:spacing w:after="0" w:line="216" w:lineRule="exact"/>
              <w:rPr>
                <w:sz w:val="20"/>
                <w:szCs w:val="20"/>
                <w:color w:val="auto"/>
              </w:rPr>
            </w:pPr>
            <w:r>
              <w:rPr>
                <w:rFonts w:ascii="Times New Roman" w:cs="Times New Roman" w:eastAsia="Times New Roman" w:hAnsi="Times New Roman"/>
                <w:sz w:val="25"/>
                <w:szCs w:val="25"/>
                <w:color w:val="auto"/>
                <w:vertAlign w:val="subscript"/>
              </w:rPr>
              <w:t>44</w:t>
            </w:r>
            <w:r>
              <w:rPr>
                <w:rFonts w:ascii="Times New Roman" w:cs="Times New Roman" w:eastAsia="Times New Roman" w:hAnsi="Times New Roman"/>
                <w:sz w:val="11"/>
                <w:szCs w:val="11"/>
                <w:color w:val="auto"/>
              </w:rPr>
              <w:t>(o)</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16,676</w:t>
            </w:r>
          </w:p>
        </w:tc>
        <w:tc>
          <w:tcPr>
            <w:tcW w:w="1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167</w:t>
            </w:r>
            <w:r>
              <w:rPr>
                <w:rFonts w:ascii="Times New Roman" w:cs="Times New Roman" w:eastAsia="Times New Roman" w:hAnsi="Times New Roman"/>
                <w:sz w:val="11"/>
                <w:szCs w:val="11"/>
                <w:b w:val="1"/>
                <w:bCs w:val="1"/>
                <w:color w:val="auto"/>
              </w:rPr>
              <w:t>(l)</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(a)-(g),(i),(l)</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454,710,004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on a pro forma basis)</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600"/>
              <w:spacing w:after="0" w:line="235" w:lineRule="exact"/>
              <w:rPr>
                <w:sz w:val="20"/>
                <w:szCs w:val="20"/>
                <w:color w:val="auto"/>
              </w:rPr>
            </w:pPr>
            <w:r>
              <w:rPr>
                <w:rFonts w:ascii="Times New Roman" w:cs="Times New Roman" w:eastAsia="Times New Roman" w:hAnsi="Times New Roman"/>
                <w:sz w:val="27"/>
                <w:szCs w:val="27"/>
                <w:color w:val="auto"/>
                <w:vertAlign w:val="subscript"/>
              </w:rPr>
              <w:t>5</w:t>
            </w:r>
            <w:r>
              <w:rPr>
                <w:rFonts w:ascii="Times New Roman" w:cs="Times New Roman" w:eastAsia="Times New Roman" w:hAnsi="Times New Roman"/>
                <w:sz w:val="12"/>
                <w:szCs w:val="12"/>
                <w:color w:val="auto"/>
              </w:rPr>
              <w:t>(i)</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17"/>
                <w:szCs w:val="17"/>
                <w:color w:val="auto"/>
              </w:rPr>
              <w:t>6,384</w:t>
            </w:r>
            <w:r>
              <w:rPr>
                <w:rFonts w:ascii="Times New Roman" w:cs="Times New Roman" w:eastAsia="Times New Roman" w:hAnsi="Times New Roman"/>
                <w:sz w:val="25"/>
                <w:szCs w:val="25"/>
                <w:color w:val="auto"/>
                <w:vertAlign w:val="superscript"/>
              </w:rPr>
              <w:t>(i)</w:t>
            </w:r>
          </w:p>
        </w:tc>
        <w:tc>
          <w:tcPr>
            <w:tcW w:w="160" w:type="dxa"/>
            <w:vAlign w:val="bottom"/>
          </w:tcPr>
          <w:p>
            <w:pPr>
              <w:spacing w:after="0"/>
              <w:rPr>
                <w:sz w:val="18"/>
                <w:szCs w:val="18"/>
                <w:color w:val="auto"/>
              </w:rPr>
            </w:pPr>
          </w:p>
        </w:tc>
        <w:tc>
          <w:tcPr>
            <w:tcW w:w="1600" w:type="dxa"/>
            <w:vAlign w:val="bottom"/>
            <w:gridSpan w:val="2"/>
          </w:tcPr>
          <w:p>
            <w:pPr>
              <w:ind w:left="540"/>
              <w:spacing w:after="0" w:line="216" w:lineRule="exact"/>
              <w:rPr>
                <w:sz w:val="20"/>
                <w:szCs w:val="20"/>
                <w:color w:val="auto"/>
              </w:rPr>
            </w:pPr>
            <w:r>
              <w:rPr>
                <w:rFonts w:ascii="Times New Roman" w:cs="Times New Roman" w:eastAsia="Times New Roman" w:hAnsi="Times New Roman"/>
                <w:sz w:val="25"/>
                <w:szCs w:val="25"/>
                <w:color w:val="auto"/>
                <w:vertAlign w:val="subscript"/>
              </w:rPr>
              <w:t>46</w:t>
            </w:r>
            <w:r>
              <w:rPr>
                <w:rFonts w:ascii="Times New Roman" w:cs="Times New Roman" w:eastAsia="Times New Roman" w:hAnsi="Times New Roman"/>
                <w:sz w:val="11"/>
                <w:szCs w:val="11"/>
                <w:color w:val="auto"/>
              </w:rPr>
              <w:t>(o),(p),(r)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80"/>
              <w:spacing w:after="0" w:line="216" w:lineRule="exact"/>
              <w:rPr>
                <w:sz w:val="20"/>
                <w:szCs w:val="20"/>
                <w:color w:val="auto"/>
              </w:rPr>
            </w:pPr>
            <w:r>
              <w:rPr>
                <w:rFonts w:ascii="Times New Roman" w:cs="Times New Roman" w:eastAsia="Times New Roman" w:hAnsi="Times New Roman"/>
                <w:sz w:val="17"/>
                <w:szCs w:val="17"/>
                <w:color w:val="auto"/>
              </w:rPr>
              <w:t>1,208</w:t>
            </w:r>
            <w:r>
              <w:rPr>
                <w:rFonts w:ascii="Times New Roman" w:cs="Times New Roman" w:eastAsia="Times New Roman" w:hAnsi="Times New Roman"/>
                <w:sz w:val="25"/>
                <w:szCs w:val="25"/>
                <w:color w:val="auto"/>
                <w:vertAlign w:val="superscript"/>
              </w:rPr>
              <w:t>(f)</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GE HealthCare</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16,859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c>
          <w:tcPr>
            <w:tcW w:w="1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16,878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c>
          <w:tcPr>
            <w:tcW w:w="1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26,067</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b w:val="1"/>
                <w:bCs w:val="1"/>
                <w:color w:val="auto"/>
              </w:rPr>
              <w:t>5,639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97</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31,803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COMBINED FINANCIAL INFORMATION</w:t>
      </w:r>
    </w:p>
    <w:p>
      <w:pPr>
        <w:spacing w:after="0" w:line="22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September 30, 2022 and the unaudited pro forma condensed combined statement of income for the nine months ended September 30, 2022 and the unaudited pro forma condensed combined statement of income for the year ended December 31, 2021 include the following adjustments: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1080" w:hanging="532"/>
        <w:spacing w:after="0" w:line="253"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incurrence of indebtedness of $10.25 billion, consisting of $2.0 billion of Term Loan Facility and $8.25 billion of senior notes, issued in connection with the Spin-Off. The debt maturities range from two years to thirty years with an estimated weighted average interest rate of approximately 5.5%. Total original issue discount and deferred debt issuance costs associated with such indebtedness are $52 million, which will be amortized to Interest and other financial charges—net over the terms of the respective instruments and are reflected as a reduction to Long-term borrowings. We issued $4.0 billion of such indebtedness directly to GE, as partial consideration for certain assets that will be contributed to us in connection with the Spin-Off, and GE exchanged such indebtedness for an equivalent principal amount of GE’s indebtedness. In addition, we made a cash distribution of $4.2 billion to GE and expect to make a further cash distribution of approximately $0.75 billion of additional debt proceeds to GE concurrently with the Spin-Off, with the remaining proceeds of $1.3 billion to be held by us in Cash, cash equivalents, and restricted cash. We expect that GE will use the proceeds of such indebtedness to pay off GE obligations. GE HealthCare’s capital structure remains under review and will be finalized prior to the Spin-Off. See “Management’s Discussion and Analysis of Financial Conditions and Results of Operations—Liquidity and Capital Resources” for additional details.</w:t>
      </w:r>
    </w:p>
    <w:p>
      <w:pPr>
        <w:spacing w:after="0" w:line="81" w:lineRule="exact"/>
        <w:rPr>
          <w:rFonts w:ascii="Times New Roman" w:cs="Times New Roman" w:eastAsia="Times New Roman" w:hAnsi="Times New Roman"/>
          <w:sz w:val="18"/>
          <w:szCs w:val="18"/>
          <w:color w:val="auto"/>
        </w:rPr>
      </w:pPr>
    </w:p>
    <w:p>
      <w:pPr>
        <w:jc w:val="both"/>
        <w:ind w:left="110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entered into a 5-Year Revolving Credit Facility of $2.5 billion and a 364-Day Revolving Credit Facility of $1.0 billion, however, the facilities are not expected to be utilized at the completion of the Spin-Off. The associated issuance costs of $3 million are recorded in All other assets and amortized to Interest and other financial charges—net over the term of the credit facility.</w:t>
      </w:r>
    </w:p>
    <w:p>
      <w:pPr>
        <w:spacing w:after="0" w:line="81" w:lineRule="exact"/>
        <w:rPr>
          <w:rFonts w:ascii="Times New Roman" w:cs="Times New Roman" w:eastAsia="Times New Roman" w:hAnsi="Times New Roman"/>
          <w:sz w:val="18"/>
          <w:szCs w:val="18"/>
          <w:color w:val="auto"/>
        </w:rPr>
      </w:pPr>
    </w:p>
    <w:p>
      <w:pPr>
        <w:ind w:left="1080" w:right="80" w:hanging="532"/>
        <w:spacing w:after="0" w:line="270"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adjustment reflects assets and liabilities related to certain legal entities that will be transferred from GE to GE HealthCare in connection with the Spin-Off in the unaudited pro forma condensed combined statement of financial position as of September 30, 2022. See Note 1, “Description of the Business and Basis of Presentation” of our audited combined financial statements for further discussion of the Company’s attribution of assets and liabilities. Refer to the below table for further details on specific adjustments. Excluded from note</w:t>
      </w:r>
    </w:p>
    <w:p>
      <w:pPr>
        <w:spacing w:after="0" w:line="2" w:lineRule="exact"/>
        <w:rPr>
          <w:rFonts w:ascii="Times New Roman" w:cs="Times New Roman" w:eastAsia="Times New Roman" w:hAnsi="Times New Roman"/>
          <w:sz w:val="17"/>
          <w:szCs w:val="17"/>
          <w:color w:val="auto"/>
        </w:rPr>
      </w:pPr>
    </w:p>
    <w:p>
      <w:pPr>
        <w:ind w:left="1080"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are certain environmental obligations related to the transferred entities. See note (j) for further details on environmental obligations transferring to GE HealthCare.</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70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2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42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342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342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342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365"/>
        </w:trPr>
        <w:tc>
          <w:tcPr>
            <w:tcW w:w="3180" w:type="dxa"/>
            <w:vAlign w:val="bottom"/>
          </w:tcPr>
          <w:p>
            <w:pPr>
              <w:spacing w:after="0"/>
              <w:rPr>
                <w:sz w:val="24"/>
                <w:szCs w:val="24"/>
                <w:color w:val="auto"/>
              </w:rPr>
            </w:pPr>
          </w:p>
        </w:tc>
        <w:tc>
          <w:tcPr>
            <w:tcW w:w="2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75</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an increase to income tax expense of $8 million for the year ended December 31, 2021, and related tax assets and liabilities as of September 30, 2022 that are expected to be transferred to us as a result of the Spin-Off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2,117</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bl>
    <w:p>
      <w:pPr>
        <w:spacing w:after="0" w:line="10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These amounts are an estimate, and the final assets and liabilities are likely to be different.</w:t>
      </w:r>
    </w:p>
    <w:p>
      <w:pPr>
        <w:spacing w:after="0" w:line="131" w:lineRule="exact"/>
        <w:rPr>
          <w:sz w:val="20"/>
          <w:szCs w:val="20"/>
          <w:color w:val="auto"/>
        </w:rPr>
      </w:pPr>
    </w:p>
    <w:p>
      <w:pPr>
        <w:ind w:left="1080" w:hanging="532"/>
        <w:spacing w:after="0" w:line="25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transaction pro forma adjustments at the applicable statutory tax rates and the expected effects of the Separation and Distribution Agreement, changes to our legal entity structure in anticipation of the Spin-Off and stand-alone effects within the respective jurisdictions. This adjustment was determined by applying the respective statutory tax rates to pre-tax pro forma adjustments in jurisdictions where valuation allowances were not required.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w:t>
      </w:r>
    </w:p>
    <w:p>
      <w:pPr>
        <w:spacing w:after="0" w:line="92"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establishment of indemnification assets and liabilities of $44 million and $43 million, respectively, to be established by GE HealthCare and a reduction to existing deferred tax assets of $15 million pursuant to the Tax Matters Agreement. The amount of such indemnifications is still preliminary and will be finalized prior to the Spin-Off.</w:t>
      </w:r>
    </w:p>
    <w:p>
      <w:pPr>
        <w:spacing w:after="0" w:line="81" w:lineRule="exact"/>
        <w:rPr>
          <w:rFonts w:ascii="Times New Roman" w:cs="Times New Roman" w:eastAsia="Times New Roman" w:hAnsi="Times New Roman"/>
          <w:sz w:val="18"/>
          <w:szCs w:val="18"/>
          <w:color w:val="auto"/>
        </w:rPr>
      </w:pPr>
    </w:p>
    <w:p>
      <w:pPr>
        <w:ind w:left="1080" w:right="140" w:hanging="532"/>
        <w:spacing w:after="0" w:line="25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accounted for our participation in the GE sponsored pension and other postretirement plans as participation in a multi-employer plan and as such the liability for these plans is not included in our audited combined financial statements and unaudited condensed combined financial statements. Under this method of accounting, we recognized our allocated portion of net periodic benefit costs within our audited combined financial statements and unaudited condensed combined financial statements. Under the multi-employer approach, only service costs for these plans were allocated based primarily on our participation in the plans. Additionally, retirees and other former GE employees participate in the pension and postretirement benefit plans offered by GE.</w:t>
      </w:r>
    </w:p>
    <w:p>
      <w:pPr>
        <w:spacing w:after="0" w:line="79" w:lineRule="exact"/>
        <w:rPr>
          <w:rFonts w:ascii="Times New Roman" w:cs="Times New Roman" w:eastAsia="Times New Roman" w:hAnsi="Times New Roman"/>
          <w:sz w:val="18"/>
          <w:szCs w:val="18"/>
          <w:color w:val="auto"/>
        </w:rPr>
      </w:pPr>
    </w:p>
    <w:p>
      <w:pPr>
        <w:ind w:left="110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GE will transfer to us plan assets and obligations primarily associated with our active, retired, and other former GE employees in certain jurisdictions and we will provide the benefits directly. The actual assumed net benefit plan obligations, cash contributions, and related expenses could change significantly from our estimates.</w:t>
      </w:r>
    </w:p>
    <w:p>
      <w:pPr>
        <w:spacing w:after="0" w:line="67" w:lineRule="exact"/>
        <w:rPr>
          <w:rFonts w:ascii="Times New Roman" w:cs="Times New Roman" w:eastAsia="Times New Roman" w:hAnsi="Times New Roman"/>
          <w:sz w:val="18"/>
          <w:szCs w:val="18"/>
          <w:color w:val="auto"/>
        </w:rPr>
      </w:pPr>
    </w:p>
    <w:p>
      <w:pPr>
        <w:ind w:left="110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and related tax effect for the pension and postretirement benefit plans is reflected in the unaudited pro forma condensed combined statement of financial position as of September 30, 2022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(5,073)</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 net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r>
      <w:tr>
        <w:trPr>
          <w:trHeight w:val="346"/>
        </w:trPr>
        <w:tc>
          <w:tcPr>
            <w:tcW w:w="54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76</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300"/>
        <w:spacing w:after="0" w:line="261" w:lineRule="auto"/>
        <w:rPr>
          <w:sz w:val="20"/>
          <w:szCs w:val="20"/>
          <w:color w:val="auto"/>
        </w:rPr>
      </w:pPr>
      <w:r>
        <w:rPr>
          <w:rFonts w:ascii="Times New Roman" w:cs="Times New Roman" w:eastAsia="Times New Roman" w:hAnsi="Times New Roman"/>
          <w:sz w:val="18"/>
          <w:szCs w:val="18"/>
          <w:color w:val="auto"/>
        </w:rPr>
        <w:t>The plan assets and obligations that will transfer to us in connection with the Spin-Off will be based on the GE Principal Pension Plans which consists of the GE Pension Plan and GE Supplementary Pension Plan, the GE Principal Retiree Benefit Plans and Other Pension Plans consisting of U.S. and non-U.S. pension plans. The amounts below include plans with pension assets or obligations greater than $50 million. See table below for associated balances as of September 30, 2022:</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 Plans</w:t>
            </w:r>
          </w:p>
        </w:tc>
        <w:tc>
          <w:tcPr>
            <w:tcW w:w="1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5320" w:type="dxa"/>
            <w:vAlign w:val="bottom"/>
            <w:vMerge w:val="continue"/>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5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(loss) — net</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 Principal Pension Plans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GE Principal Retiree Benefits Plans</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Pension Plans</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5,059</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We have also recognized incremental pro forma non-operating benefit (income) costs of $(57) million and $668 million for the nine months ended September 30, 2022 and the year ended December 31, 2021, respectively, related to the pension and postretirement benefit plans transferred to GE HealthCare.</w:t>
      </w:r>
    </w:p>
    <w:p>
      <w:pPr>
        <w:spacing w:after="0" w:line="81" w:lineRule="exact"/>
        <w:rPr>
          <w:sz w:val="20"/>
          <w:szCs w:val="20"/>
          <w:color w:val="auto"/>
        </w:rPr>
      </w:pPr>
    </w:p>
    <w:p>
      <w:pPr>
        <w:ind w:left="1080" w:right="60" w:hanging="532"/>
        <w:spacing w:after="0" w:line="25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$147 million in All other current liabilities and $393 million in Compensation and benefits with respect to additional employee-related obligations of active and former employees expected to be transferred from GE to GE HealthCare prior to Spin-Off. These liabilities are incremental to the liabilities included in the audited combined and unaudited condensed combined statements of financial position as they relate to employees who were not GE HealthCare employees or the liabilities were not allocated ratably to GE HealthCare employees. Expenses associated with these additional employee-related obligations were $20 million and $28 million for the nine months ended September 30, 2022 and the year ended December 31, 2021, respectively.</w:t>
      </w:r>
    </w:p>
    <w:p>
      <w:pPr>
        <w:spacing w:after="0" w:line="92"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 of estimated interest expense related to the debt issuances described in note (a) above, the amortization of original issue discount and deferred debt issuance costs, and certain Euro to U.S. Dollar cross currency interest rate swap arrangements with a notional amount of $2.0 billion. Interest expense was calculated assuming constant debt levels throughout the periods. A 0.125 point change to the annual interest rate on the $2.0 billion Term Loan Facility would change interest expense by approximately $2 million and $3 million for the nine months ended September 30, 2022 and the year ended December 31, 2021, respectively. Refer to the below table for further details on specific adjustments: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680" w:type="dxa"/>
            <w:vAlign w:val="bottom"/>
          </w:tcPr>
          <w:p>
            <w:pPr>
              <w:spacing w:after="0"/>
              <w:rPr>
                <w:sz w:val="13"/>
                <w:szCs w:val="13"/>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0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debt</w:t>
            </w:r>
          </w:p>
        </w:tc>
        <w:tc>
          <w:tcPr>
            <w:tcW w:w="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original issue discount and</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Interest and other financial charges —</w:t>
            </w:r>
          </w:p>
        </w:tc>
        <w:tc>
          <w:tcPr>
            <w:tcW w:w="6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431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right="80" w:hanging="532"/>
        <w:spacing w:after="0" w:line="25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GE’s net investment in our Company to Additional paid-in capital, as well as the issuance of 454,710,004 shares of our common stock with a par value of $0.01 per share pursuant to the Separation and Distribution Agreement. We have assumed the number of outstanding shares of our common stock based on 1,092,668,140 shares of GE common stock outstanding as of September 30, 2022, and assumed a distribution of at least 80.1% of the outstanding shares of our common stock to GE’s stockholders, on the basis of one share of our common stock for every three shares of GE common stock. The actual number of shares issued will not be known until the record date for the Spin-Off. We expect up to 19.9% of our common stock to be owned by GE at the time of the Spin-Off.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54"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has obligations for ongoing and future environmental remediation activities, some of which are the legal responsibilities of entities that will transfer to GE HealthCare, as referred to in note (b). This adjustment reflects the transfer of $19 million of accrued environmental remediation liabilities from GE to GE HealthCare. These liabilities were excluded from the audited combined and unaudited condensed combined statements of financial position as the environmental liabilities were unrelated to historical GE HealthCare business activity. The environmental remediation liabilities include estimates of the costs for investigation, remediation and operation and maintenance of clean-up sites. This adjustment also reflects indemnification assets to be established by GE HealthCare to reflect an indemnification agreement between GE and GE HealthCare whereby GE will indemnify GE HealthCare for all current and future costs incurred related to these transferred environmental remediation obligations. Refer to the below table for further details on specific adjustments: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6" w:lineRule="exact"/>
        <w:rPr>
          <w:sz w:val="20"/>
          <w:szCs w:val="20"/>
          <w:color w:val="auto"/>
        </w:rPr>
      </w:pPr>
    </w:p>
    <w:p>
      <w:pPr>
        <w:ind w:left="1080" w:right="62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certain transactions historically included in related parties accounts to the appropriate third-party or employee related accounts based on the nature of the transaction, as of September 30, 2022.</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6" w:lineRule="exact"/>
        <w:rPr>
          <w:sz w:val="20"/>
          <w:szCs w:val="20"/>
          <w:color w:val="auto"/>
        </w:rPr>
      </w:pPr>
    </w:p>
    <w:p>
      <w:pPr>
        <w:ind w:left="1080" w:right="300" w:hanging="532"/>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to Redeemable noncontrolling interests of $167 million as of September 30, 2022 to record certain redeemable noncontrolling interest at current redemption value due to redemption provisions that are triggered upon a change of control, which is assumed to be probable at the time of Spin-Off. The adjustment to Redeemable noncontrolling interest is treated as a deemed preferred dividend in the earnings per share computation for the year ended December 31, 2021.</w:t>
      </w:r>
    </w:p>
    <w:p>
      <w:pPr>
        <w:spacing w:after="0" w:line="85"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number of shares used to compute pro forma basic earnings per share for both the nine months ended September 30, 2022 and the year ended December 31, 2021 is 454,710,004, on the basis of one share of our common stock for every three shares of GE common stock outstanding as of September 30, 2022 and the 19.9% interest in the outstanding shares of our common stock that we expect will be owned by GE at the time of the Spin-Off.</w:t>
      </w:r>
    </w:p>
    <w:p>
      <w:pPr>
        <w:spacing w:after="0" w:line="85" w:lineRule="exact"/>
        <w:rPr>
          <w:rFonts w:ascii="Times New Roman" w:cs="Times New Roman" w:eastAsia="Times New Roman" w:hAnsi="Times New Roman"/>
          <w:sz w:val="18"/>
          <w:szCs w:val="18"/>
          <w:color w:val="auto"/>
        </w:rPr>
      </w:pPr>
    </w:p>
    <w:p>
      <w:pPr>
        <w:ind w:left="1080" w:right="260" w:hanging="532"/>
        <w:spacing w:after="0" w:line="25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number of shares used to compute pro forma diluted earnings per share for both the nine months ended September 30, 2022 and the year ended December 31, 2021 is 454,710,004, which represents the number of shares we expect to be outstanding in connection with the Spin-Off. The actual dilutive effect following the completion of the Spin-Off will depend on various factors, including employees who may change employment between GE and our Company and the impact of GE and GE HealthCare equity-based compensation arrangements. We cannot estimate the dilutive effects at this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35" w:lineRule="exact"/>
        <w:rPr>
          <w:sz w:val="20"/>
          <w:szCs w:val="20"/>
          <w:color w:val="auto"/>
        </w:rPr>
      </w:pPr>
    </w:p>
    <w:p>
      <w:pPr>
        <w:jc w:val="both"/>
        <w:ind w:left="1080" w:right="260" w:hanging="532"/>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impact of lease arrangements with third parties and sublease arrangements with GE for facilities that have been entered into or will be entered into prior to the Spin-Off. These adjustments record the operating right-of-use assets and related operating lease liabilities based on the estimated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present value of the lease payments over the lease term. The pro forma adjustment related to our leases is reflected in the unaudited pro forma condensed combined statement of financial position as of September 30, 2022,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78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7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49"/>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40" w:type="dxa"/>
            <w:vAlign w:val="bottom"/>
            <w:gridSpan w:val="3"/>
          </w:tcPr>
          <w:p>
            <w:pPr>
              <w:jc w:val="center"/>
              <w:ind w:left="1708"/>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78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net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4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and sub-leases</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Spin-Off, we will begin recognizing incremental sublease income net of expenses from GE and third parties of</w:t>
      </w:r>
    </w:p>
    <w:p>
      <w:pPr>
        <w:spacing w:after="0" w:line="27" w:lineRule="exact"/>
        <w:rPr>
          <w:sz w:val="20"/>
          <w:szCs w:val="20"/>
          <w:color w:val="auto"/>
        </w:rPr>
      </w:pPr>
    </w:p>
    <w:p>
      <w:pPr>
        <w:ind w:left="1100" w:right="160"/>
        <w:spacing w:after="0" w:line="260" w:lineRule="auto"/>
        <w:rPr>
          <w:sz w:val="20"/>
          <w:szCs w:val="20"/>
          <w:color w:val="auto"/>
        </w:rPr>
      </w:pPr>
      <w:r>
        <w:rPr>
          <w:rFonts w:ascii="Times New Roman" w:cs="Times New Roman" w:eastAsia="Times New Roman" w:hAnsi="Times New Roman"/>
          <w:sz w:val="18"/>
          <w:szCs w:val="18"/>
          <w:color w:val="auto"/>
        </w:rPr>
        <w:t>$1 million for both the nine months ended September 30, 2022 and year ended December 31, 2021, and will present net sublease income in Selling, general and administrative.</w:t>
      </w:r>
    </w:p>
    <w:p>
      <w:pPr>
        <w:spacing w:after="0" w:line="87" w:lineRule="exact"/>
        <w:rPr>
          <w:sz w:val="20"/>
          <w:szCs w:val="20"/>
          <w:color w:val="auto"/>
        </w:rPr>
      </w:pPr>
    </w:p>
    <w:p>
      <w:pPr>
        <w:ind w:left="1080" w:hanging="532"/>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autonomous entity pro forma adjustments at the applicable statutory tax rates and the expected effects of the Separation and Distribution Agreement and the Tax Matters Agreement, or stand-alone effects within the respective jurisdictions. This adjustment was determined by applying the respective statutory tax rates to pre-tax pro forma adjustments in jurisdictions where valuation allowances were not required. The applicable tax rates could be impacted (either higher or lower) depending on many factors subsequent to the Spin-Off including, but not limited to, the profitability in local jurisdictions and the legal entity structure implemented subsequent to the Spin-Off and may be materially different from the pro forma results.</w:t>
      </w:r>
    </w:p>
    <w:p>
      <w:pPr>
        <w:spacing w:after="0" w:line="92"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Transition Services Agreement and the Trademark License Agreement we intend to enter into with GE, we will incur incremental expenses above the previous allocation of GE corporate costs, primarily related to certain digital technology services, people operations support, and trademark license costs of $29 million for the nine months ended September 30, 2022 and $60 million for the year ended December 31, 2021.</w:t>
      </w:r>
    </w:p>
    <w:p>
      <w:pPr>
        <w:spacing w:after="0" w:line="85"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Spin-Off, GE will incur additional non-recurring costs for the development of technological infrastructure on behalf of GE HealthCare. These costs are expected to be incurred within one year of the Spin-Off. Upon the Spin-Off, we will record a prepaid asset of approximately $75 million representing the value to be received from such development activities necessary for separation. The related non-cash non-recurring expense of approximately $75 million has been recorded in Selling, general and administrative for the year ended December 31,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Adjustments: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have elected to present management adjustments to the pro forma financial information and included all adjustments necessary for a fair statement of such information. Following the Spin-Off, we expect to incur incremental costs as a stand-alone entity in certain of our corporate support functions (e.g., finance, accounting, tax, treasury, IT, HR, and legal, among others). We received the benefit of economies of scale as a business unit within GE’s overall centralized model; however, in establishing these independent support functions, the expenses will be higher than the prior shared allocation.</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 stand-alone public company, we expect to incur certain costs in addition to those incurred pursuant to the Transition Services Agreement as described in note (q) and other transaction and autonomous entity adjustments noted above, including costs resulting from:</w:t>
      </w:r>
    </w:p>
    <w:p>
      <w:pPr>
        <w:spacing w:after="0" w:line="67" w:lineRule="exact"/>
        <w:rPr>
          <w:sz w:val="20"/>
          <w:szCs w:val="20"/>
          <w:color w:val="auto"/>
        </w:rPr>
      </w:pPr>
    </w:p>
    <w:p>
      <w:pPr>
        <w:ind w:left="1080" w:right="2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and non-recurring expenses associated with Spin-Off and stand-up of functions required to operate as a stand-alone public entity. These non-recurring costs primarily relate to system implementation costs, business and facilities separation, applicable employee related costs, development of our brand, and other matters; and.</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and ongoing costs required to operate new functions required for a public company such as external reporting, internal audit, treasury, investor relations, board of directors and officers,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82" w:lineRule="auto"/>
        <w:rPr>
          <w:sz w:val="20"/>
          <w:szCs w:val="20"/>
          <w:color w:val="auto"/>
        </w:rPr>
      </w:pPr>
      <w:r>
        <w:rPr>
          <w:rFonts w:ascii="Times New Roman" w:cs="Times New Roman" w:eastAsia="Times New Roman" w:hAnsi="Times New Roman"/>
          <w:sz w:val="18"/>
          <w:szCs w:val="18"/>
          <w:color w:val="auto"/>
        </w:rPr>
        <w:t>administration, and expanding the services of existing functions such as information technology, finance, supply chain, human resources, legal, tax, facilities, branding, security, government relations, community outreach, and insurance.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expect to incur these costs beginning at Spin-Off, with one-time costs expected to be incurred over a period of twelve to twenty-four months post Spin-Off.</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estimated that we would incur approximately $168 million of total expenses (including one-time expenses of approximately $66 million and estimated recurring expenses of $102 million) for the nine months ended September 30, 2022 and $341 million of total expenses (including one-time expenses of approximately $228 million and estimated recurring expenses of $113 million) for the year ended December 31, 2021.</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estimated these additional expenses by assessing the resources and associated one-time and recurring costs each function (e.g., finance, IT, HR, etc.) will require to stand up and operate GE HealthCare as a stand-alone public company. We expect to fill any shortfalls to the estimated required resources in addition to the services provided by GE under the Transition Services Agreement through additional hiring or incremental vendor and other third-party spend.</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additional expenses have been estimated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areas such as manufacturing, selling and marketing, research and development, information technology, and infrastructures.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2022</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 except share and per share amounts)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00" w:type="dxa"/>
            <w:vAlign w:val="bottom"/>
          </w:tcPr>
          <w:p>
            <w:pPr>
              <w:spacing w:after="0"/>
              <w:rPr>
                <w:sz w:val="13"/>
                <w:szCs w:val="13"/>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Basic earnings per</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Diluted earnings per</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78"/>
        </w:trPr>
        <w:tc>
          <w:tcPr>
            <w:tcW w:w="50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Unaudited pro forma condensed combined net income from</w:t>
            </w: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1,059</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Unaudited pro forma condensed combined net income from</w:t>
            </w:r>
          </w:p>
        </w:tc>
        <w:tc>
          <w:tcPr>
            <w:tcW w:w="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 attributable to GE HealthCare*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adjustments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5"/>
        </w:trPr>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Unaudited pro forma condensed combined net income from</w:t>
            </w:r>
          </w:p>
        </w:tc>
        <w:tc>
          <w:tcPr>
            <w:tcW w:w="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 attributable to GE HealthCare after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adjustments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899</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454,710,004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454,710,004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540" w:right="4860" w:hanging="5424"/>
        <w:spacing w:after="0"/>
        <w:tabs>
          <w:tab w:leader="none" w:pos="338" w:val="left"/>
        </w:tabs>
        <w:numPr>
          <w:ilvl w:val="0"/>
          <w:numId w:val="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shown in the Unaudited Pro Forma Condensed Combined Statement of Income 80</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 except share and per share amounts)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00" w:type="dxa"/>
            <w:vAlign w:val="bottom"/>
          </w:tcPr>
          <w:p>
            <w:pPr>
              <w:spacing w:after="0"/>
              <w:rPr>
                <w:sz w:val="13"/>
                <w:szCs w:val="13"/>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Basic earnings per</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Diluted earnings per</w:t>
            </w:r>
          </w:p>
        </w:tc>
        <w:tc>
          <w:tcPr>
            <w:tcW w:w="0" w:type="dxa"/>
            <w:vAlign w:val="bottom"/>
          </w:tcPr>
          <w:p>
            <w:pPr>
              <w:spacing w:after="0"/>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78"/>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Unaudited pro forma condensed combined net income from</w:t>
            </w: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1,187</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preferred dividend of redeemable noncontrolling interest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Unaudited pro forma condensed combined net income from</w:t>
            </w: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 attributable to GE HealthCare*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974</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adjustments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Unaudited pro forma condensed combined net income from</w:t>
            </w: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 attributable to GE HealthCare after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adjustments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714</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454,710,004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454,710,004</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540" w:right="4860" w:hanging="5424"/>
        <w:spacing w:after="0"/>
        <w:tabs>
          <w:tab w:leader="none" w:pos="338"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shown in the Unaudited Pro Forma Condensed Combined Statement of Income 81</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combined financial statements and corresponding notes, the unaudited condensed combined financial statements and corresponding notes, and the Unaudited Pro Forma Condensed Combined Financial Information and corresponding notes and other financial information included elsewhere in this prospectus.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prospectus, particularly in “Risk Factors.” Actual results may differ materially from these expectations. See “Cautionary Statement Concerning Forward-Looking Statements.” Certain columns and rows within tables may not add due to the use of rounded numbers.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 HealthCare is a leading global medical technology, pharmaceutical diagnostics, and digital solutions innovator. Our products, services, and solutions enable clinicians to make more informed decisions quickly and efficiently, improving patient care from diagnosis to therapy to monitoring. Our products are used to care for more than one billion patients annually, representing more than two billion procedures. Our customers include healthcare providers as well as researchers, including public, private, and academic institutions. We sell our products through a combination of a global sales force and a network of channel partners, including distributors and other third parties. We are organized into four business segments that are aligned with the industries we serve: Imaging, Ultrasound, PCS, and PDx. In the three months ended September 30, 2022, we generated Total revenues of $4,576 million, an increase of 6%, with Operating income of $605 million, a decrease of 7% from the three months ended September 30, 2021. In the nine months ended September 30, 2022, Total revenues were $13,403 million, an increase of 3%, with Operating income of $1,745 million, a decrease of 16% from the nine months ended September 30, 2021. In fiscal year 2021, we generated Total revenues of $17,585 million, an increase of 2% from 2020 and 6% from 2019, with Operating income of $2,795 million, an increase of 3% from 2020 and 32% from 2019.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Trends and Factors Impacting Our Performance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document titled “Risk Factors.” We focus on growing our total revenues, expanding margins, and generating cash.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Macro Healthcare Trends and Our Competitive Environment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Growing Adoption of Precision Health</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Patients and providers are increasingly focused on improving individual outcomes while enhancing the patient experience, containing costs, customizing care, and lowering the amount of time required to treat patients. Innovation in diagnostics, therapies, and patient monitoring is leading to the accelerated development of more precise and personalized care. Health systems recognize the power of precision health to deliver faster recoveries while avoiding costly complications.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Digitization of Healthcare</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Valuable healthcare data is increasingly being used to improve care across disease states, enhance the ability of clinicians to diagnose disease and treat patients, and improve clinical workflow efficiencies. Our future growth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5"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depends in part on our ability to leverage our portfolio to accelerate digital revenue streams, including delivering AI and analytics capabilities and expanding data management capabilities in a cost-effective way. We have allocated significant resources to digital innovation, including AI and machine learning, as we advance precision health. Accomplishing these goals depends on disciplined investment in our digital capabilities and the technical performance and customer adoption of our digital products.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Increasing Demand for Healthcare Services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Demographic trends such as an increasing proportion of the population over the age of 65, the increasing prevalence and treatment of chronic diseases, and growth of the middle class in emerging markets continue to increase demand for healthcare. There is an increasing focus on alternative sites of care, such as outpatient facilities, ambulatory surgical centers, physician’s offices, and professional care in the home to create capacity to meet this demand with a lower operating cost model. As healthcare systems transition to alternative sites of care, our results could be impacted. As such, we have begun to expand and will continue to invest in opportunities to grow our presence at alternative care sites.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Increasing Competition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regions and the industries we serve are highly competitive and regulated. We face significant competition from a wide range of companies including large, diversified companies with broad geographic footprints as well as smaller, more specialized companies including those with local expertise. Our business strength is predicated on our continued delivery of innovative solutions, including digital solutions, and industry-leading service capabilities. In order to compete in this environment, we allocate resources to drive innovation in our portfolio through new product launches, extend our global presence through investment in sales and service resources, and meet expected customer demand through: (i) internal research and development initiatives, (ii) strategic collaborations, and (iii) strategic investments and acquisitions.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Focus on Reducing Cost of Care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increased scrutiny on healthcare spending has placed pressure on GE HealthCare to lower pricing. The prices at which we sell our products and services and the profits we generate are dependent on the reliability of our products, our supplier network, and our ability to manage the inflationary effect of costs related to transportation and logistics, raw materials, electronics, and commodities. These trends may reduce our operating margins, which may be partially offset by offering premium precision health-enabling solutions to help reduce the overall cost of care delivery with better patient outcomes and workflow efficiency.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Political and Economic Instability</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some of the markets in which we operate may experience significant political or economic disruptions. For example, currency fluctuations or sanctions affecting one or more markets may adversely affect our results, including our ability to efficiently collect payments, manage our accounts, and secure key components. Further, one market may experience indirect, yet significant, economic impacts because of events in another market. Proactive channel management strategies and continued global operations with dual sourcing and manufacturing help mitigate these risks. Macroeconomic trends, such as higher inflation, rising interest rates, potential economic recession, or changes in fiscal or monetary policy may result in adverse impacts to our business. We continue to monitor the global economic environment and implement mitigating actions, such as adjusting the pricing of our products and services, actively managing costs, and proactively engaging with suppliers to secure key materials and components.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Impacts of Climate Change</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physical effects of climate change, as well as the legal and regulatory measures to address climate change, may negatively affect our business, cash flows, and results of operations in the medium- to long-term. The effects of a changing climate, both acute (such as heat waves, hurricanes, tornadoes, wildfire, or flooding)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and chronic (such as droughts or sea level changes) can adversely impact GE HealthCare’s plants, facilities, and operations, as well as disrupt our value chain, including our supply chains and distribution systems. In addition, increased temperatures and less predictable climate could affect the functioning of GE HealthCare’s products, as many medical and medical imaging devices need to remain within certain temperature ranges for optimal performance. Concern over climate change can also result in new or additional legal or regulatory requirements and commercial pressure from customers, with such efforts designed to reduce greenhouse gas emissions both from our products and operations and/or mitigate the effects of climate change on the environment (such as taxation of, or caps on the use of, carbon-based energy). Although it is difficult to predict any such new or additional legal or regulatory requirements and commercial pressures, including whether new laws or regulations are more stringent than current legal or regulatory requirements, GE HealthCare may experience increased compliance burdens and costs to meet the regulatory obligations as well as adverse impacts on suppliers and material sourcing.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31, 2020, we completed the sale of our BioPharma business to Danaher Corporation for total consideration of $20,718 million (after certain working capital adjustments) and incurred $185 million of cash payments directly associated with the transaction. The consideration consisted of $20,301 million in cash and $417 million of pension liabilities that were assumed by Danaher. We recognized a pre-tax gain of $12,782 million in 2020 as a result of the transaction. The decision to sell the BioPharma business was part of a strategic review of GE. The below results of discontinued operations and related cash flows all arose from the sale of the BioPharma business. The historical results of the BioPharma business have been reflected as discontinued operations in our audited combined financial statements through the date of the sale for all periods presented. See Note 18, “Discontinued Operations” to our audited combined financial statements.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Manufacturing, Sourcing, and Supply Chain Management</w:t>
      </w:r>
    </w:p>
    <w:p>
      <w:pPr>
        <w:spacing w:after="0" w:line="119"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Our suppliers must provide us with quality products in substantial quantities, in compliance with regulatory requirements, at acceptable costs and on a timely basis. Competition for resources throughout the supply chain, such as production and transportation capacities, has increased over the course of the last two years. Trends affecting the supply chain include the impact of increasing prices of labor, raw materials, and shipping as well as limitations on capacity. In addition, the announcement or imposition of any new or increased tariffs, duties, or taxes could adversely affect our supply chain.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COVID-19 pandemic impacted global economies, resulting in workforce and travel restrictions, supply chain and production disruptions, and reduced demand and spending across many sectors. GE HealthCare’s global scale and reach played a significant role in the COVID-19 response. We increased production of key imaging, critical care, and primary care products to fight the pandemic, selling ten times the volume of ventilator equipment and accessories in 2020 as compared to 2019, including through our collaboration with Ford to complete an emergency ventilator order from the U.S. Department of Health and Human Services. Factors related directly and indirectly to the COVID-19 pandemic have been impacting operations and financial performance at varying levels across our business. For details about impacts related to our business and our actions in response, refer to the respective segment sections below.</w:t>
      </w:r>
    </w:p>
    <w:p>
      <w:pPr>
        <w:spacing w:after="0" w:line="18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continue to actively monitor the pandemic and attempt to take steps to identify and mitigate the adverse impacts and risks to the business (including, but not limited to, employee health and safety, site shutdowns, workplace disruptions, and restrictions on the movement of people, raw materials, and goods) posed by the spread of COVID-19. We continue to take appropriate actions to promote the safety of our employees, customers, and other business partners, including, as required, by government authorities.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Russia and Ukraine Conflict</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implications related to Russia’s invasion of Ukraine, both short- and long-term, are difficult to predict. While we cannot estimate the broader impact of this conflict on our business due to the high degree of uncertainty related to the dynamic nature of these events and the numerous potentially destabilizing economic, political, and geopolitical developments stemming from this conflict, these two countries represent a small portion of our business. We had $141 million and $194 million of assets in or directly related to these two countries as of September 30, 2022, and December 31, 2021, respectively, none of which are subject to sanctions that impact the carrying value of the assets. We generated revenue of $241 million and $356 million in these two countries for the nine months ended September 30, 2022, and year ended December 31, 2021, respectively. The potential inability to repatriate earnings from these two countries will not have a material impact on the ability of GE HealthCare to operate.</w:t>
      </w:r>
    </w:p>
    <w:p>
      <w:pPr>
        <w:spacing w:after="0" w:line="189"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We continue to monitor the effects of Russia’s invasion of Ukraine, with the board of directors of GE overseeing and monitoring key risks, including the consideration of financial impact, cybersecurity risks, the applicability and effect of sanctions, and the employee base in Ukraine and Russia. The board of directors of the Company will assume oversight of these risks after completion of the Spin-Off and, with management, will continue to assess whether developments related to the conflict have had, or are reasonably likely to have, a material impact on the Company.</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Given the nature of our products, we do not believe that the current sanctions and other measures imposed by the U.S., European Union, and other countries preclude us from conducting business in Ukraine and Russia, as these sanctions provide for exemptions for medicines and medical devices. We have, however, discontinued sales and services to all military customers in Russia and, based on the ongoing review of our remaining activities in Russia, we continue sales and service to private medical institutions and certain government customers in Russia, such as government-owned hospitals, in accordance with applicable sanctions. With the current uncertainty in Russia and Ukraine and to ensure continuity of supply of our products and services to our customers, we are closely monitoring the performance of our suppliers and sub tier suppliers. In addition, we are monitoring the impact of the potential Russian oil supply and energy interruptions in Europe on the capacity of our facilities and of our suppliers. To mitigate these risks, we are utilizing strategic inventory of materials and finished goods and additional sources of supply.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revenues and operating profits vary from quarter to quarter. Revenues in the fourth quarter have historically been higher than in other quarters due to the spending patterns of our customers. In addition, Cash provided from operating activities is typically higher in the fourth quarter as inventories are lower as a result of higher revenues.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Transition to Standalone Company</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November 9, 2021, GE announced its plan to form three industry-leading, global public companies focused on the growth sectors of aviation, healthcare, and energy. The Spin-Off is expected to be completed through a tax-free pro rata distribution of at least 80.1% of the outstanding shares of common stock to GE stockholders.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Completion of the Spin-Off is subject to certain conditions which are described more fully under “The Spin-Off—Conditions to the Spin-Off,” including receipt of the tax opinions from the tax advisors to the effect that the distribution and certain related transactions will qualify as tax-free to GE and its stockholders under Sections 355 and 368 of the Code.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with GE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Historically, we have relied on GE to manage certain of our operations and provide us certain services, the costs of which have historically been either allocated or directly billed to us. Historical costs for such services may not necessarily reflect the actual expenses we would have incurred, or will incur, as an independent company. In connection with the Spin-Off, we entered into the Separation and Distribution Agreement with GE and we intend to enter into certain other agreements with GE, including a Transition Services Agreement, a Tax Matters Agreement, an Employee Matters Agreement, a Trademark License Agreement, and Intellectual Property Cross License Agreements, as described in “Certain Relationships and Related Person Transactions.” We generally expect to be able to utilize GE’s services for a transitional period following the Spin-Off before we replace these services over time with services supplied either internally or by third parties. The expenses for the services we will receive from GE initially and then internally or by third parties may vary from the historical costs directly billed and allocated to us for the same services. We will face challenges as we transition to becoming a stand-alone public company, including the establishment of new functions that were previously provided by GE. Addressing the needs that arise from becoming a stand-alone company will require significant resources, including time and attention from our senior management and others throughout the company. We will continue to monitor potential separation dis-synergies, as we may lose the benefit of the scale and buying power of GE, and we anticipate incurring one-time costs associated with the creating of our own capabilities.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Stand-Alone Company Expenses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Spin-Off, we will become subject to the requirements of the federal and state securities laws and stock exchange requirements. We will have to establish additional procedures and practices as a stand-alone public company. As a result, we will incur additional costs related to external reporting, internal audit, treasury, investor relations, board of directors and officers, and stock administration.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“Unaudited Pro Forma Condensed Combined Financial Statements” for additional details.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Pension and Other Benefit Related Liabilities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expect that approximately $5,059 million in net pension and other postretirement plan liabilities from GE sponsored plans will be transferred to us by GE; however, this amount may be different pursuant to the terms of the final agreement with GE. These plans will require cash funding. In the future, the expense and cash contributions we make may vary from those made by GE historically. While we anticipate that the GE Pension Plan in the U.S. will not require any contributions in the near future, other plans including the GE Supplementary Pension Plan and other retiree benefit plans will require cash funding, which we expect to be approximately $330 million in 2023. Please see “Unaudited Pro Forma Condensed Combined Financial Statements” for additional details. In addition to the GE sponsored plans, we also sponsor several pension and other postretirement plans that are recognized by us as liabilities and expenses. For additional detail regarding our pension policy and significant pension plans, please see the “Critical Accounting Estimates” section below and see Note 10, “Postretirement Benefit Plans” to the audited combined financial statements and Note 9, “Postretirement Benefit Plans,” to the unaudited condensed combined financial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to institute competitive compensation policies and programs as an independent public company. The expense for these policies and programs will increase from the compensation expense allocated by GE in our audited and unaudited combined financial statements and related notes, driven primarily by higher cash and stock compensation to retain employees and align more closely with industry peers. See “The Spin-Off—Treatment of Equity Awards” for additional details.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55"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Key Performance Measures</w:t>
      </w:r>
    </w:p>
    <w:p>
      <w:pPr>
        <w:spacing w:after="0" w:line="121" w:lineRule="exact"/>
        <w:rPr>
          <w:sz w:val="20"/>
          <w:szCs w:val="20"/>
          <w:color w:val="auto"/>
        </w:rPr>
      </w:pPr>
    </w:p>
    <w:p>
      <w:pPr>
        <w:ind w:left="120" w:right="60" w:firstLine="440"/>
        <w:spacing w:after="0" w:line="239" w:lineRule="auto"/>
        <w:rPr>
          <w:sz w:val="20"/>
          <w:szCs w:val="20"/>
          <w:color w:val="auto"/>
        </w:rPr>
      </w:pPr>
      <w:r>
        <w:rPr>
          <w:rFonts w:ascii="Times New Roman" w:cs="Times New Roman" w:eastAsia="Times New Roman" w:hAnsi="Times New Roman"/>
          <w:sz w:val="18"/>
          <w:szCs w:val="18"/>
          <w:color w:val="auto"/>
        </w:rPr>
        <w:t>Management reviews and analyzes several key performance measures including Total revenues, recurring revenue, Remaining Performance Obligations (“RPO”), Operating income, Net income attributable to GE HealthCare, and cash flow from operations. Management also reviews and analyzes Organic revenue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Adjusted Earnings Before Interest and Taxes (Adjusted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are non-GAAP financial measures. These measures are reviewed and analyzed in order to evaluate our business performance, identify trends affecting our business, allocate capital, and make strategic decisions, including those discussed below. 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in “Non-GAAP Financial Data” and below under “Non-GAAP Financial Measures.”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400" w:type="dxa"/>
            <w:vAlign w:val="bottom"/>
            <w:gridSpan w:val="9"/>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5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$4,576</w:t>
            </w:r>
          </w:p>
        </w:tc>
        <w:tc>
          <w:tcPr>
            <w:tcW w:w="1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$4,305</w:t>
            </w:r>
          </w:p>
        </w:tc>
        <w:tc>
          <w:tcPr>
            <w:tcW w:w="3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$13,403</w:t>
            </w:r>
          </w:p>
        </w:tc>
        <w:tc>
          <w:tcPr>
            <w:tcW w:w="3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$12,996</w:t>
            </w:r>
          </w:p>
        </w:tc>
        <w:tc>
          <w:tcPr>
            <w:tcW w:w="3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16" w:lineRule="auto"/>
        <w:rPr>
          <w:sz w:val="20"/>
          <w:szCs w:val="20"/>
          <w:color w:val="auto"/>
        </w:rPr>
      </w:pPr>
      <w:r>
        <w:rPr>
          <w:rFonts w:ascii="Times New Roman" w:cs="Times New Roman" w:eastAsia="Times New Roman" w:hAnsi="Times New Roman"/>
          <w:sz w:val="18"/>
          <w:szCs w:val="18"/>
          <w:color w:val="auto"/>
        </w:rPr>
        <w:t>Total revenues were $4,576 million for the three months ended September 30, 2022, an increase of $271 million, or 6% as reported and 10%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the three months ended September 30, 2021, primarily driven by increases in Imaging, Ultrasound, and PDx revenues. Total revenues were $13,403 million for the nine months ended September 30, 2022, an increase of $407 million, or 3% as reported and 6%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the nine months ended September 30, 2021, primarily driven by increases in Imaging and Ultrasound revenues. Refer to “Total Revenues” section below for further information.</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540" w:type="dxa"/>
            <w:vAlign w:val="bottom"/>
            <w:gridSpan w:val="7"/>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vMerge w:val="restart"/>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5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540" w:type="dxa"/>
            <w:vAlign w:val="bottom"/>
            <w:tcBorders>
              <w:bottom w:val="single" w:sz="8" w:color="auto"/>
            </w:tcBorders>
            <w:gridSpan w:val="7"/>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2021/2020</w:t>
            </w:r>
          </w:p>
        </w:tc>
        <w:tc>
          <w:tcPr>
            <w:tcW w:w="520" w:type="dxa"/>
            <w:vAlign w:val="bottom"/>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2020/2019</w:t>
            </w:r>
          </w:p>
        </w:tc>
        <w:tc>
          <w:tcPr>
            <w:tcW w:w="500" w:type="dxa"/>
            <w:vAlign w:val="bottom"/>
          </w:tcPr>
          <w:p>
            <w:pPr>
              <w:spacing w:after="0"/>
              <w:rPr>
                <w:sz w:val="6"/>
                <w:szCs w:val="6"/>
                <w:color w:val="auto"/>
              </w:rPr>
            </w:pPr>
          </w:p>
        </w:tc>
        <w:tc>
          <w:tcPr>
            <w:tcW w:w="124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 organic*</w:t>
            </w:r>
          </w:p>
        </w:tc>
        <w:tc>
          <w:tcPr>
            <w:tcW w:w="9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 organic*</w:t>
            </w:r>
          </w:p>
        </w:tc>
        <w:tc>
          <w:tcPr>
            <w:tcW w:w="0" w:type="dxa"/>
            <w:vAlign w:val="bottom"/>
          </w:tcPr>
          <w:p>
            <w:pPr>
              <w:spacing w:after="0"/>
              <w:rPr>
                <w:sz w:val="1"/>
                <w:szCs w:val="1"/>
                <w:color w:val="auto"/>
              </w:rPr>
            </w:pPr>
          </w:p>
        </w:tc>
      </w:tr>
      <w:tr>
        <w:trPr>
          <w:trHeight w:val="50"/>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320" w:type="dxa"/>
            <w:vAlign w:val="bottom"/>
            <w:vMerge w:val="restart"/>
          </w:tcPr>
          <w:p>
            <w:pPr>
              <w:spacing w:after="0"/>
              <w:rPr>
                <w:sz w:val="4"/>
                <w:szCs w:val="4"/>
                <w:color w:val="auto"/>
              </w:rPr>
            </w:pPr>
          </w:p>
        </w:tc>
        <w:tc>
          <w:tcPr>
            <w:tcW w:w="60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6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36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5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$17,164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$16,633</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09" w:lineRule="auto"/>
        <w:rPr>
          <w:sz w:val="20"/>
          <w:szCs w:val="20"/>
          <w:color w:val="auto"/>
        </w:rPr>
      </w:pPr>
      <w:r>
        <w:rPr>
          <w:rFonts w:ascii="Times New Roman" w:cs="Times New Roman" w:eastAsia="Times New Roman" w:hAnsi="Times New Roman"/>
          <w:sz w:val="18"/>
          <w:szCs w:val="18"/>
          <w:color w:val="auto"/>
        </w:rPr>
        <w:t>Total revenues were $17,585 million in 2021, an increase of $421 million, or 2% as reported and 1%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2020 primarily driven by increases in Imaging, Ultrasound, and PDx revenues, partially offset by a decrease in PCS revenue. Total revenues were $17,164 million in 2020, increasing $531 million, or 3% as reported and 4%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2019 primarily driven by an increase in PCS revenue, partially offset by decreases in Imaging, Ultrasound, and PDx revenues. Refer to “Total Revenues” section below for further information.</w:t>
      </w:r>
    </w:p>
    <w:p>
      <w:pPr>
        <w:spacing w:after="0" w:line="19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Approximately 50% of our Total revenues in the three months ended September 30, 2022, the nine months ended September 30, 2022, and the fiscal years 2021, 2020, and 2019, was derived from services, single-use and consumable products, digital solutions, and value-added offerings such as education, training, and consulting. Management considers these revenues to be recurring in nature because our service and license revenues are largely based on longer term agreements, and products that are single-use and/or consumable, such as our imaging agents, are used as an integral part of patient procedures. While we believe that these characteristics provide visibility and insights into future revenues, such revenues are not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340" w:hanging="224"/>
        <w:spacing w:after="0"/>
        <w:tabs>
          <w:tab w:leader="none" w:pos="34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in millions</w:t>
            </w:r>
            <w:r>
              <w:rPr>
                <w:rFonts w:ascii="Times New Roman" w:cs="Times New Roman" w:eastAsia="Times New Roman" w:hAnsi="Times New Roman"/>
                <w:sz w:val="14"/>
                <w:szCs w:val="14"/>
                <w:b w:val="1"/>
                <w:bCs w:val="1"/>
                <w:color w:val="auto"/>
              </w:rPr>
              <w:t>)</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20" w:type="dxa"/>
            <w:vAlign w:val="bottom"/>
            <w:gridSpan w:val="2"/>
            <w:vMerge w:val="continue"/>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2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2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vMerge w:val="continue"/>
            <w:shd w:val="clear" w:color="auto" w:fill="CCEEFF"/>
          </w:tcPr>
          <w:p>
            <w:pPr>
              <w:spacing w:after="0"/>
              <w:rPr>
                <w:sz w:val="18"/>
                <w:szCs w:val="18"/>
                <w:color w:val="auto"/>
              </w:rPr>
            </w:pPr>
          </w:p>
        </w:tc>
        <w:tc>
          <w:tcPr>
            <w:tcW w:w="2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6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RPO</w:t>
            </w:r>
          </w:p>
        </w:tc>
        <w:tc>
          <w:tcPr>
            <w:tcW w:w="25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14,026</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14,571</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September 30, 2022, decreased 4% to $14,026 million from December 31, 2021, primarily due to timing of service contract renewals in the U.S., partially offset by an increase in product orders in the U.S. and Europe.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6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60" w:type="dxa"/>
            <w:vAlign w:val="bottom"/>
          </w:tcPr>
          <w:p>
            <w:pPr>
              <w:spacing w:after="0"/>
              <w:rPr>
                <w:sz w:val="15"/>
                <w:szCs w:val="15"/>
                <w:color w:val="auto"/>
              </w:rPr>
            </w:pPr>
          </w:p>
        </w:tc>
      </w:tr>
      <w:tr>
        <w:trPr>
          <w:trHeight w:val="142"/>
        </w:trPr>
        <w:tc>
          <w:tcPr>
            <w:tcW w:w="3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2"/>
                <w:szCs w:val="12"/>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8,948</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3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RPO</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14,571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13,192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6"/>
              </w:rPr>
              <w:t>12,857</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
        </w:trPr>
        <w:tc>
          <w:tcPr>
            <w:tcW w:w="3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RPO as of December 31, 2021, increased 10% to $14,571 million from December 31, 2020, due to higher product RPO driven by strong orders growth across all regions, notably China and U.S., as well as supply chain challenges in converting RPO to revenues and higher service RPO from new service contracts and renewals with large customers. RPO as of December 31, 2020, increased 3% to $13,192 million from December 31, 2019, primarily due to service contract growth driven by Europe and China, partially offset by lower product orders volume driven by Rest of World.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4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80" w:type="dxa"/>
            <w:vAlign w:val="bottom"/>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$ 653</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$ 1,745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$ 2,068</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w:t>
            </w:r>
            <w:r>
              <w:rPr>
                <w:rFonts w:ascii="Times New Roman" w:cs="Times New Roman" w:eastAsia="Times New Roman" w:hAnsi="Times New Roman"/>
                <w:sz w:val="25"/>
                <w:szCs w:val="25"/>
                <w:color w:val="auto"/>
                <w:vertAlign w:val="superscript"/>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779</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2,017</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 HealthCare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514</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1,362</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55"/>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572</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1,507</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20" w:right="80" w:firstLine="440"/>
        <w:spacing w:after="0" w:line="232" w:lineRule="auto"/>
        <w:rPr>
          <w:sz w:val="20"/>
          <w:szCs w:val="20"/>
          <w:color w:val="auto"/>
        </w:rPr>
      </w:pPr>
      <w:r>
        <w:rPr>
          <w:rFonts w:ascii="Times New Roman" w:cs="Times New Roman" w:eastAsia="Times New Roman" w:hAnsi="Times New Roman"/>
          <w:sz w:val="18"/>
          <w:szCs w:val="18"/>
          <w:color w:val="auto"/>
        </w:rPr>
        <w:t>Operating income decreased $48 million or 7% for the three months ended September 30, 2022, from $653 million in the three months ended September 30, 2021. 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$79 million or 10% for the three months ended September 30, 2022, from $779 million in the three months ended September 30, 2021. This was mainly attributable to inflationary cost pressures and increases in R&amp;D investments, partially offset by an increase in Total revenues, including higher pricing of several of our products. Operating income decreased $323 million or 16% for the nine months ended September 30, 2022, from $2,068 million in the nine months ended September 30, 2021. 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$328 million or 14% for the nine months ended September 30, 2022, from $2,345 million in the nine months ended September 30, 2021. This was mainly attributable to inflationary cost pressures and increases in R&amp;D and SG&amp;A investments, partially offset by an increase in Total revenues. Refer to the “Operating Income and 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section below for further information.</w:t>
      </w:r>
    </w:p>
    <w:p>
      <w:pPr>
        <w:spacing w:after="0" w:line="77" w:lineRule="exact"/>
        <w:rPr>
          <w:sz w:val="20"/>
          <w:szCs w:val="20"/>
          <w:color w:val="auto"/>
        </w:rPr>
      </w:pPr>
    </w:p>
    <w:p>
      <w:pPr>
        <w:ind w:left="120" w:right="60" w:firstLine="440"/>
        <w:spacing w:after="0" w:line="233" w:lineRule="auto"/>
        <w:rPr>
          <w:sz w:val="20"/>
          <w:szCs w:val="20"/>
          <w:color w:val="auto"/>
        </w:rPr>
      </w:pPr>
      <w:r>
        <w:rPr>
          <w:rFonts w:ascii="Times New Roman" w:cs="Times New Roman" w:eastAsia="Times New Roman" w:hAnsi="Times New Roman"/>
          <w:sz w:val="18"/>
          <w:szCs w:val="18"/>
          <w:color w:val="auto"/>
        </w:rPr>
        <w:t>Net income attributable to GE HealthCare decreased $27 million or 5% for the three months ended September 30, 2022, from $514 million in the three months ended September 30, 2021.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$26 million or 5% for the three months ended September 30, 2022, from $572 million in the three months ended September 30, 2021. This was mainly attributable to a decrease in Operating income partially offset by a decrease in Provision for income taxes, primarily due to lower income before taxes and tax impacts of foreign operations. Net income attributable to GE HealthCare decreased $321 million or 19% for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2" w:lineRule="exact"/>
        <w:rPr>
          <w:sz w:val="20"/>
          <w:szCs w:val="20"/>
          <w:color w:val="auto"/>
        </w:rPr>
      </w:pPr>
    </w:p>
    <w:p>
      <w:pPr>
        <w:ind w:left="340" w:hanging="224"/>
        <w:spacing w:after="0"/>
        <w:tabs>
          <w:tab w:leader="none" w:pos="34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09" w:lineRule="auto"/>
        <w:rPr>
          <w:sz w:val="20"/>
          <w:szCs w:val="20"/>
          <w:color w:val="auto"/>
        </w:rPr>
      </w:pPr>
      <w:r>
        <w:rPr>
          <w:rFonts w:ascii="Times New Roman" w:cs="Times New Roman" w:eastAsia="Times New Roman" w:hAnsi="Times New Roman"/>
          <w:sz w:val="18"/>
          <w:szCs w:val="18"/>
          <w:color w:val="auto"/>
        </w:rPr>
        <w:t>ended September 30, 2022, from $1,683 million in the nine months ended September 30, 2021.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$223 million or 13% for the nine months ended September 30, 2022, from $1,730 million in the nine months ended September 30, 2021. This was mainly attributable to a decrease in Operating income. Refer to the “Net Income Attributable to GE HealthCare and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section below for further information.</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6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152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$2,795</w:t>
            </w:r>
          </w:p>
        </w:tc>
        <w:tc>
          <w:tcPr>
            <w:tcW w:w="4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$ 2,720</w:t>
            </w:r>
          </w:p>
        </w:tc>
        <w:tc>
          <w:tcPr>
            <w:tcW w:w="4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$2,124</w:t>
            </w:r>
          </w:p>
        </w:tc>
        <w:tc>
          <w:tcPr>
            <w:tcW w:w="4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w:t>
            </w:r>
            <w:r>
              <w:rPr>
                <w:rFonts w:ascii="Times New Roman" w:cs="Times New Roman" w:eastAsia="Times New Roman" w:hAnsi="Times New Roman"/>
                <w:sz w:val="25"/>
                <w:szCs w:val="25"/>
                <w:color w:val="auto"/>
                <w:vertAlign w:val="superscript"/>
              </w:rPr>
              <w:t>*</w:t>
            </w:r>
          </w:p>
        </w:tc>
        <w:tc>
          <w:tcPr>
            <w:tcW w:w="2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3,172</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2,981</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2,492</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 HealthCare</w:t>
            </w:r>
          </w:p>
        </w:tc>
        <w:tc>
          <w:tcPr>
            <w:tcW w:w="2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2,247</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13,846</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1,524</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35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w:t>
            </w:r>
          </w:p>
        </w:tc>
        <w:tc>
          <w:tcPr>
            <w:tcW w:w="2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2,347</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2,121</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1,892</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20" w:right="60" w:firstLine="440"/>
        <w:spacing w:after="0" w:line="232" w:lineRule="auto"/>
        <w:rPr>
          <w:sz w:val="20"/>
          <w:szCs w:val="20"/>
          <w:color w:val="auto"/>
        </w:rPr>
      </w:pPr>
      <w:r>
        <w:rPr>
          <w:rFonts w:ascii="Times New Roman" w:cs="Times New Roman" w:eastAsia="Times New Roman" w:hAnsi="Times New Roman"/>
          <w:sz w:val="17"/>
          <w:szCs w:val="17"/>
          <w:color w:val="auto"/>
        </w:rPr>
        <w:t>Operating income increased $75 million or 3% in 2021 from $2,720 million in 2020. This was mainly attributable to an increase in Total revenues and cost productivity benefits, partially offset by inflation and an increase in SG&amp;A expenses. Adjusted EBIT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increased $191 million or 6% in 2021 from $2,981 million in 2020 due to an increase in Operating income and Other (income) expense – net driven by a favorable impact from foreign currency and commodity hedges as compared to 2020. Operating income increased $596 million or 28% in 2020 from $2,124 million in 2019. Adjusted EBIT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increased $489 million or 20% in 2020 from $2,492 million in 2019. This was mainly attributable to an increase in Total revenues, cost control, and productivity benefits, partially offset by inflation and product mix. Refer to the “Operating income” section below for further information.</w:t>
      </w:r>
    </w:p>
    <w:p>
      <w:pPr>
        <w:spacing w:after="0" w:line="200" w:lineRule="exact"/>
        <w:rPr>
          <w:sz w:val="20"/>
          <w:szCs w:val="20"/>
          <w:color w:val="auto"/>
        </w:rPr>
      </w:pPr>
    </w:p>
    <w:p>
      <w:pPr>
        <w:ind w:left="120" w:right="120" w:firstLine="440"/>
        <w:spacing w:after="0" w:line="232" w:lineRule="auto"/>
        <w:rPr>
          <w:sz w:val="20"/>
          <w:szCs w:val="20"/>
          <w:color w:val="auto"/>
        </w:rPr>
      </w:pPr>
      <w:r>
        <w:rPr>
          <w:rFonts w:ascii="Times New Roman" w:cs="Times New Roman" w:eastAsia="Times New Roman" w:hAnsi="Times New Roman"/>
          <w:sz w:val="18"/>
          <w:szCs w:val="18"/>
          <w:color w:val="auto"/>
        </w:rPr>
        <w:t>Net income attributable to GE HealthCare decreased $11,599 million or 84% in 2021 from $13,846 million in 2020. This was mainly attributable to the sale of BioPharma, resulting in a decrease of $11,821 million in income from discontinued operations, net of taxes.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$226 million or 11% in 2021 from $2,121 million in 2020. This was mainly attributable to an increase in Operating income, increase in Other (income) expense – net, lower Provision for income taxes, and lower Interest and other financial charges – net. Net income attributable to GE HealthCare increased $12,322 million or 809% in 2020 from $1,524 million in 2019. This was mainly attributable to an increase in Income from discontinued operations, net of taxes of $11,967 million driven by the sale of BioPharma in 2020.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$229 million or 12% in 2020 from $1,892 million in 2019. This was mainly attributable to an increase in Operating income, partially offset by a higher Provision for income taxes. See “Net Income Attributable to GE HealthCare and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below for further information.</w:t>
      </w:r>
    </w:p>
    <w:p>
      <w:pPr>
        <w:spacing w:after="0" w:line="9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6"/>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100" w:type="dxa"/>
            <w:vAlign w:val="bottom"/>
            <w:tcBorders>
              <w:top w:val="single" w:sz="8" w:color="auto"/>
            </w:tcBorders>
            <w:gridSpan w:val="2"/>
          </w:tcPr>
          <w:p>
            <w:pPr>
              <w:jc w:val="center"/>
              <w:ind w:left="4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(used for) operating activities — continuing operations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1,071</w:t>
            </w: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$ 1,618</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100" w:type="dxa"/>
            <w:vAlign w:val="bottom"/>
            <w:gridSpan w:val="2"/>
          </w:tcPr>
          <w:p>
            <w:pPr>
              <w:jc w:val="center"/>
              <w:ind w:left="479"/>
              <w:spacing w:after="0"/>
              <w:rPr>
                <w:sz w:val="20"/>
                <w:szCs w:val="20"/>
                <w:color w:val="auto"/>
              </w:rPr>
            </w:pPr>
            <w:r>
              <w:rPr>
                <w:rFonts w:ascii="Times New Roman" w:cs="Times New Roman" w:eastAsia="Times New Roman" w:hAnsi="Times New Roman"/>
                <w:sz w:val="18"/>
                <w:szCs w:val="18"/>
                <w:color w:val="auto"/>
                <w:w w:val="99"/>
              </w:rPr>
              <w:t>$ 2,275</w:t>
            </w:r>
          </w:p>
        </w:tc>
        <w:tc>
          <w:tcPr>
            <w:tcW w:w="5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20" w:right="20" w:firstLine="440"/>
        <w:spacing w:after="0" w:line="239" w:lineRule="auto"/>
        <w:rPr>
          <w:sz w:val="20"/>
          <w:szCs w:val="20"/>
          <w:color w:val="auto"/>
        </w:rPr>
      </w:pPr>
      <w:r>
        <w:rPr>
          <w:rFonts w:ascii="Times New Roman" w:cs="Times New Roman" w:eastAsia="Times New Roman" w:hAnsi="Times New Roman"/>
          <w:sz w:val="18"/>
          <w:szCs w:val="18"/>
          <w:color w:val="auto"/>
        </w:rPr>
        <w:t>Cash generated from operating activities – continuing operations decreased 34% to $1,071 million for the nine months ended September 30, 2022, from $1,618 million for the nine months ended September 30, 2021. Cash generated in the nine months ended September 30, 2022, was lower as compared to the nine months ended September 30, 2021, primarily driven by an increase in receivables excluding the impact of factoring programs, a decrease in Net income from continuing operations, an increase in inventory mainly due to inventory build to meet demand in the fourth quarter and into 2023, higher cash taxes paid mainly due to mandatory capitalization of research and development costs under the Tax Cuts and Jobs Act (“TCJA”) beginning in 2022, and an increase in contract and other deferred costs, partially offset by $816 million lower impact of factoring programs.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63% to $841 million for the nine months ended September 30, 2022, from $2,275 million for the nine months ended September 30, 2021, primarily driven by an increase in receivables excluding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7715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4" w:lineRule="exact"/>
        <w:rPr>
          <w:sz w:val="20"/>
          <w:szCs w:val="20"/>
          <w:color w:val="auto"/>
        </w:rPr>
      </w:pPr>
    </w:p>
    <w:p>
      <w:pPr>
        <w:ind w:left="340" w:hanging="224"/>
        <w:spacing w:after="0"/>
        <w:tabs>
          <w:tab w:leader="none" w:pos="340" w:val="left"/>
        </w:tabs>
        <w:numPr>
          <w:ilvl w:val="0"/>
          <w:numId w:val="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impact of factoring programs, a decrease in Net income from continuing operations, an increase in inventory mainly due to inventory build to meet demand in the fourth quarter and into 2023, higher cash taxes paid mainly due to mandatory capitalization of research and development costs under the TCJA beginning in 2022, and an increase in contract and other deferred costs.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7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6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20" w:type="dxa"/>
            <w:vAlign w:val="bottom"/>
          </w:tcPr>
          <w:p>
            <w:pPr>
              <w:spacing w:after="0"/>
              <w:rPr>
                <w:sz w:val="12"/>
                <w:szCs w:val="12"/>
                <w:color w:val="auto"/>
              </w:rPr>
            </w:pPr>
          </w:p>
        </w:tc>
        <w:tc>
          <w:tcPr>
            <w:tcW w:w="1240" w:type="dxa"/>
            <w:vAlign w:val="bottom"/>
            <w:gridSpan w:val="2"/>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(used for) operating activities—continuing operations</w:t>
            </w: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$2,618</w:t>
            </w:r>
          </w:p>
        </w:tc>
        <w:tc>
          <w:tcPr>
            <w:tcW w:w="4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$1,838</w:t>
            </w:r>
          </w:p>
        </w:tc>
        <w:tc>
          <w:tcPr>
            <w:tcW w:w="42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5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w:t>
            </w: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$2,827</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$2,463</w:t>
            </w: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$1,900</w:t>
            </w: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20" w:firstLine="440"/>
        <w:spacing w:after="0" w:line="228" w:lineRule="auto"/>
        <w:rPr>
          <w:sz w:val="20"/>
          <w:szCs w:val="20"/>
          <w:color w:val="auto"/>
        </w:rPr>
      </w:pPr>
      <w:r>
        <w:rPr>
          <w:rFonts w:ascii="Times New Roman" w:cs="Times New Roman" w:eastAsia="Times New Roman" w:hAnsi="Times New Roman"/>
          <w:sz w:val="18"/>
          <w:szCs w:val="18"/>
          <w:color w:val="auto"/>
        </w:rPr>
        <w:t>Cash generated from operating activities – continuing operations decreased 39% to $1,607 million in 2021 from $2,618 million in 2020 and increased 42% in 2020 from $1,838 million in 2019. Cash generated in 2021 was lower as compared to 2020 primarily driven by $1,365 million higher impact of factoring programs in 2021 as compared to 2020, an increase in inventory due to supply chain constraints, a decrease in contract liabilities, partially offset by an increase in accounts payable, a decrease in receivables excluding the impact of factoring programs, and an increase in Net income from continuing operations. Cash generated in 2020 was higher as compared to 2019 primarily due to an increase in Net income from continuing operations, an increase in contract liabilities primarily driven by progress collections due to COVID-19 orders, a lower impact of factoring in 2020 as compared to 2019, an improvement in inventory balances, and $77 million of non-repeat cash outflows in 2019 related to activities of the planned initial public offering (“IPO”) of GE’s Healthcare business.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15% to $2,827 million in 2021 from $2,463 million in 2020 and increased 30% in 2020 from $1,900 million in 2019.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in 2021 due to an increase in accounts payable, a decrease in receivables excluding the impact of factoring programs, and an increase in Net income from continuing operations, partially offset by an increase in inventory due to supply chain constraints and decrease in contract liabilities.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in 2020 due to an increase in Net income from continuing operations, an increase in contract liabilities primarily driven by progress collections due to COVID-19 orders, an improvement in inventory balances, and $77 million of non-repeat cash outflows in 2019 related to activities of the planned IPO of GE’s Healthcare business.</w:t>
      </w:r>
    </w:p>
    <w:p>
      <w:pPr>
        <w:spacing w:after="0" w:line="31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2022, compared with the three and nine months ended September 30, 2021</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each of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20" w:type="dxa"/>
            <w:vAlign w:val="bottom"/>
          </w:tcPr>
          <w:p>
            <w:pPr>
              <w:spacing w:after="0"/>
              <w:rPr>
                <w:sz w:val="15"/>
                <w:szCs w:val="15"/>
                <w:color w:val="auto"/>
              </w:rPr>
            </w:pPr>
          </w:p>
        </w:tc>
        <w:tc>
          <w:tcPr>
            <w:tcW w:w="16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2420" w:type="dxa"/>
            <w:vAlign w:val="bottom"/>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2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$ 3,012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$ 2,698</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$ 8,702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2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4,305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13,403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12,996</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24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5,247</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914</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1,114</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3,502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3,244</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54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benefit (income) costs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622</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677</w:t>
            </w: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1,794</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2,120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(412)</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493</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517</w:t>
            </w: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1,382</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493</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527</w:t>
            </w: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1,394</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1,717</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  487</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514</w:t>
            </w: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1,362</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1,683</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Segment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8"/>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5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0"/>
                <w:szCs w:val="10"/>
                <w:b w:val="1"/>
                <w:bCs w:val="1"/>
                <w:color w:val="auto"/>
              </w:rPr>
              <w:t>*</w:t>
            </w:r>
          </w:p>
        </w:tc>
        <w:tc>
          <w:tcPr>
            <w:tcW w:w="60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60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3"/>
        </w:trPr>
        <w:tc>
          <w:tcPr>
            <w:tcW w:w="37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revenue</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$2,516</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$2,351</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$ 7,276</w:t>
            </w:r>
          </w:p>
        </w:tc>
        <w:tc>
          <w:tcPr>
            <w:tcW w:w="3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$ 6,996</w:t>
            </w:r>
          </w:p>
        </w:tc>
        <w:tc>
          <w:tcPr>
            <w:tcW w:w="220" w:type="dxa"/>
            <w:vAlign w:val="bottom"/>
          </w:tcPr>
          <w:p>
            <w:pPr>
              <w:spacing w:after="0"/>
              <w:rPr>
                <w:sz w:val="18"/>
                <w:szCs w:val="18"/>
                <w:color w:val="auto"/>
              </w:rPr>
            </w:pPr>
          </w:p>
        </w:tc>
        <w:tc>
          <w:tcPr>
            <w:tcW w:w="7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Ultrasound</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823</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735</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2,274</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PCS</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701</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708</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3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2,180</w:t>
            </w:r>
          </w:p>
        </w:tc>
        <w:tc>
          <w:tcPr>
            <w:tcW w:w="2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PDx</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522</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504</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4,576</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4,305</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13,403</w:t>
            </w: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12,996</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660" w:hanging="424"/>
        <w:spacing w:after="0" w:line="28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by Region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940" w:type="dxa"/>
            <w:vAlign w:val="bottom"/>
          </w:tcPr>
          <w:p>
            <w:pPr>
              <w:spacing w:after="0"/>
              <w:rPr>
                <w:sz w:val="15"/>
                <w:szCs w:val="15"/>
                <w:color w:val="auto"/>
              </w:rPr>
            </w:pPr>
          </w:p>
        </w:tc>
        <w:tc>
          <w:tcPr>
            <w:tcW w:w="292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vMerge w:val="continue"/>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USCAN</w:t>
            </w:r>
          </w:p>
        </w:tc>
        <w:tc>
          <w:tcPr>
            <w:tcW w:w="3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$ 1,839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4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1,144</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1,069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3,267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region</w:t>
            </w:r>
          </w:p>
        </w:tc>
        <w:tc>
          <w:tcPr>
            <w:tcW w:w="4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668</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730</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737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2,232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$ 4,576</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$ 4,305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13,403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12,996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from China, Taiwan, Mongolia, and Hong Kong.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2022</w:t>
      </w:r>
    </w:p>
    <w:p>
      <w:pPr>
        <w:spacing w:after="0" w:line="119" w:lineRule="exact"/>
        <w:rPr>
          <w:sz w:val="20"/>
          <w:szCs w:val="20"/>
          <w:color w:val="auto"/>
        </w:rPr>
      </w:pPr>
    </w:p>
    <w:p>
      <w:pPr>
        <w:ind w:left="120" w:firstLine="440"/>
        <w:spacing w:after="0" w:line="224" w:lineRule="auto"/>
        <w:rPr>
          <w:sz w:val="20"/>
          <w:szCs w:val="20"/>
          <w:color w:val="auto"/>
        </w:rPr>
      </w:pPr>
      <w:r>
        <w:rPr>
          <w:rFonts w:ascii="Times New Roman" w:cs="Times New Roman" w:eastAsia="Times New Roman" w:hAnsi="Times New Roman"/>
          <w:sz w:val="18"/>
          <w:szCs w:val="18"/>
          <w:color w:val="auto"/>
        </w:rPr>
        <w:t>Total revenues increased $271 million, or 6% as reported and 10%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primarily due to an increase in sales of products. Sales of products increased by $314 million or 12% driven by strong growth in Imaging, Ultrasound, and PDx revenues, partially offset by unfavorable impact from foreign currency changes. Sales of</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services decreased by $43 million or 3% due to an unfavorable impact from foreign currency changes, partially offset by continued growth in our service revenues.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segment revenue performance was as follows:</w:t>
      </w:r>
    </w:p>
    <w:p>
      <w:pPr>
        <w:spacing w:after="0" w:line="131" w:lineRule="exact"/>
        <w:rPr>
          <w:sz w:val="20"/>
          <w:szCs w:val="20"/>
          <w:color w:val="auto"/>
        </w:rPr>
      </w:pPr>
    </w:p>
    <w:p>
      <w:pPr>
        <w:jc w:val="both"/>
        <w:ind w:left="1080" w:right="100" w:hanging="424"/>
        <w:spacing w:after="0" w:line="224"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revenue increased $165 million, or 7% as reported and 12%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strong growth in MR and Image-Guided Therapies products due to improved supply chain performance in fulfilling customer demand and new product introductions;</w:t>
      </w:r>
    </w:p>
    <w:p>
      <w:pPr>
        <w:spacing w:after="0" w:line="104" w:lineRule="exact"/>
        <w:rPr>
          <w:rFonts w:ascii="Times New Roman" w:cs="Times New Roman" w:eastAsia="Times New Roman" w:hAnsi="Times New Roman"/>
          <w:sz w:val="18"/>
          <w:szCs w:val="18"/>
          <w:color w:val="auto"/>
        </w:rPr>
      </w:pPr>
    </w:p>
    <w:p>
      <w:pPr>
        <w:ind w:left="1080" w:right="60" w:hanging="424"/>
        <w:spacing w:after="0" w:line="224"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revenue increased $88 million, or 12% as reported basis and 11%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strong growth across General Imaging, Women’s Health, and Handheld products due to new product introductions and improved supply chain performance across the portfolio compared to a much-constrained environment in the prior year;</w:t>
      </w:r>
    </w:p>
    <w:p>
      <w:pPr>
        <w:spacing w:after="0" w:line="104" w:lineRule="exact"/>
        <w:rPr>
          <w:rFonts w:ascii="Times New Roman" w:cs="Times New Roman" w:eastAsia="Times New Roman" w:hAnsi="Times New Roman"/>
          <w:sz w:val="18"/>
          <w:szCs w:val="18"/>
          <w:color w:val="auto"/>
        </w:rPr>
      </w:pPr>
    </w:p>
    <w:p>
      <w:pPr>
        <w:ind w:left="1080" w:right="180" w:hanging="424"/>
        <w:spacing w:after="0" w:line="209"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segment revenue decreased $7 million, or 1% as reported and increased 2%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reported revenue decreased due to unfavorable impact from foreign currency changes, partially offset by organic revenue 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Organic revenue 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mainly attributable to growth in Anesthesia and Maternal Infant Care products due to improved supply chain performance in fulfilling customer demand, partially offset by a decrease in ventilator sales; and</w:t>
      </w:r>
    </w:p>
    <w:p>
      <w:pPr>
        <w:spacing w:after="0" w:line="104" w:lineRule="exact"/>
        <w:rPr>
          <w:rFonts w:ascii="Times New Roman" w:cs="Times New Roman" w:eastAsia="Times New Roman" w:hAnsi="Times New Roman"/>
          <w:sz w:val="18"/>
          <w:szCs w:val="18"/>
          <w:color w:val="auto"/>
        </w:rPr>
      </w:pPr>
    </w:p>
    <w:p>
      <w:pPr>
        <w:ind w:left="1080" w:right="40" w:hanging="424"/>
        <w:spacing w:after="0" w:line="213"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revenue increased $18 million, or 4% as reported and 10%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strong sales volume growth partially offset by price reduction in China.</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regional revenue performance was as follows:</w:t>
      </w:r>
    </w:p>
    <w:p>
      <w:pPr>
        <w:spacing w:after="0" w:line="131" w:lineRule="exact"/>
        <w:rPr>
          <w:sz w:val="20"/>
          <w:szCs w:val="20"/>
          <w:color w:val="auto"/>
        </w:rPr>
      </w:pPr>
    </w:p>
    <w:p>
      <w:pPr>
        <w:ind w:left="1080" w:right="440" w:hanging="424"/>
        <w:spacing w:after="0" w:line="282" w:lineRule="auto"/>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USCAN revenue increased 11%. This was attributable to strong growth across all segments as well as the acquisition of BK Medical within Ultrasound;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revenue increased 7%. This was mainly attributable to growth in Imaging and Ultrasound revenues including the acquisition of BK Medical within Ultrasound, partially offset by a decrease in PCS and PDx revenues and unfavorable impact from foreign currency changes;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region revenue increased 1%. This was mainly attributable to growth in Ultrasound, PCS, and Imaging revenues, partially offset by unfavorable impact from foreign currency changes and a decrease in PDx revenues;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 of World revenue decreased 1%. This was mainly attributable to an unfavorable impact from foreign currency changes and a decrease in PCS revenues, partially offset by growth in Imaging and Ultrasound segments.</w:t>
      </w:r>
    </w:p>
    <w:p>
      <w:pPr>
        <w:spacing w:after="0" w:line="188"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Non-GAAP financial measure.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2022</w:t>
      </w:r>
    </w:p>
    <w:p>
      <w:pPr>
        <w:spacing w:after="0" w:line="119" w:lineRule="exact"/>
        <w:rPr>
          <w:sz w:val="20"/>
          <w:szCs w:val="20"/>
          <w:color w:val="auto"/>
        </w:rPr>
      </w:pPr>
    </w:p>
    <w:p>
      <w:pPr>
        <w:ind w:left="120" w:right="40" w:firstLine="440"/>
        <w:spacing w:after="0" w:line="224" w:lineRule="auto"/>
        <w:rPr>
          <w:sz w:val="20"/>
          <w:szCs w:val="20"/>
          <w:color w:val="auto"/>
        </w:rPr>
      </w:pPr>
      <w:r>
        <w:rPr>
          <w:rFonts w:ascii="Times New Roman" w:cs="Times New Roman" w:eastAsia="Times New Roman" w:hAnsi="Times New Roman"/>
          <w:sz w:val="18"/>
          <w:szCs w:val="18"/>
          <w:color w:val="auto"/>
        </w:rPr>
        <w:t>Total revenues increased $407 million, or 3% as reported and 6%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due to an increase in Sales of products of $493 million or 6% primarily driven by increases in Imaging and Ultrasound revenues. Sales of services decreased by $86 million or 2% due to an unfavorable impact from foreign currency changes, partially offset by continued growth in our service revenues.</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segment revenue performance was as follows:</w:t>
      </w:r>
    </w:p>
    <w:p>
      <w:pPr>
        <w:spacing w:after="0" w:line="131" w:lineRule="exact"/>
        <w:rPr>
          <w:sz w:val="20"/>
          <w:szCs w:val="20"/>
          <w:color w:val="auto"/>
        </w:rPr>
      </w:pPr>
    </w:p>
    <w:p>
      <w:pPr>
        <w:ind w:left="1080" w:right="180" w:hanging="424"/>
        <w:spacing w:after="0" w:line="224" w:lineRule="auto"/>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revenue increased $280 million, or 4% as reported and 8%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growth in MR and Image-Guided Therapies products due to improved supply chain performance in fulfilling customer demand, new product introductions, and health systems’ focus on expansion of capacity and access to care;</w:t>
      </w:r>
    </w:p>
    <w:p>
      <w:pPr>
        <w:spacing w:after="0" w:line="18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2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revenue increased $192 million, or 8% as reported and 6%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strong growth in General Imaging, Women’s Health, and Primary Care products due to new product introductions, partially offset by a decrease in sales of Cardiovascular products due to supply constraints in electronic components;</w:t>
      </w:r>
    </w:p>
    <w:p>
      <w:pPr>
        <w:spacing w:after="0" w:line="104" w:lineRule="exact"/>
        <w:rPr>
          <w:rFonts w:ascii="Times New Roman" w:cs="Times New Roman" w:eastAsia="Times New Roman" w:hAnsi="Times New Roman"/>
          <w:sz w:val="18"/>
          <w:szCs w:val="18"/>
          <w:color w:val="auto"/>
        </w:rPr>
      </w:pPr>
    </w:p>
    <w:p>
      <w:pPr>
        <w:ind w:left="1080" w:right="100" w:hanging="424"/>
        <w:spacing w:after="0" w:line="22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segment revenue decreased $50 million, or 2% as reported and was approximately flat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a decrease in COVID-19 driven ventilator volume and a decrease in sales of patient monitors due to continued supply constraints in electronic components, offset by growth in Anesthesia and Maternal Infant Care products; and</w:t>
      </w:r>
    </w:p>
    <w:p>
      <w:pPr>
        <w:spacing w:after="0" w:line="104" w:lineRule="exact"/>
        <w:rPr>
          <w:rFonts w:ascii="Times New Roman" w:cs="Times New Roman" w:eastAsia="Times New Roman" w:hAnsi="Times New Roman"/>
          <w:sz w:val="18"/>
          <w:szCs w:val="18"/>
          <w:color w:val="auto"/>
        </w:rPr>
      </w:pPr>
    </w:p>
    <w:p>
      <w:pPr>
        <w:ind w:left="1080" w:right="380" w:hanging="424"/>
        <w:spacing w:after="0" w:line="22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revenue decreased $33 million, or 2% as reported and increased 2%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reported revenue decreased due to unfavorable impact from foreign currency changes, partially offset by organic revenue growth. Organic revenue growth was mainly attributable to growth in sales volume of our products, partially offset by China related impacts.</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regional revenue performance was as follows:</w:t>
      </w:r>
    </w:p>
    <w:p>
      <w:pPr>
        <w:spacing w:after="0" w:line="131" w:lineRule="exact"/>
        <w:rPr>
          <w:sz w:val="20"/>
          <w:szCs w:val="20"/>
          <w:color w:val="auto"/>
        </w:rPr>
      </w:pPr>
    </w:p>
    <w:p>
      <w:pPr>
        <w:ind w:left="1080" w:right="4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USCAN revenue increased 10%. This was attributable to growth across all segments as well as the acquisition of BK Medical within Ultrasound;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revenue increased 3%. This was mainly attributable to growth in Imaging revenues and the acquisition of BK Medical within Ultrasound, partially offset by a decrease in PCS revenues and unfavorable impact from foreign currency changes;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region revenue decreased 8%. This was mainly attributable to a decrease in revenue across all segments primarily due to the impact of COVID-19 driven disruptions;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 of World revenue decreased 3%. This was mainly attributable to an unfavorable impact from foreign currency changes and a decrease in PDx and PCS revenues, partially offset by growth in Ultrasound revenues.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2020, and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each of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5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vMerge w:val="continue"/>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$11,165</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$11,016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6,420</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6,148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17,585</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17,164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16,633</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3,215</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7,174</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6,767</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3,563</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3,237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4,379</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4,047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4,424</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2,720</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benefit costs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2,875</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2,710</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11"/>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13,897</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1,553</w:t>
            </w:r>
          </w:p>
        </w:tc>
        <w:tc>
          <w:tcPr>
            <w:tcW w:w="0" w:type="dxa"/>
            <w:vAlign w:val="bottom"/>
          </w:tcPr>
          <w:p>
            <w:pPr>
              <w:spacing w:after="0"/>
              <w:rPr>
                <w:sz w:val="1"/>
                <w:szCs w:val="1"/>
                <w:color w:val="auto"/>
              </w:rPr>
            </w:pPr>
          </w:p>
        </w:tc>
      </w:tr>
      <w:tr>
        <w:trPr>
          <w:trHeight w:val="21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2,247</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$ 13,846</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$ 1,524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Segment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5"/>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3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9"/>
            <w:vMerge w:val="continue"/>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2021/2020</w:t>
            </w:r>
          </w:p>
        </w:tc>
        <w:tc>
          <w:tcPr>
            <w:tcW w:w="540" w:type="dxa"/>
            <w:vAlign w:val="bottom"/>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2020/2019</w:t>
            </w: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gridSpan w:val="6"/>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 organic</w:t>
            </w:r>
            <w:r>
              <w:rPr>
                <w:rFonts w:ascii="Times New Roman" w:cs="Times New Roman" w:eastAsia="Times New Roman" w:hAnsi="Times New Roman"/>
                <w:sz w:val="10"/>
                <w:szCs w:val="10"/>
                <w:b w:val="1"/>
                <w:bCs w:val="1"/>
                <w:color w:val="auto"/>
              </w:rPr>
              <w:t>*</w:t>
            </w:r>
          </w:p>
        </w:tc>
        <w:tc>
          <w:tcPr>
            <w:tcW w:w="960" w:type="dxa"/>
            <w:vAlign w:val="bottom"/>
            <w:gridSpan w:val="5"/>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organic</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50"/>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6"/>
            <w:vMerge w:val="continue"/>
          </w:tcPr>
          <w:p>
            <w:pPr>
              <w:spacing w:after="0"/>
              <w:rPr>
                <w:sz w:val="4"/>
                <w:szCs w:val="4"/>
                <w:color w:val="auto"/>
              </w:rPr>
            </w:pPr>
          </w:p>
        </w:tc>
        <w:tc>
          <w:tcPr>
            <w:tcW w:w="9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6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0" w:type="dxa"/>
            <w:vAlign w:val="bottom"/>
          </w:tcPr>
          <w:p>
            <w:pPr>
              <w:spacing w:after="0"/>
              <w:rPr>
                <w:sz w:val="15"/>
                <w:szCs w:val="15"/>
                <w:color w:val="auto"/>
              </w:rPr>
            </w:pPr>
          </w:p>
        </w:tc>
        <w:tc>
          <w:tcPr>
            <w:tcW w:w="8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revenue</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9,096</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Ultrasound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2,783</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PCS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2,723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PDx</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1,993</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17,585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17,164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16,633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660" w:hanging="424"/>
        <w:spacing w:after="0" w:line="28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by Region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2021/2020 %</w:t>
            </w:r>
          </w:p>
        </w:tc>
        <w:tc>
          <w:tcPr>
            <w:tcW w:w="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2020/2019 %</w:t>
            </w:r>
          </w:p>
        </w:tc>
        <w:tc>
          <w:tcPr>
            <w:tcW w:w="260" w:type="dxa"/>
            <w:vAlign w:val="bottom"/>
          </w:tcPr>
          <w:p>
            <w:pPr>
              <w:spacing w:after="0"/>
              <w:rPr>
                <w:sz w:val="15"/>
                <w:szCs w:val="15"/>
                <w:color w:val="auto"/>
              </w:rPr>
            </w:pPr>
          </w:p>
        </w:tc>
      </w:tr>
      <w:tr>
        <w:trPr>
          <w:trHeight w:val="142"/>
        </w:trPr>
        <w:tc>
          <w:tcPr>
            <w:tcW w:w="52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USCAN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4,061</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China region</w:t>
            </w:r>
            <w:r>
              <w:rPr>
                <w:rFonts w:ascii="Times New Roman" w:cs="Times New Roman" w:eastAsia="Times New Roman" w:hAnsi="Times New Roman"/>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2,250</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2,913</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2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17,585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17,164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6"/>
              </w:rPr>
              <w:t>16,633</w:t>
            </w: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
        </w:trPr>
        <w:tc>
          <w:tcPr>
            <w:tcW w:w="1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from China, Taiwan, Mongolia, and Hong Kong.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vs. 2020</w:t>
      </w:r>
    </w:p>
    <w:p>
      <w:pPr>
        <w:spacing w:after="0" w:line="119" w:lineRule="exact"/>
        <w:rPr>
          <w:sz w:val="20"/>
          <w:szCs w:val="20"/>
          <w:color w:val="auto"/>
        </w:rPr>
      </w:pPr>
    </w:p>
    <w:p>
      <w:pPr>
        <w:ind w:left="120" w:right="140" w:firstLine="440"/>
        <w:spacing w:after="0" w:line="230" w:lineRule="auto"/>
        <w:rPr>
          <w:sz w:val="20"/>
          <w:szCs w:val="20"/>
          <w:color w:val="auto"/>
        </w:rPr>
      </w:pPr>
      <w:r>
        <w:rPr>
          <w:rFonts w:ascii="Times New Roman" w:cs="Times New Roman" w:eastAsia="Times New Roman" w:hAnsi="Times New Roman"/>
          <w:sz w:val="18"/>
          <w:szCs w:val="18"/>
          <w:color w:val="auto"/>
        </w:rPr>
        <w:t>Total revenues increased $421 million, or 2% as reported and 1%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due to growth in sales of services of $272 million or 4% driven by continued growth in our installed base and service capabilities, and increase in sales of products of $149 million or 1% driven by strong growth in Ultrasound and PDx, partially offset by a decrease in PCS revenues. Additionally, revenue growth was negatively impacted in all segments by supply chain challenges such as component shortages and logistical delays, particularly in the second half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340" w:hanging="224"/>
        <w:spacing w:after="0"/>
        <w:tabs>
          <w:tab w:leader="none" w:pos="340"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segment revenue performance was as follows:</w:t>
      </w:r>
    </w:p>
    <w:p>
      <w:pPr>
        <w:spacing w:after="0" w:line="131" w:lineRule="exact"/>
        <w:rPr>
          <w:sz w:val="20"/>
          <w:szCs w:val="20"/>
          <w:color w:val="auto"/>
        </w:rPr>
      </w:pPr>
    </w:p>
    <w:p>
      <w:pPr>
        <w:ind w:left="1080" w:right="260" w:hanging="424"/>
        <w:spacing w:after="0" w:line="224"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revenue increased $474 million, or 5% as reported and 3%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increased revenue from CT and MR product lines due to health systems’ focus on expansion of capacity and access to care, strong performance of new product launches, and continued growth of services revenue;</w:t>
      </w:r>
    </w:p>
    <w:p>
      <w:pPr>
        <w:spacing w:after="0" w:line="104" w:lineRule="exact"/>
        <w:rPr>
          <w:rFonts w:ascii="Times New Roman" w:cs="Times New Roman" w:eastAsia="Times New Roman" w:hAnsi="Times New Roman"/>
          <w:sz w:val="18"/>
          <w:szCs w:val="18"/>
          <w:color w:val="auto"/>
        </w:rPr>
      </w:pPr>
    </w:p>
    <w:p>
      <w:pPr>
        <w:ind w:left="1080" w:right="200" w:hanging="424"/>
        <w:spacing w:after="0" w:line="213"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revenue increased $469 million, or 17% as reported and 15%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increased revenue from Women’s Health, General Imaging, and</w:t>
      </w:r>
    </w:p>
    <w:p>
      <w:pPr>
        <w:spacing w:after="0" w:line="1" w:lineRule="exact"/>
        <w:rPr>
          <w:rFonts w:ascii="Times New Roman" w:cs="Times New Roman" w:eastAsia="Times New Roman" w:hAnsi="Times New Roman"/>
          <w:sz w:val="18"/>
          <w:szCs w:val="18"/>
          <w:color w:val="auto"/>
        </w:rPr>
      </w:pPr>
    </w:p>
    <w:p>
      <w:pPr>
        <w:ind w:left="110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products, due to health systems’ focus on expansion of capacity and access to care, and strong performance of our new product launches;</w:t>
      </w:r>
    </w:p>
    <w:p>
      <w:pPr>
        <w:spacing w:after="0" w:line="86" w:lineRule="exact"/>
        <w:rPr>
          <w:rFonts w:ascii="Times New Roman" w:cs="Times New Roman" w:eastAsia="Times New Roman" w:hAnsi="Times New Roman"/>
          <w:sz w:val="18"/>
          <w:szCs w:val="18"/>
          <w:color w:val="auto"/>
        </w:rPr>
      </w:pPr>
    </w:p>
    <w:p>
      <w:pPr>
        <w:ind w:left="1080" w:right="260" w:hanging="424"/>
        <w:spacing w:after="0" w:line="213"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segment revenue decreased $760 million, or 21% as reported and 22%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the decrease in COVID-19 driven ventilators volume, including those produced in collaboration with Ford, and patient monitors; and</w:t>
      </w:r>
    </w:p>
    <w:p>
      <w:pPr>
        <w:spacing w:after="0" w:line="104" w:lineRule="exact"/>
        <w:rPr>
          <w:rFonts w:ascii="Times New Roman" w:cs="Times New Roman" w:eastAsia="Times New Roman" w:hAnsi="Times New Roman"/>
          <w:sz w:val="18"/>
          <w:szCs w:val="18"/>
          <w:color w:val="auto"/>
        </w:rPr>
      </w:pPr>
    </w:p>
    <w:p>
      <w:pPr>
        <w:ind w:left="1080" w:right="80" w:hanging="424"/>
        <w:spacing w:after="0" w:line="224"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revenue increased $238 million, or 13% as reported and 15%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ongoing recovery of elective procedures as COVID-19 subsided, partially offset by revenue reduction as a result of the sale of the U.S. Radiopharmacy network product line in 2020.</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regional revenue performance was as follows:</w:t>
      </w:r>
    </w:p>
    <w:p>
      <w:pPr>
        <w:spacing w:after="0" w:line="131" w:lineRule="exact"/>
        <w:rPr>
          <w:sz w:val="20"/>
          <w:szCs w:val="20"/>
          <w:color w:val="auto"/>
        </w:rPr>
      </w:pPr>
    </w:p>
    <w:p>
      <w:pPr>
        <w:ind w:left="1080" w:right="5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USCAN revenue decreased slightly by 1%. This was mainly attributable to a decrease in volume in PCS, offset by strong growth in Ultrasound and PDx segments;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revenue decreased 3% due to a decrease in volume in PCS, partially offset by strong recovery in PDx and continued growth in Ultrasound segment;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region revenue increased 15%. This was mainly attributable to strong growth across all segments, as well as an increased penetration in the local manufacturing and sale of products;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 of World revenue increased 10%. This was mainly attributable to an increase in revenues in Imaging, Ultrasound, and PDx segments, partially offset by a slight decrease in PCS revenues.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vs. 2019</w:t>
      </w:r>
    </w:p>
    <w:p>
      <w:pPr>
        <w:spacing w:after="0" w:line="119" w:lineRule="exact"/>
        <w:rPr>
          <w:sz w:val="20"/>
          <w:szCs w:val="20"/>
          <w:color w:val="auto"/>
        </w:rPr>
      </w:pPr>
    </w:p>
    <w:p>
      <w:pPr>
        <w:ind w:left="120" w:right="100" w:firstLine="440"/>
        <w:spacing w:after="0" w:line="223" w:lineRule="auto"/>
        <w:rPr>
          <w:sz w:val="20"/>
          <w:szCs w:val="20"/>
          <w:color w:val="auto"/>
        </w:rPr>
      </w:pPr>
      <w:r>
        <w:rPr>
          <w:rFonts w:ascii="Times New Roman" w:cs="Times New Roman" w:eastAsia="Times New Roman" w:hAnsi="Times New Roman"/>
          <w:sz w:val="17"/>
          <w:szCs w:val="17"/>
          <w:color w:val="auto"/>
        </w:rPr>
        <w:t>Total revenues increased $531 million, or 3% as reported and 4% organically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due to an increase in sales of products of $544 million driven by higher revenues in PCS segment, partially offset by lower revenues in Imaging, Ultrasound, and PDx segments, and slight decrease in Sales of services.</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segment performance on revenue was as follows:</w:t>
      </w:r>
    </w:p>
    <w:p>
      <w:pPr>
        <w:spacing w:after="0" w:line="131" w:lineRule="exact"/>
        <w:rPr>
          <w:sz w:val="20"/>
          <w:szCs w:val="20"/>
          <w:color w:val="auto"/>
        </w:rPr>
      </w:pPr>
    </w:p>
    <w:p>
      <w:pPr>
        <w:ind w:left="1080" w:hanging="424"/>
        <w:spacing w:after="0" w:line="213" w:lineRule="auto"/>
        <w:tabs>
          <w:tab w:leader="none" w:pos="10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revenue decreased $137 million, or 2% as reported and 1%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the impact of the COVID-19 pandemic, as MR product revenue decreased due to a delay in capital equipment purchases and installations;</w:t>
      </w:r>
    </w:p>
    <w:p>
      <w:pPr>
        <w:spacing w:after="0" w:line="104" w:lineRule="exact"/>
        <w:rPr>
          <w:rFonts w:ascii="Times New Roman" w:cs="Times New Roman" w:eastAsia="Times New Roman" w:hAnsi="Times New Roman"/>
          <w:sz w:val="18"/>
          <w:szCs w:val="18"/>
          <w:color w:val="auto"/>
        </w:rPr>
      </w:pPr>
    </w:p>
    <w:p>
      <w:pPr>
        <w:ind w:left="1080" w:right="520" w:hanging="424"/>
        <w:spacing w:after="0" w:line="213" w:lineRule="auto"/>
        <w:tabs>
          <w:tab w:leader="none" w:pos="10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revenue decreased $80 million, or 3% as reported and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decreases in revenue from Women’s Health and General Imaging products as the market demand declined due to COVID-19;</w:t>
      </w:r>
    </w:p>
    <w:p>
      <w:pPr>
        <w:spacing w:after="0" w:line="104" w:lineRule="exact"/>
        <w:rPr>
          <w:rFonts w:ascii="Times New Roman" w:cs="Times New Roman" w:eastAsia="Times New Roman" w:hAnsi="Times New Roman"/>
          <w:sz w:val="18"/>
          <w:szCs w:val="18"/>
          <w:color w:val="auto"/>
        </w:rPr>
      </w:pPr>
    </w:p>
    <w:p>
      <w:pPr>
        <w:ind w:left="1080" w:right="500" w:hanging="424"/>
        <w:spacing w:after="0" w:line="213" w:lineRule="auto"/>
        <w:tabs>
          <w:tab w:leader="none" w:pos="10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segment revenue increased $952 million, or 35% as reported and organically</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color w:val="auto"/>
        </w:rPr>
        <w:t>. This was mainly attributable to COVID-19 drive ventilators demand, including those produced in collaboration with Ford, and patient monitors; and</w:t>
      </w:r>
    </w:p>
    <w:p>
      <w:pPr>
        <w:spacing w:after="0" w:line="104" w:lineRule="exact"/>
        <w:rPr>
          <w:rFonts w:ascii="Times New Roman" w:cs="Times New Roman" w:eastAsia="Times New Roman" w:hAnsi="Times New Roman"/>
          <w:sz w:val="18"/>
          <w:szCs w:val="18"/>
          <w:color w:val="auto"/>
        </w:rPr>
      </w:pPr>
    </w:p>
    <w:p>
      <w:pPr>
        <w:ind w:left="1080" w:right="20" w:hanging="424"/>
        <w:spacing w:after="0" w:line="213" w:lineRule="auto"/>
        <w:tabs>
          <w:tab w:leader="none" w:pos="10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revenue decreased $213 million, or 11% as reported and 10% organically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was mainly attributable to a market decline from deferral of elective procedures due to COVID-19 and reduction in revenue from the sale of the U.S. Radiopharmacy network in 2020.</w:t>
      </w:r>
    </w:p>
    <w:p>
      <w:pPr>
        <w:spacing w:after="0" w:line="18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7715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regional performance on revenue was as follows:</w:t>
      </w:r>
    </w:p>
    <w:p>
      <w:pPr>
        <w:spacing w:after="0" w:line="131" w:lineRule="exact"/>
        <w:rPr>
          <w:sz w:val="20"/>
          <w:szCs w:val="20"/>
          <w:color w:val="auto"/>
        </w:rPr>
      </w:pPr>
    </w:p>
    <w:p>
      <w:pPr>
        <w:ind w:left="1080" w:right="1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USCAN revenue remained relatively flat. This was mainly attributable to an increase in volume in PCS, offset by declines in Imaging and PDx segment revenues;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revenue increased 15%. This was mainly attributable to strong growth in PCS and Ultrasound, partially offset by a decline in PDx segment revenues;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region revenue increased 4%. This was mainly attributable to strong growth in Imaging, partially offset by declines in Ultrasound, PDx, and PCS segment revenues;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 of World revenue decreased 7%. This was mainly attributable to declines in Imaging, Ultrasound, and PDx, partially offset by strong growth in the PCS segment revenues.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and Adjusted EBIT</w:t>
      </w:r>
      <w:r>
        <w:rPr>
          <w:rFonts w:ascii="Times New Roman" w:cs="Times New Roman" w:eastAsia="Times New Roman" w:hAnsi="Times New Roman"/>
          <w:sz w:val="26"/>
          <w:szCs w:val="26"/>
          <w:b w:val="1"/>
          <w:bCs w:val="1"/>
          <w:i w:val="1"/>
          <w:iCs w:val="1"/>
          <w:color w:val="auto"/>
          <w:vertAlign w:val="superscript"/>
        </w:rPr>
        <w:t>*</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620" w:type="dxa"/>
            <w:vAlign w:val="bottom"/>
            <w:vMerge w:val="restart"/>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3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9"/>
        </w:trPr>
        <w:tc>
          <w:tcPr>
            <w:tcW w:w="19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$653</w:t>
            </w:r>
          </w:p>
        </w:tc>
        <w:tc>
          <w:tcPr>
            <w:tcW w:w="3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$1,745</w:t>
            </w:r>
          </w:p>
        </w:tc>
        <w:tc>
          <w:tcPr>
            <w:tcW w:w="3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$2,068</w:t>
            </w:r>
          </w:p>
        </w:tc>
        <w:tc>
          <w:tcPr>
            <w:tcW w:w="3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w:t>
            </w:r>
            <w:r>
              <w:rPr>
                <w:rFonts w:ascii="Times New Roman" w:cs="Times New Roman" w:eastAsia="Times New Roman" w:hAnsi="Times New Roman"/>
                <w:sz w:val="26"/>
                <w:szCs w:val="26"/>
                <w:color w:val="auto"/>
                <w:vertAlign w:val="superscript"/>
              </w:rPr>
              <w:t>*</w:t>
            </w:r>
          </w:p>
        </w:tc>
        <w:tc>
          <w:tcPr>
            <w:tcW w:w="12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$700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$779</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$2,345</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September 30, 2022</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Operating income decreased $48 million or 2.0 points as a percentage of Total revenues due to the $271 million increase in Total revenues being more than offset by the following factors:</w:t>
      </w:r>
    </w:p>
    <w:p>
      <w:pPr>
        <w:spacing w:after="0" w:line="67" w:lineRule="exact"/>
        <w:rPr>
          <w:sz w:val="20"/>
          <w:szCs w:val="20"/>
          <w:color w:val="auto"/>
        </w:rPr>
      </w:pPr>
    </w:p>
    <w:p>
      <w:pPr>
        <w:ind w:left="1080" w:right="20" w:hanging="424"/>
        <w:spacing w:after="0" w:line="254"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revenue increased $265 million or 2.3 points as a percentage of Total revenues primarily due to cost inflation and unfavorable impact from sales of products and services mix, partially offset by cost productivity and an increase in pricing of our products and services. Cost of products sold increased $253 million or 1.7 points as a percentage of Sales of products, driven by inflationary pressures in material and logistics cost, partially offset by productivity benefits from engineering design improvements and cost saving actions, and an increase in pricing of several of our products. Cost of services sold increased $12 million or 2.1 points as a percentage of Sales of services primarily due to cost inflation and unfavorable impact of foreign currency changes, partially offset by cost productivity and an increase in pricing of our services. Included in our total cost of revenue for the three months ended September 30, 2022, as part of our product investment, was $110 million in engineering costs for design follow-through on new product introductions and product lifecycle maintenance subsequent to the initial product launch, compared to $95 million for the three months ended September 30, 2021; and</w:t>
      </w:r>
    </w:p>
    <w:p>
      <w:pPr>
        <w:spacing w:after="0" w:line="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increased $54 million due to higher R&amp;D investment by $60 million offset by lower SG&amp;A expenses by</w:t>
      </w:r>
    </w:p>
    <w:p>
      <w:pPr>
        <w:spacing w:after="0" w:line="27" w:lineRule="exact"/>
        <w:rPr>
          <w:rFonts w:ascii="Times New Roman" w:cs="Times New Roman" w:eastAsia="Times New Roman" w:hAnsi="Times New Roman"/>
          <w:sz w:val="18"/>
          <w:szCs w:val="18"/>
          <w:color w:val="auto"/>
        </w:rPr>
      </w:pPr>
    </w:p>
    <w:p>
      <w:pPr>
        <w:ind w:left="108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driven by benefit from remeasurement of contingent consideration related to acquisitions. As a result, R&amp;D as a percentage of Total revenues increased by 1.0 point while SG&amp;A as a percentage of Total revenues decreased by 1.4 points.</w:t>
      </w:r>
    </w:p>
    <w:p>
      <w:pPr>
        <w:spacing w:after="0" w:line="181" w:lineRule="exact"/>
        <w:rPr>
          <w:sz w:val="20"/>
          <w:szCs w:val="20"/>
          <w:color w:val="auto"/>
        </w:rPr>
      </w:pPr>
    </w:p>
    <w:p>
      <w:pPr>
        <w:ind w:left="120" w:right="740" w:firstLine="440"/>
        <w:spacing w:after="0" w:line="213" w:lineRule="auto"/>
        <w:rPr>
          <w:sz w:val="20"/>
          <w:szCs w:val="20"/>
          <w:color w:val="auto"/>
        </w:rPr>
      </w:pPr>
      <w:r>
        <w:rPr>
          <w:rFonts w:ascii="Times New Roman" w:cs="Times New Roman" w:eastAsia="Times New Roman" w:hAnsi="Times New Roman"/>
          <w:sz w:val="18"/>
          <w:szCs w:val="18"/>
          <w:color w:val="auto"/>
        </w:rPr>
        <w:t>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Adjusted EBIT margin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$79 million or 2.8 points, respectively, primarily due to a $48 million decrease in Operating income as discussed above, and a $16 million decrease in Other (income) expense—net.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9" w:lineRule="exact"/>
        <w:rPr>
          <w:sz w:val="20"/>
          <w:szCs w:val="20"/>
          <w:color w:val="auto"/>
        </w:rPr>
      </w:pPr>
    </w:p>
    <w:p>
      <w:pPr>
        <w:ind w:left="340" w:hanging="224"/>
        <w:spacing w:after="0"/>
        <w:tabs>
          <w:tab w:leader="none" w:pos="340" w:val="left"/>
        </w:tabs>
        <w:numPr>
          <w:ilvl w:val="0"/>
          <w:numId w:val="7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2022</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Operating income decreased $323 million or 2.9 points as a percentage of Total revenues due to the $407 million increase in Total revenues being more than offset by the following factors:</w:t>
      </w:r>
    </w:p>
    <w:p>
      <w:pPr>
        <w:spacing w:after="0" w:line="67" w:lineRule="exact"/>
        <w:rPr>
          <w:sz w:val="20"/>
          <w:szCs w:val="20"/>
          <w:color w:val="auto"/>
        </w:rPr>
      </w:pPr>
    </w:p>
    <w:p>
      <w:pPr>
        <w:ind w:left="1080" w:right="60" w:hanging="424"/>
        <w:spacing w:after="0" w:line="254"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revenue increased $472 million or 1.7 points as a percentage of Total revenues primarily due to cost inflation and unfavorable impact from sales of products and services mix, partially offset by cost productivity. Cost of products sold increased $530 million or 2.4 points as a percentage of Sales of products, driven by inflationary pressures in material and logistics costs, partially offset by productivity benefits from engineering design improvements and cost saving actions. Cost of services sold decreased $58 million or 0.3 point as a percentage of Sales of services, driven by benefits from productivity initiatives and an increase in pricing of our services, partially offset by cost inflation. Included in our total cost of revenue for the nine months ended September 30, 2022, as part of our product investment, was $324 million in engineering costs for design follow-through on new product introductions and product lifecycle maintenance subsequent to the initial product launch, compared to $290 million for the nine months ended September 30, 2021; and</w:t>
      </w:r>
    </w:p>
    <w:p>
      <w:pPr>
        <w:spacing w:after="0" w:line="9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increased $258 million due to higher R&amp;D investment by $164 million and higher SG&amp;A expense by $94 million due to increased investment in commercial teams and marketing programs partially offset by benefit from remeasurement of contingent consideration related to acquisitions. As a result, R&amp;D as a percentage of Total revenues increased by 1.1 points and SG&amp;A as a percentage of Total revenues increased slightly by 0.1 point.</w:t>
      </w:r>
    </w:p>
    <w:p>
      <w:pPr>
        <w:spacing w:after="0" w:line="180" w:lineRule="exact"/>
        <w:rPr>
          <w:sz w:val="20"/>
          <w:szCs w:val="20"/>
          <w:color w:val="auto"/>
        </w:rPr>
      </w:pPr>
    </w:p>
    <w:p>
      <w:pPr>
        <w:ind w:left="120" w:right="500" w:firstLine="440"/>
        <w:spacing w:after="0" w:line="213" w:lineRule="auto"/>
        <w:rPr>
          <w:sz w:val="20"/>
          <w:szCs w:val="20"/>
          <w:color w:val="auto"/>
        </w:rPr>
      </w:pPr>
      <w:r>
        <w:rPr>
          <w:rFonts w:ascii="Times New Roman" w:cs="Times New Roman" w:eastAsia="Times New Roman" w:hAnsi="Times New Roman"/>
          <w:sz w:val="18"/>
          <w:szCs w:val="18"/>
          <w:color w:val="auto"/>
        </w:rPr>
        <w:t>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Adjusted EBIT margin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$328 million or 3.0 points, respectively, due to a $323 million decrease in Operating income as discussed above.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4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$2,795</w:t>
            </w:r>
          </w:p>
        </w:tc>
        <w:tc>
          <w:tcPr>
            <w:tcW w:w="30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$2,720</w:t>
            </w:r>
          </w:p>
        </w:tc>
        <w:tc>
          <w:tcPr>
            <w:tcW w:w="3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$2,124</w:t>
            </w:r>
          </w:p>
        </w:tc>
        <w:tc>
          <w:tcPr>
            <w:tcW w:w="30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5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w:t>
            </w:r>
            <w:r>
              <w:rPr>
                <w:rFonts w:ascii="Times New Roman" w:cs="Times New Roman" w:eastAsia="Times New Roman" w:hAnsi="Times New Roman"/>
                <w:sz w:val="26"/>
                <w:szCs w:val="26"/>
                <w:color w:val="auto"/>
                <w:vertAlign w:val="superscript"/>
              </w:rPr>
              <w:t>*</w:t>
            </w: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$3,172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$2,981</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17.4%</w:t>
            </w: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$2,492</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vs. 2020</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Operating income increased $75 million or 0.1 point as a percentage of Total revenues due to the $421 million increase in Total revenues, as well as the following factors:</w:t>
      </w:r>
    </w:p>
    <w:p>
      <w:pPr>
        <w:spacing w:after="0" w:line="67" w:lineRule="exact"/>
        <w:rPr>
          <w:sz w:val="20"/>
          <w:szCs w:val="20"/>
          <w:color w:val="auto"/>
        </w:rPr>
      </w:pPr>
    </w:p>
    <w:p>
      <w:pPr>
        <w:ind w:left="1080" w:right="80" w:hanging="424"/>
        <w:spacing w:after="0" w:line="268" w:lineRule="auto"/>
        <w:tabs>
          <w:tab w:leader="none" w:pos="10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cost of revenue increased $14 million primarily due to the revenue increase from 2020 to 2021. Total cost of revenue as a percentage of Total revenues decreased by 1.4 points due to benefits from productivity mainly driven by engineering design improvements, process automation, and lean initiatives in supply chain, service, and operations, and favorable mix between products and service sales, partially offset by inflation. Cost of products sold decreased $33 million or 1.2 points as a percentage of Sale of products driven by cost productivity, partially offset by inflation and an increase in product sales. Cost of services sold increased $47 million due to an increase in service revenues. Cost of services sold as a percentage of services sales decreased 1.5 points due to benefits from productivity initiatives. Included in our total cost of revenue in 2021, as part of our product investment, was $386 million in engineering costs for design follow-through on new product introductions and product lifecycle maintenance subsequent to the initial product launch, compared to</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$444 million in 2020; and</w:t>
      </w:r>
    </w:p>
    <w:p>
      <w:pPr>
        <w:spacing w:after="0" w:line="112" w:lineRule="exact"/>
        <w:rPr>
          <w:rFonts w:ascii="Times New Roman" w:cs="Times New Roman" w:eastAsia="Times New Roman" w:hAnsi="Times New Roman"/>
          <w:sz w:val="17"/>
          <w:szCs w:val="17"/>
          <w:color w:val="auto"/>
        </w:rPr>
      </w:pPr>
    </w:p>
    <w:p>
      <w:pPr>
        <w:ind w:left="1080" w:right="50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increased by $332 million due to SG&amp;A increasing $326 million. This was primarily driven by increased investments in commercial teams, marketing programs, including digital marketing for new products, inflation, and foreign currency changes.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23" w:lineRule="auto"/>
        <w:rPr>
          <w:sz w:val="20"/>
          <w:szCs w:val="20"/>
          <w:color w:val="auto"/>
        </w:rPr>
      </w:pPr>
      <w:r>
        <w:rPr>
          <w:rFonts w:ascii="Times New Roman" w:cs="Times New Roman" w:eastAsia="Times New Roman" w:hAnsi="Times New Roman"/>
          <w:sz w:val="17"/>
          <w:szCs w:val="17"/>
          <w:color w:val="auto"/>
        </w:rPr>
        <w:t>Adjusted EBIT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Adjusted EBIT margin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increased $191 million and 0.7 point, respectively, due to a $75 million increase in Operating income as discussed above, and $62 million increase in Other (income) expense – net due to higher gains on foreign currency and commodity derivatives.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vs. 2019</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Operating income increased $596 million or 3.1 points as a percentage of Total revenues due to the $531 million increase in Total revenues, as well as the following factors:</w:t>
      </w:r>
    </w:p>
    <w:p>
      <w:pPr>
        <w:spacing w:after="0" w:line="67" w:lineRule="exact"/>
        <w:rPr>
          <w:sz w:val="20"/>
          <w:szCs w:val="20"/>
          <w:color w:val="auto"/>
        </w:rPr>
      </w:pPr>
    </w:p>
    <w:p>
      <w:pPr>
        <w:ind w:left="1080" w:right="280" w:hanging="424"/>
        <w:spacing w:after="0" w:line="254"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revenue increased $312 million primarily due to an increase in revenues from 2019 to 2020. Total cost of revenue as a percentage of Total revenues decreased marginally due to benefits from cost productivity mainly driven by engineering design improvements, cost saving actions, and lean initiatives, partially offset by inflation and impact from unfavorable product mix and lower services sales mix within total revenues. Cost of products sold increased $471 million and 1.1 points as a percentage of product sales, primarily driven by an increase in product sales and inflation, partially offset by cost productivity. Cost of services sold decreased</w:t>
      </w:r>
    </w:p>
    <w:p>
      <w:pPr>
        <w:spacing w:after="0" w:line="3" w:lineRule="exact"/>
        <w:rPr>
          <w:rFonts w:ascii="Times New Roman" w:cs="Times New Roman" w:eastAsia="Times New Roman" w:hAnsi="Times New Roman"/>
          <w:sz w:val="18"/>
          <w:szCs w:val="18"/>
          <w:color w:val="auto"/>
        </w:rPr>
      </w:pPr>
    </w:p>
    <w:p>
      <w:pPr>
        <w:ind w:left="10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million and 2.5 points as a percentage of services sales primarily driven by benefits from productivity initiatives. Included in our total cost of revenue in 2020, as part of our product investment, was $444 million in engineering cost for product introductions and product lifecycle maintenance subsequent to the initial product launch, compared to $426 million in 2019; and</w:t>
      </w:r>
    </w:p>
    <w:p>
      <w:pPr>
        <w:spacing w:after="0" w:line="9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decreased by $377 million due to SG&amp;A decreasing by $354 million. This was primarily driven by benefits from restructuring actions, cost saving actions during the COVID-19 pandemic, and non-repeat of IPO-related expenses in 2019. As a result, SG&amp;A as a percentage of Total revenues decreased by 2.7 points.</w:t>
      </w:r>
    </w:p>
    <w:p>
      <w:pPr>
        <w:spacing w:after="0" w:line="176" w:lineRule="exact"/>
        <w:rPr>
          <w:sz w:val="20"/>
          <w:szCs w:val="20"/>
          <w:color w:val="auto"/>
        </w:rPr>
      </w:pPr>
    </w:p>
    <w:p>
      <w:pPr>
        <w:ind w:left="120" w:right="200" w:firstLine="440"/>
        <w:spacing w:after="0" w:line="213" w:lineRule="auto"/>
        <w:rPr>
          <w:sz w:val="20"/>
          <w:szCs w:val="20"/>
          <w:color w:val="auto"/>
        </w:rPr>
      </w:pPr>
      <w:r>
        <w:rPr>
          <w:rFonts w:ascii="Times New Roman" w:cs="Times New Roman" w:eastAsia="Times New Roman" w:hAnsi="Times New Roman"/>
          <w:sz w:val="18"/>
          <w:szCs w:val="18"/>
          <w:color w:val="auto"/>
        </w:rPr>
        <w:t>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Adjusted EBIT margin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$489 million and 2.4 points, respectively, driven by a $596 million increase in Operating income as discussed above.</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GE HealthCare and Adjusted Net Income*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40" w:type="dxa"/>
            <w:vAlign w:val="bottom"/>
          </w:tcPr>
          <w:p>
            <w:pPr>
              <w:spacing w:after="0"/>
              <w:rPr>
                <w:sz w:val="15"/>
                <w:szCs w:val="15"/>
                <w:color w:val="auto"/>
              </w:rPr>
            </w:pPr>
          </w:p>
        </w:tc>
        <w:tc>
          <w:tcPr>
            <w:tcW w:w="314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720" w:type="dxa"/>
            <w:vAlign w:val="bottom"/>
            <w:gridSpan w:val="6"/>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 HealthCare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$1,683</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572</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1,507</w:t>
            </w: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$1,730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2022</w:t>
      </w:r>
    </w:p>
    <w:p>
      <w:pPr>
        <w:spacing w:after="0" w:line="119" w:lineRule="exact"/>
        <w:rPr>
          <w:sz w:val="20"/>
          <w:szCs w:val="20"/>
          <w:color w:val="auto"/>
        </w:rPr>
      </w:pPr>
    </w:p>
    <w:p>
      <w:pPr>
        <w:ind w:left="120" w:right="20" w:firstLine="440"/>
        <w:spacing w:after="0" w:line="230" w:lineRule="auto"/>
        <w:rPr>
          <w:sz w:val="20"/>
          <w:szCs w:val="20"/>
          <w:color w:val="auto"/>
        </w:rPr>
      </w:pPr>
      <w:r>
        <w:rPr>
          <w:rFonts w:ascii="Times New Roman" w:cs="Times New Roman" w:eastAsia="Times New Roman" w:hAnsi="Times New Roman"/>
          <w:sz w:val="18"/>
          <w:szCs w:val="18"/>
          <w:color w:val="auto"/>
        </w:rPr>
        <w:t>Net income attributable to GE HealthCare decreased $27 million primarily due to a $48 million decrease in Operating income, partially offset by a $31 million decrease in Provision for income taxes primarily due to lower income before taxes and impacts of foreign operations.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$26 million primarily due to the decrease in Operating income, partially offset by the decrease in Provision for income taxes, as discussed above.</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2022</w:t>
      </w:r>
    </w:p>
    <w:p>
      <w:pPr>
        <w:spacing w:after="0" w:line="119" w:lineRule="exact"/>
        <w:rPr>
          <w:sz w:val="20"/>
          <w:szCs w:val="20"/>
          <w:color w:val="auto"/>
        </w:rPr>
      </w:pPr>
    </w:p>
    <w:p>
      <w:pPr>
        <w:ind w:left="120" w:right="420" w:firstLine="440"/>
        <w:spacing w:after="0" w:line="296" w:lineRule="auto"/>
        <w:rPr>
          <w:sz w:val="20"/>
          <w:szCs w:val="20"/>
          <w:color w:val="auto"/>
        </w:rPr>
      </w:pPr>
      <w:r>
        <w:rPr>
          <w:rFonts w:ascii="Times New Roman" w:cs="Times New Roman" w:eastAsia="Times New Roman" w:hAnsi="Times New Roman"/>
          <w:sz w:val="18"/>
          <w:szCs w:val="18"/>
          <w:color w:val="auto"/>
        </w:rPr>
        <w:t>Net income attributable to GE HealthCare decreased $321 million primarily due to a $323 million decrease in Operating income as discussed above. 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$223 million primarily due to the decrease in Operating income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340" w:hanging="224"/>
        <w:spacing w:after="0" w:line="189" w:lineRule="auto"/>
        <w:tabs>
          <w:tab w:leader="none" w:pos="340"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2021/2020 %</w:t>
            </w:r>
          </w:p>
        </w:tc>
        <w:tc>
          <w:tcPr>
            <w:tcW w:w="7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2020/2019 %</w:t>
            </w:r>
          </w:p>
        </w:tc>
        <w:tc>
          <w:tcPr>
            <w:tcW w:w="220" w:type="dxa"/>
            <w:vAlign w:val="bottom"/>
          </w:tcPr>
          <w:p>
            <w:pPr>
              <w:spacing w:after="0"/>
              <w:rPr>
                <w:sz w:val="15"/>
                <w:szCs w:val="15"/>
                <w:color w:val="auto"/>
              </w:rPr>
            </w:pPr>
          </w:p>
        </w:tc>
      </w:tr>
      <w:tr>
        <w:trPr>
          <w:trHeight w:val="142"/>
        </w:trPr>
        <w:tc>
          <w:tcPr>
            <w:tcW w:w="42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1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change</w:t>
            </w:r>
          </w:p>
        </w:tc>
        <w:tc>
          <w:tcPr>
            <w:tcW w:w="220" w:type="dxa"/>
            <w:vAlign w:val="bottom"/>
            <w:tcBorders>
              <w:bottom w:val="single" w:sz="8" w:color="CCEEFF"/>
            </w:tcBorders>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 HealthCare</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13,846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$1,524</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r>
      <w:tr>
        <w:trPr>
          <w:trHeight w:val="35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w:t>
            </w:r>
          </w:p>
        </w:tc>
        <w:tc>
          <w:tcPr>
            <w:tcW w:w="17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$2,347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2,121</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$1,892</w:t>
            </w: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vs. 2020</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Net income attributable to GE HealthCare decreased $11,599 million due to the $11,821 million decrease comprised of our BioPharma business, discontinued in 2020. For additional discussions related to our discontinued operations, see Note 18, “Discontinued Operations” to our audited combined financial statements. The decrease was partially offset by the following:</w:t>
      </w:r>
    </w:p>
    <w:p>
      <w:pPr>
        <w:spacing w:after="0" w:line="81"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$75 million, as discussed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expense—net increased $62 million in 2021 primarily due to higher gains on foreign currency and commodity derivatives;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financial charges—net decreased $26 million in 2021 primarily due to lower interest charges from reduced factoring of receivables;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decreased $52 million due to a $77 million benefit resulting from the impact of the U.K. tax rate change, which was partially offset by income taxes on higher income before taxes. For additional detail regarding our income taxes, please see “Critical Accounting Estimates” below and Note 11, “Income Taxes” to the audited combined financial statements.</w:t>
      </w:r>
    </w:p>
    <w:p>
      <w:pPr>
        <w:spacing w:after="0" w:line="176" w:lineRule="exact"/>
        <w:rPr>
          <w:sz w:val="20"/>
          <w:szCs w:val="20"/>
          <w:color w:val="auto"/>
        </w:rPr>
      </w:pPr>
    </w:p>
    <w:p>
      <w:pPr>
        <w:ind w:left="120" w:right="160" w:firstLine="440"/>
        <w:spacing w:after="0" w:line="213" w:lineRule="auto"/>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$226 million due to a $75 million increase in Operating income, $62 million increase in Other (income) expense —net, $26 million lower Interest and other financial charges—net, and $52 million lower Provision for income taxes as discussed above.</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vs. 2019</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Net income attributable to GE HealthCare increased $12,322 million as Income (loss) from discontinued operations, net of taxes increased $11,967 million and is comprised of our BioPharma business, discontinued in</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2020. For additional discussions related to our discontinued operations, see Note 18, “Discontinued Operations” to our audited combined financial statements. Additionally, Net income attributable to GE HealthCare increased further due to the following factors:</w:t>
      </w:r>
    </w:p>
    <w:p>
      <w:pPr>
        <w:spacing w:after="0" w:line="67"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$596 million increase in Operating income discussed above;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financial charges—net decreased $22 million in 2020 primarily due to lower interest charges from reduced factoring of receivables;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increased $242 million due to expense resulting from lower foreign tax credits and income taxes on higher income before taxes, partially offset by a $40 million benefit resulting from the impact of the U.K. tax rate change. For additional detail regarding our income taxes, refer to the “Critical Accounting Estimates” section below and see Note 11, “Income Taxes” to the audited combined financial statements.</w:t>
      </w:r>
    </w:p>
    <w:p>
      <w:pPr>
        <w:spacing w:after="0" w:line="180" w:lineRule="exact"/>
        <w:rPr>
          <w:sz w:val="20"/>
          <w:szCs w:val="20"/>
          <w:color w:val="auto"/>
        </w:rPr>
      </w:pPr>
    </w:p>
    <w:p>
      <w:pPr>
        <w:ind w:left="120" w:right="320" w:firstLine="440"/>
        <w:spacing w:after="0" w:line="213" w:lineRule="auto"/>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$229 million due to a $596 million increase in Operating income, partially offset by a $242 million increase in Provision for income taxes as discussed above.</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Operations—Segments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report our business in four reportable segments (Imaging, Ultrasound, PCS, and PDx) and we evaluate their operating performance using revenue and segment EBIT. We exclude from segment EBIT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2" w:lineRule="exact"/>
        <w:rPr>
          <w:sz w:val="20"/>
          <w:szCs w:val="20"/>
          <w:color w:val="auto"/>
        </w:rPr>
      </w:pPr>
    </w:p>
    <w:p>
      <w:pPr>
        <w:ind w:left="340" w:hanging="224"/>
        <w:spacing w:after="0"/>
        <w:tabs>
          <w:tab w:leader="none" w:pos="340" w:val="left"/>
        </w:tabs>
        <w:numPr>
          <w:ilvl w:val="0"/>
          <w:numId w:val="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corporate-related expenses and certain transactions or adjustments that our Chief Operating Decision Maker (which is our Chief Executive Officer) considers to be non-operational, such as interest expenses, income tax expenses, restructuring costs, acquisition and disposition related charges (benefits), Spin-Off and separation costs, and Non-operating benefit costs, gain/loss of business dispositions/divestments, amortization of acquisition-related intangible assets, Net (income) loss attributable to noncontrolling interests, Income (loss) from discontinued operations, net of taxes, and investment revaluation gain/loss. See “—Results of Operations” section above for discussion on the performance of segments on revenue.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EBIT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605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653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1,745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2,068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Segment EBIT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Imaging</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$267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Ultrasound</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623</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PCS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PDx</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554</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Adjusted EBIT</w:t>
            </w:r>
            <w:r>
              <w:rPr>
                <w:rFonts w:ascii="Times New Roman" w:cs="Times New Roman" w:eastAsia="Times New Roman" w:hAnsi="Times New Roman"/>
                <w:sz w:val="25"/>
                <w:szCs w:val="25"/>
                <w:color w:val="auto"/>
                <w:vertAlign w:val="superscript"/>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779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2,017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2,345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660" w:hanging="424"/>
        <w:spacing w:after="0" w:line="282"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HealthCare Financial Services (“HFS”) business and certain other investments which do not meet the definition of an operating segment.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2022</w:t>
      </w:r>
    </w:p>
    <w:p>
      <w:pPr>
        <w:spacing w:after="0" w:line="133" w:lineRule="exact"/>
        <w:rPr>
          <w:sz w:val="20"/>
          <w:szCs w:val="20"/>
          <w:color w:val="auto"/>
        </w:rPr>
      </w:pPr>
    </w:p>
    <w:p>
      <w:pPr>
        <w:ind w:left="1080" w:right="60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EBIT decreased $58 million due to cost inflation and planned R&amp;D investments, partially offset by an increase in revenues, including pass through of cost inflation of our products, and cost productivity;</w:t>
      </w:r>
    </w:p>
    <w:p>
      <w:pPr>
        <w:spacing w:after="0" w:line="67"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EBIT increased $21 million due to an increase in pricing of our products, growth in sales volume, and cost productivity, partially offset by planned R&amp;D and commercial investments, and cost inflation;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segment EBIT decreased $19 million due to cost inflation, partially offset by an increase in pricing of our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EBIT decreased $23 million due to China related impacts and cost inflation, partially offset by growth in sales volume.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2022</w:t>
      </w:r>
    </w:p>
    <w:p>
      <w:pPr>
        <w:spacing w:after="0" w:line="133" w:lineRule="exact"/>
        <w:rPr>
          <w:sz w:val="20"/>
          <w:szCs w:val="20"/>
          <w:color w:val="auto"/>
        </w:rPr>
      </w:pPr>
    </w:p>
    <w:p>
      <w:pPr>
        <w:ind w:left="1080" w:right="1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EBIT decreased $144 million due to cost inflation and planned R&amp;D and commercial investments, partially offset by an increase in revenues, including pass through of cost inflation of our products, and cost productivity;</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EBIT increased by $16 million due to an increase in pricing of our products, growth in sales volume, and cost productivity, partially offset by planned R&amp;D and commercial investments, and cost inflation;</w:t>
      </w:r>
    </w:p>
    <w:p>
      <w:pPr>
        <w:spacing w:after="0" w:line="67"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segment EBIT decreased by $54 million due to cost inflation, partially offset by increased pricing of our products and cost productivity;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EBIT decreased $143 million due to China related impacts and increased energy, material and logistics costs, partially offset by an increase in global sales volume.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5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vMerge w:val="restart"/>
          </w:tcPr>
          <w:p>
            <w:pPr>
              <w:spacing w:after="0"/>
              <w:rPr>
                <w:sz w:val="12"/>
                <w:szCs w:val="12"/>
                <w:color w:val="auto"/>
              </w:rPr>
            </w:pPr>
          </w:p>
        </w:tc>
        <w:tc>
          <w:tcPr>
            <w:tcW w:w="5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2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vMerge w:val="continue"/>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2,795</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2,720</w:t>
            </w:r>
          </w:p>
        </w:tc>
        <w:tc>
          <w:tcPr>
            <w:tcW w:w="3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2,124</w:t>
            </w:r>
          </w:p>
        </w:tc>
        <w:tc>
          <w:tcPr>
            <w:tcW w:w="3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Segment EBIT</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Imaging</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1,240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1,182</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934</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Ultrasound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640</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652</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PCS</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PDx</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504</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695</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color w:val="auto"/>
                <w:vertAlign w:val="superscript"/>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3,172</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2,981</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2,492</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660" w:hanging="424"/>
        <w:spacing w:after="0" w:line="28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HealthCare Financial Services (“HFS”) business and certain other investments which do not meet the definition of an operating segment.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vs. 2020</w:t>
      </w:r>
    </w:p>
    <w:p>
      <w:pPr>
        <w:spacing w:after="0" w:line="133"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EBIT increased $58 million due to cost productivity and increase in revenue, partially offset by cost inflation;</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EBIT increased $245 million due to strong revenue growth and cost productivity from design improvements, new products, and manufacturing operations, partially offset by increased investment in SG&amp;A, and R&amp;D, and cost inflation;</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segment EBIT decreased $342 million due to a decrease in revenue, cost inflation, and higher investments, partially offset by cost productivity and favorable impact from product mix; and</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EBIT increased $189 million due to a strong recovery in revenue and cost productivity, partially offset by increased investment in SG&amp;A and R&amp;D.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vs. 2019</w:t>
      </w:r>
    </w:p>
    <w:p>
      <w:pPr>
        <w:spacing w:after="0" w:line="133" w:lineRule="exact"/>
        <w:rPr>
          <w:sz w:val="20"/>
          <w:szCs w:val="20"/>
          <w:color w:val="auto"/>
        </w:rPr>
      </w:pPr>
    </w:p>
    <w:p>
      <w:pPr>
        <w:ind w:left="1080" w:right="600" w:hanging="424"/>
        <w:spacing w:after="0" w:line="282" w:lineRule="auto"/>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segment EBIT increased $248 million due to cost productivity, reduction in operating expenses and favorable impact from product mix and sales of products and services mix, partially offset by a decrease in revenue and cost inflation;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segment EBIT decreased $12 million due to a decrease in revenue and inflationary pressure in material and logistics costs, partially offset by a reduction in operating expenses;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PCS segment EBIT increased $435 million due to a significant increase in revenue from ventilators and patient monitors, partially offset by unfavorable impact from product mix and inflationary pressure in material and logistics costs to fulfill COVID-19 demand; and</w:t>
      </w:r>
    </w:p>
    <w:p>
      <w:pPr>
        <w:spacing w:after="0" w:line="45" w:lineRule="exact"/>
        <w:rPr>
          <w:rFonts w:ascii="Times New Roman" w:cs="Times New Roman" w:eastAsia="Times New Roman" w:hAnsi="Times New Roman"/>
          <w:sz w:val="17"/>
          <w:szCs w:val="17"/>
          <w:color w:val="auto"/>
        </w:rPr>
      </w:pPr>
    </w:p>
    <w:p>
      <w:pPr>
        <w:ind w:left="1080" w:right="420" w:hanging="424"/>
        <w:spacing w:after="0" w:line="282" w:lineRule="auto"/>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segment EBIT decreased $191 million due to a decrease in revenue and cost inflation, partially offset by a reduction in operating expenses.</w:t>
      </w:r>
    </w:p>
    <w:p>
      <w:pPr>
        <w:spacing w:after="0" w:line="134"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non-GAAP financial measures presented in this prospectus are supplemental measures of our performance and our liquidity that we believe help investors understand our financial condition, cash flows,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are unrelated to our core operating results and the overall health of our company. We believe that these non-GAAP financial measures provide investors greater transparency to the information used by management for its operational decision-making and allows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financial, operational, and planning decisions. Finally, these measures are often used by analysts and other interested parties to evaluate companies in our industry.</w:t>
      </w:r>
    </w:p>
    <w:p>
      <w:pPr>
        <w:spacing w:after="0" w:line="19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define these non-GAAP financial measures as:</w:t>
      </w:r>
    </w:p>
    <w:p>
      <w:pPr>
        <w:spacing w:after="0" w:line="127" w:lineRule="exact"/>
        <w:rPr>
          <w:sz w:val="20"/>
          <w:szCs w:val="20"/>
          <w:color w:val="auto"/>
        </w:rPr>
      </w:pPr>
    </w:p>
    <w:p>
      <w:pPr>
        <w:ind w:left="1080" w:right="160" w:hanging="424"/>
        <w:spacing w:after="0" w:line="317"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Organic revenue</w:t>
      </w:r>
      <w:r>
        <w:rPr>
          <w:rFonts w:ascii="Times New Roman" w:cs="Times New Roman" w:eastAsia="Times New Roman" w:hAnsi="Times New Roman"/>
          <w:sz w:val="17"/>
          <w:szCs w:val="17"/>
          <w:color w:val="auto"/>
        </w:rPr>
        <w:t>: Total revenues excluding the effects of: (1) net sales from recent acquisitions and divestitures with less than a full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comparable net sales; and (2) foreign currency exchange rate fluctuations in order to present revenue on a constant currency basis.</w:t>
      </w:r>
    </w:p>
    <w:p>
      <w:pPr>
        <w:spacing w:after="0" w:line="37"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Organic revenue growth rate</w:t>
      </w:r>
      <w:r>
        <w:rPr>
          <w:rFonts w:ascii="Times New Roman" w:cs="Times New Roman" w:eastAsia="Times New Roman" w:hAnsi="Times New Roman"/>
          <w:sz w:val="18"/>
          <w:szCs w:val="18"/>
          <w:color w:val="auto"/>
        </w:rPr>
        <w:t>: Rate of change when comparing Organic revenue, period over period.</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believe that Organic revenue and Organic revenue growth rate, by excluding the effect of acquisitions, dispositions, and foreign exchange rate fluctuations, provide management and investors with additional understanding of our core, top-line operating results and greater visibility into underlying revenue trends of our established, ongoing operations. Organic revenue and Organic revenue growth rate also provide greater insight regarding the overall demand for our products and services.</w:t>
      </w:r>
    </w:p>
    <w:p>
      <w:pPr>
        <w:spacing w:after="0" w:line="81"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w:t>
      </w:r>
      <w:r>
        <w:rPr>
          <w:rFonts w:ascii="Times New Roman" w:cs="Times New Roman" w:eastAsia="Times New Roman" w:hAnsi="Times New Roman"/>
          <w:sz w:val="18"/>
          <w:szCs w:val="18"/>
          <w:color w:val="auto"/>
        </w:rPr>
        <w:t>: Net income attributable to GE HealthCare excluding the effects of: (1) Interest and other financial charges—net;</w:t>
      </w:r>
    </w:p>
    <w:p>
      <w:pPr>
        <w:spacing w:after="0" w:line="31" w:lineRule="exact"/>
        <w:rPr>
          <w:rFonts w:ascii="Times New Roman" w:cs="Times New Roman" w:eastAsia="Times New Roman" w:hAnsi="Times New Roman"/>
          <w:sz w:val="18"/>
          <w:szCs w:val="18"/>
          <w:color w:val="auto"/>
        </w:rPr>
      </w:pPr>
    </w:p>
    <w:p>
      <w:pPr>
        <w:ind w:left="108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Non-operating benefit costs; (3) Provision for income taxes; (4) Income (loss) from discontinued operations, net of taxes; (5) Net (income) loss attributable to noncontrolling interests; (6) restructuring costs; (7) acquisition and disposition related charges (benefits); (8) Spin-Off and separation costs; (9) (gain)/loss of business dispositions/divestments; (10) amortization of acquisition-related intangible assets; and (11) investment revaluation (gain)/loss. In addition, we may from time to time consider excluding other non-recurring items to enhance comparability between periods.</w:t>
      </w:r>
    </w:p>
    <w:p>
      <w:pPr>
        <w:spacing w:after="0" w:line="88" w:lineRule="exact"/>
        <w:rPr>
          <w:rFonts w:ascii="Times New Roman" w:cs="Times New Roman" w:eastAsia="Times New Roman" w:hAnsi="Times New Roman"/>
          <w:sz w:val="18"/>
          <w:szCs w:val="18"/>
          <w:color w:val="auto"/>
        </w:rPr>
      </w:pPr>
    </w:p>
    <w:p>
      <w:pPr>
        <w:ind w:left="1080" w:right="20" w:hanging="424"/>
        <w:spacing w:after="0" w:line="28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 margin</w:t>
      </w:r>
      <w:r>
        <w:rPr>
          <w:rFonts w:ascii="Times New Roman" w:cs="Times New Roman" w:eastAsia="Times New Roman" w:hAnsi="Times New Roman"/>
          <w:sz w:val="18"/>
          <w:szCs w:val="18"/>
          <w:color w:val="auto"/>
        </w:rPr>
        <w:t>: Non-GAAP financial measure of Adjusted EBIT divided by the U.S. GAAP financial measure Total revenues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w:t>
      </w:r>
    </w:p>
    <w:p>
      <w:pPr>
        <w:spacing w:after="0" w:line="15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Adjusted EBIT and Adjusted EBIT margin provide management and investors with additional understanding of our business by highlighting the results from ongoing operations and the underlying profitability factors. These metrics exclude interest expense, interest income, and tax expense, as well as unique and/or non-cash items, that can have a material impact on our results.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18"/>
          <w:szCs w:val="18"/>
          <w:color w:val="auto"/>
        </w:rPr>
        <w:t>: Net income attributable to GE HealthCare excluding (1) Non-operating benefit costs; (2) restructuring costs;</w:t>
      </w:r>
    </w:p>
    <w:p>
      <w:pPr>
        <w:spacing w:after="0" w:line="31" w:lineRule="exact"/>
        <w:rPr>
          <w:rFonts w:ascii="Times New Roman" w:cs="Times New Roman" w:eastAsia="Times New Roman" w:hAnsi="Times New Roman"/>
          <w:sz w:val="18"/>
          <w:szCs w:val="18"/>
          <w:color w:val="auto"/>
        </w:rPr>
      </w:pPr>
    </w:p>
    <w:p>
      <w:pPr>
        <w:ind w:left="108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acquisition and disposition related charges (benefits); (4) Spin-Off and separation costs; (5) (gain)/loss of business dispositions/divestments; (6) amortization of acquisition-related intangible assets; (7) investment revaluation (gain)/loss; (8) tax effect of reconciling items (items 1-7); (9) impact of tax law changes and (10) Income (loss) from discontinued operations, net of taxes. In addition, we may from time to time consider excluding other non-recurring items to enhance comparability between periods.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combined earnings. However, Adjusted net income should not be construed as inferring that our future results will be unaffected by the items for which the measure adjusts.</w:t>
      </w:r>
    </w:p>
    <w:p>
      <w:pPr>
        <w:spacing w:after="0" w:line="81" w:lineRule="exact"/>
        <w:rPr>
          <w:sz w:val="20"/>
          <w:szCs w:val="20"/>
          <w:color w:val="auto"/>
        </w:rPr>
      </w:pPr>
    </w:p>
    <w:p>
      <w:pPr>
        <w:ind w:left="1080" w:right="280" w:hanging="424"/>
        <w:spacing w:after="0" w:line="28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Cash from (used for) operating activities—continuing operations adjusting for the effects of (1) additions to PP&amp;E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internal-use software; (2) dispositions of PP&amp;E; and (3) impact of factoring programs.</w:t>
      </w:r>
    </w:p>
    <w:p>
      <w:pPr>
        <w:spacing w:after="0" w:line="15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We believe that Free cash flow provides management and investors with an important measure of our ability to generate cash on a normalized basis. Free cash flow also provides insight into our flexibility to allocate capital, including reinvesting in the company for future growth, paying down debt, paying dividends, and pursuing other opportunities that may enhance stockholder value. We believe investors may find it useful to compare Free cash flow performance without the effects of the factoring program discontinuation. The cash flow from operating activity (“CFOA”) impact from factoring programs discontinued in 2021 represents the cash that we would have otherwise collected in the period had customer receivables not been previously sold to GE in those discontinued programs.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typically invest in PP&amp;E over multiple periods to support new product introductions and increases in manufacturing capacity and to perform ongoing maintenance of our manufacturing and distribution operations. We believe that while PP&amp;E expenditures and dispositions will fluctuate period to period, we will need to maintain a material level of net PP&amp;E spend to maintain ongoing operations and growth of the business.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historical Free cash flow includes interest expense associated with the internal and external factoring of current receivables and other financial charges. Interest expense associated with external debt that is currently held by GE is not currently included in the combined financial statements and related notes. Additionally, Free cash flow does not represent residual cash flows available for discretionary expenditures, due to the fact the measures do not deduct the payments required for debt repayments.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reconciliations of each non-GAAP financial measure to the most directly comparable U.S. GAAP financial measure are provided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Organic Revenue</w:t>
      </w:r>
      <w:r>
        <w:rPr>
          <w:rFonts w:ascii="Times New Roman" w:cs="Times New Roman" w:eastAsia="Times New Roman" w:hAnsi="Times New Roman"/>
          <w:sz w:val="26"/>
          <w:szCs w:val="26"/>
          <w:b w:val="1"/>
          <w:bCs w:val="1"/>
          <w:i w:val="1"/>
          <w:iCs w:val="1"/>
          <w:color w:val="auto"/>
          <w:vertAlign w:val="superscript"/>
        </w:rPr>
        <w:t>*</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34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6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vMerge w:val="restart"/>
          </w:tcPr>
          <w:p>
            <w:pPr>
              <w:spacing w:after="0"/>
              <w:rPr>
                <w:sz w:val="10"/>
                <w:szCs w:val="10"/>
                <w:color w:val="auto"/>
              </w:rPr>
            </w:pPr>
          </w:p>
        </w:tc>
        <w:tc>
          <w:tcPr>
            <w:tcW w:w="4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0"/>
                <w:szCs w:val="10"/>
                <w:color w:val="auto"/>
              </w:rPr>
            </w:pPr>
          </w:p>
        </w:tc>
        <w:tc>
          <w:tcPr>
            <w:tcW w:w="44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5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0"/>
                <w:szCs w:val="10"/>
                <w:color w:val="auto"/>
              </w:rPr>
            </w:pPr>
          </w:p>
        </w:tc>
        <w:tc>
          <w:tcPr>
            <w:tcW w:w="42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Imaging revenues (U.S. GAAP)</w:t>
            </w:r>
          </w:p>
        </w:tc>
        <w:tc>
          <w:tcPr>
            <w:tcW w:w="5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2,516</w:t>
            </w:r>
          </w:p>
        </w:tc>
        <w:tc>
          <w:tcPr>
            <w:tcW w:w="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2,351</w:t>
            </w:r>
          </w:p>
        </w:tc>
        <w:tc>
          <w:tcPr>
            <w:tcW w:w="2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7,276</w:t>
            </w:r>
          </w:p>
        </w:tc>
        <w:tc>
          <w:tcPr>
            <w:tcW w:w="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6,996</w:t>
            </w:r>
          </w:p>
        </w:tc>
        <w:tc>
          <w:tcPr>
            <w:tcW w:w="28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3"/>
        </w:trPr>
        <w:tc>
          <w:tcPr>
            <w:tcW w:w="628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Imaging organic revenue*</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2,640</w:t>
            </w:r>
          </w:p>
        </w:tc>
        <w:tc>
          <w:tcPr>
            <w:tcW w:w="1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2,351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7,530</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6,996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60" w:type="dxa"/>
            <w:vAlign w:val="bottom"/>
            <w:gridSpan w:val="5"/>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680" w:type="dxa"/>
            <w:vAlign w:val="bottom"/>
            <w:vMerge w:val="restart"/>
          </w:tcPr>
          <w:p>
            <w:pPr>
              <w:spacing w:after="0"/>
              <w:rPr>
                <w:sz w:val="10"/>
                <w:szCs w:val="10"/>
                <w:color w:val="auto"/>
              </w:rPr>
            </w:pPr>
          </w:p>
        </w:tc>
        <w:tc>
          <w:tcPr>
            <w:tcW w:w="5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0"/>
                <w:szCs w:val="10"/>
                <w:color w:val="auto"/>
              </w:rPr>
            </w:pPr>
          </w:p>
        </w:tc>
        <w:tc>
          <w:tcPr>
            <w:tcW w:w="44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6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0"/>
                <w:szCs w:val="10"/>
                <w:color w:val="auto"/>
              </w:rPr>
            </w:pPr>
          </w:p>
        </w:tc>
        <w:tc>
          <w:tcPr>
            <w:tcW w:w="44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tcBorders>
              <w:bottom w:val="single" w:sz="8" w:color="CCEEFF"/>
            </w:tcBorders>
            <w:vMerge w:val="continue"/>
          </w:tcPr>
          <w:p>
            <w:pPr>
              <w:spacing w:after="0"/>
              <w:rPr>
                <w:sz w:val="15"/>
                <w:szCs w:val="15"/>
                <w:color w:val="auto"/>
              </w:rPr>
            </w:pPr>
          </w:p>
        </w:tc>
        <w:tc>
          <w:tcPr>
            <w:tcW w:w="168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Ultrasound revenues (U.S. GAAP)</w:t>
            </w: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735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3"/>
        </w:trPr>
        <w:tc>
          <w:tcPr>
            <w:tcW w:w="432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1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174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16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Ultrasound organic revenue*</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818</w:t>
            </w:r>
          </w:p>
        </w:tc>
        <w:tc>
          <w:tcPr>
            <w:tcW w:w="1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735</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2,408</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2,274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PCS revenues (U.S. GAAP)</w:t>
            </w:r>
          </w:p>
        </w:tc>
        <w:tc>
          <w:tcPr>
            <w:tcW w:w="16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708</w:t>
            </w:r>
          </w:p>
        </w:tc>
        <w:tc>
          <w:tcPr>
            <w:tcW w:w="2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w:t>
            </w:r>
          </w:p>
        </w:tc>
        <w:tc>
          <w:tcPr>
            <w:tcW w:w="2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1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2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PCS organic revenue*</w:t>
            </w:r>
          </w:p>
        </w:tc>
        <w:tc>
          <w:tcPr>
            <w:tcW w:w="16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708</w:t>
            </w:r>
          </w:p>
        </w:tc>
        <w:tc>
          <w:tcPr>
            <w:tcW w:w="2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w:t>
            </w:r>
          </w:p>
        </w:tc>
        <w:tc>
          <w:tcPr>
            <w:tcW w:w="2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PDx revenues (U.S. GAAP)</w:t>
            </w:r>
          </w:p>
        </w:tc>
        <w:tc>
          <w:tcPr>
            <w:tcW w:w="2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522</w:t>
            </w:r>
          </w:p>
        </w:tc>
        <w:tc>
          <w:tcPr>
            <w:tcW w:w="1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504</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1,485</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1,518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432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16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16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PDx organic revenue*</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552</w:t>
            </w:r>
          </w:p>
        </w:tc>
        <w:tc>
          <w:tcPr>
            <w:tcW w:w="1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504</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1,547</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1,518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revenues (U.S. GAAP)</w:t>
            </w:r>
          </w:p>
        </w:tc>
        <w:tc>
          <w:tcPr>
            <w:tcW w:w="16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1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Other organic revenue</w:t>
            </w:r>
            <w:r>
              <w:rPr>
                <w:rFonts w:ascii="Times New Roman" w:cs="Times New Roman" w:eastAsia="Times New Roman" w:hAnsi="Times New Roman"/>
                <w:sz w:val="25"/>
                <w:szCs w:val="25"/>
                <w:color w:val="auto"/>
                <w:vertAlign w:val="superscript"/>
              </w:rPr>
              <w:t>*</w:t>
            </w:r>
          </w:p>
        </w:tc>
        <w:tc>
          <w:tcPr>
            <w:tcW w:w="16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4,576</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4,305</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13,403</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12,996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3"/>
        </w:trPr>
        <w:tc>
          <w:tcPr>
            <w:tcW w:w="432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16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88"/>
              </w:rPr>
              <w:t>175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16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Organic revenue</w:t>
            </w:r>
            <w:r>
              <w:rPr>
                <w:rFonts w:ascii="Times New Roman" w:cs="Times New Roman" w:eastAsia="Times New Roman" w:hAnsi="Times New Roman"/>
                <w:sz w:val="25"/>
                <w:szCs w:val="25"/>
                <w:b w:val="1"/>
                <w:bCs w:val="1"/>
                <w:color w:val="auto"/>
                <w:vertAlign w:val="superscript"/>
              </w:rPr>
              <w:t>*</w:t>
            </w:r>
          </w:p>
        </w:tc>
        <w:tc>
          <w:tcPr>
            <w:tcW w:w="1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4,747</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4,305</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13,711</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12,996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740" w:hanging="424"/>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revenue attributable to acquisitions from the date we completed the transaction through the end of four quarters following the transaction.</w:t>
      </w: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revenue attributable to dispositions for the four quarters preceding the disposition date.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7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7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520" w:type="dxa"/>
            <w:vAlign w:val="bottom"/>
          </w:tcPr>
          <w:p>
            <w:pPr>
              <w:spacing w:after="0"/>
              <w:rPr>
                <w:sz w:val="15"/>
                <w:szCs w:val="15"/>
                <w:color w:val="auto"/>
              </w:rPr>
            </w:pPr>
          </w:p>
        </w:tc>
        <w:tc>
          <w:tcPr>
            <w:tcW w:w="17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Imaging revenues (U.S. GAAP)</w:t>
            </w: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9,433</w:t>
            </w:r>
          </w:p>
        </w:tc>
        <w:tc>
          <w:tcPr>
            <w:tcW w:w="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8,959</w:t>
            </w:r>
          </w:p>
        </w:tc>
        <w:tc>
          <w:tcPr>
            <w:tcW w:w="34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8,959</w:t>
            </w:r>
          </w:p>
        </w:tc>
        <w:tc>
          <w:tcPr>
            <w:tcW w:w="2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9,096</w:t>
            </w:r>
          </w:p>
        </w:tc>
        <w:tc>
          <w:tcPr>
            <w:tcW w:w="3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550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Imaging organic revenue</w:t>
            </w:r>
            <w:r>
              <w:rPr>
                <w:rFonts w:ascii="Times New Roman" w:cs="Times New Roman" w:eastAsia="Times New Roman" w:hAnsi="Times New Roman"/>
                <w:sz w:val="25"/>
                <w:szCs w:val="25"/>
                <w:b w:val="1"/>
                <w:bCs w:val="1"/>
                <w:color w:val="auto"/>
                <w:vertAlign w:val="superscript"/>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9,270</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8,959</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8,983</w:t>
            </w: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9,096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Ultrasound revenues (U.S. GAAP)</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c>
          <w:tcPr>
            <w:tcW w:w="3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2,783</w:t>
            </w:r>
          </w:p>
        </w:tc>
        <w:tc>
          <w:tcPr>
            <w:tcW w:w="3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8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3"/>
        </w:trPr>
        <w:tc>
          <w:tcPr>
            <w:tcW w:w="5080" w:type="dxa"/>
            <w:vAlign w:val="bottom"/>
          </w:tcPr>
          <w:p>
            <w:pPr>
              <w:spacing w:after="0"/>
              <w:rPr>
                <w:sz w:val="15"/>
                <w:szCs w:val="15"/>
                <w:color w:val="auto"/>
              </w:rPr>
            </w:pPr>
          </w:p>
        </w:tc>
        <w:tc>
          <w:tcPr>
            <w:tcW w:w="18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300" w:type="dxa"/>
            <w:vAlign w:val="bottom"/>
          </w:tcPr>
          <w:p>
            <w:pPr>
              <w:spacing w:after="0"/>
              <w:rPr>
                <w:sz w:val="15"/>
                <w:szCs w:val="15"/>
                <w:color w:val="auto"/>
              </w:rPr>
            </w:pPr>
          </w:p>
        </w:tc>
      </w:tr>
      <w:tr>
        <w:trPr>
          <w:trHeight w:val="142"/>
        </w:trPr>
        <w:tc>
          <w:tcPr>
            <w:tcW w:w="50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CEEFF"/>
            </w:tcBorders>
          </w:tcPr>
          <w:p>
            <w:pPr>
              <w:spacing w:after="0"/>
              <w:rPr>
                <w:sz w:val="12"/>
                <w:szCs w:val="12"/>
                <w:color w:val="auto"/>
              </w:rPr>
            </w:pPr>
          </w:p>
        </w:tc>
      </w:tr>
      <w:tr>
        <w:trPr>
          <w:trHeight w:val="209"/>
        </w:trPr>
        <w:tc>
          <w:tcPr>
            <w:tcW w:w="50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Ultrasound organic revenue</w:t>
            </w:r>
            <w:r>
              <w:rPr>
                <w:rFonts w:ascii="Times New Roman" w:cs="Times New Roman" w:eastAsia="Times New Roman" w:hAnsi="Times New Roman"/>
                <w:sz w:val="24"/>
                <w:szCs w:val="24"/>
                <w:b w:val="1"/>
                <w:bCs w:val="1"/>
                <w:color w:val="auto"/>
                <w:vertAlign w:val="superscript"/>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3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2,707</w:t>
            </w:r>
          </w:p>
        </w:tc>
        <w:tc>
          <w:tcPr>
            <w:tcW w:w="3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PCS revenues (U.S. GAAP)</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w:t>
            </w:r>
          </w:p>
        </w:tc>
        <w:tc>
          <w:tcPr>
            <w:tcW w:w="3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3,675</w:t>
            </w: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3,675</w:t>
            </w:r>
          </w:p>
        </w:tc>
        <w:tc>
          <w:tcPr>
            <w:tcW w:w="3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3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30"/>
        </w:trPr>
        <w:tc>
          <w:tcPr>
            <w:tcW w:w="508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PCS organic revenue</w:t>
            </w:r>
            <w:r>
              <w:rPr>
                <w:rFonts w:ascii="Times New Roman" w:cs="Times New Roman" w:eastAsia="Times New Roman" w:hAnsi="Times New Roman"/>
                <w:sz w:val="25"/>
                <w:szCs w:val="25"/>
                <w:b w:val="1"/>
                <w:bCs w:val="1"/>
                <w:color w:val="auto"/>
                <w:vertAlign w:val="superscript"/>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2,883</w:t>
            </w: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3,675</w:t>
            </w: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3,674</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3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PDx revenues (U.S. GAAP)</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1,780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1,780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1,993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23"/>
        </w:trPr>
        <w:tc>
          <w:tcPr>
            <w:tcW w:w="508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7"/>
        </w:trPr>
        <w:tc>
          <w:tcPr>
            <w:tcW w:w="5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PDx organic revenue</w:t>
            </w:r>
            <w:r>
              <w:rPr>
                <w:rFonts w:ascii="Times New Roman" w:cs="Times New Roman" w:eastAsia="Times New Roman" w:hAnsi="Times New Roman"/>
                <w:sz w:val="25"/>
                <w:szCs w:val="25"/>
                <w:b w:val="1"/>
                <w:bCs w:val="1"/>
                <w:color w:val="auto"/>
                <w:vertAlign w:val="superscript"/>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1,946</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1,699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1,733</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1,917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revenues (U.S. GAAP)</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30"/>
        </w:trPr>
        <w:tc>
          <w:tcPr>
            <w:tcW w:w="508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Other organic revenue</w:t>
            </w:r>
            <w:r>
              <w:rPr>
                <w:rFonts w:ascii="Times New Roman" w:cs="Times New Roman" w:eastAsia="Times New Roman" w:hAnsi="Times New Roman"/>
                <w:sz w:val="25"/>
                <w:szCs w:val="25"/>
                <w:b w:val="1"/>
                <w:bCs w:val="1"/>
                <w:color w:val="auto"/>
                <w:vertAlign w:val="superscript"/>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17,585</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17,164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17,164</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16,633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23"/>
        </w:trPr>
        <w:tc>
          <w:tcPr>
            <w:tcW w:w="508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Less: Acquisitions</w:t>
            </w:r>
            <w:r>
              <w:rPr>
                <w:rFonts w:ascii="Times New Roman" w:cs="Times New Roman" w:eastAsia="Times New Roman" w:hAnsi="Times New Roman"/>
                <w:sz w:val="25"/>
                <w:szCs w:val="25"/>
                <w:color w:val="auto"/>
                <w:vertAlign w:val="superscript"/>
              </w:rPr>
              <w:t>(a)</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Dispositions</w:t>
            </w:r>
            <w:r>
              <w:rPr>
                <w:rFonts w:ascii="Times New Roman" w:cs="Times New Roman" w:eastAsia="Times New Roman" w:hAnsi="Times New Roman"/>
                <w:sz w:val="25"/>
                <w:szCs w:val="25"/>
                <w:color w:val="auto"/>
                <w:vertAlign w:val="superscript"/>
              </w:rPr>
              <w:t>(b)</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currency exchange</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308</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7"/>
        </w:trPr>
        <w:tc>
          <w:tcPr>
            <w:tcW w:w="5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Organic revenue</w:t>
            </w:r>
            <w:r>
              <w:rPr>
                <w:rFonts w:ascii="Times New Roman" w:cs="Times New Roman" w:eastAsia="Times New Roman" w:hAnsi="Times New Roman"/>
                <w:sz w:val="25"/>
                <w:szCs w:val="25"/>
                <w:b w:val="1"/>
                <w:bCs w:val="1"/>
                <w:color w:val="auto"/>
                <w:vertAlign w:val="superscript"/>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17,258</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17,083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17,143</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16,557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0"/>
        </w:trPr>
        <w:tc>
          <w:tcPr>
            <w:tcW w:w="5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740" w:hanging="424"/>
        <w:spacing w:after="0" w:line="261"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revenue attributable to acquisitions from the date we completed the transaction through the end of four quarters following the transaction.</w:t>
      </w: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revenue attributable to dispositions for the four quarters preceding the disposition date.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w:t>
      </w:r>
      <w:r>
        <w:rPr>
          <w:rFonts w:ascii="Times New Roman" w:cs="Times New Roman" w:eastAsia="Times New Roman" w:hAnsi="Times New Roman"/>
          <w:sz w:val="26"/>
          <w:szCs w:val="26"/>
          <w:b w:val="1"/>
          <w:bCs w:val="1"/>
          <w:i w:val="1"/>
          <w:iCs w:val="1"/>
          <w:color w:val="auto"/>
          <w:vertAlign w:val="superscript"/>
        </w:rPr>
        <w:t>*</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0"/>
                <w:szCs w:val="10"/>
                <w:color w:val="auto"/>
              </w:rPr>
            </w:pPr>
          </w:p>
        </w:tc>
        <w:tc>
          <w:tcPr>
            <w:tcW w:w="50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5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8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$ 1,362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$ 1,683</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Add: Interest and other financial charges — net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Non-operating benefit (income) costs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(160)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(421)</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(loss) from discontinued operations, net of taxes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687</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$ 1,808</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$ 2,156</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16"/>
        </w:trPr>
        <w:tc>
          <w:tcPr>
            <w:tcW w:w="4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Restructuring costs</w:t>
            </w:r>
            <w:r>
              <w:rPr>
                <w:rFonts w:ascii="Times New Roman" w:cs="Times New Roman" w:eastAsia="Times New Roman" w:hAnsi="Times New Roman"/>
                <w:sz w:val="25"/>
                <w:szCs w:val="25"/>
                <w:color w:val="auto"/>
                <w:vertAlign w:val="superscript"/>
              </w:rPr>
              <w:t>(a)</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Acquisition and disposition related charges (benefits)</w:t>
            </w:r>
            <w:r>
              <w:rPr>
                <w:rFonts w:ascii="Times New Roman" w:cs="Times New Roman" w:eastAsia="Times New Roman" w:hAnsi="Times New Roman"/>
                <w:sz w:val="25"/>
                <w:szCs w:val="25"/>
                <w:color w:val="auto"/>
                <w:vertAlign w:val="superscript"/>
              </w:rPr>
              <w:t>(b)</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940" w:type="dxa"/>
            <w:vAlign w:val="bottom"/>
          </w:tcPr>
          <w:p>
            <w:pPr>
              <w:spacing w:after="0"/>
              <w:rPr>
                <w:sz w:val="24"/>
                <w:szCs w:val="24"/>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6"/>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5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0"/>
                <w:szCs w:val="10"/>
                <w:color w:val="auto"/>
              </w:rPr>
            </w:pPr>
          </w:p>
        </w:tc>
        <w:tc>
          <w:tcPr>
            <w:tcW w:w="6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0"/>
                <w:szCs w:val="10"/>
                <w:color w:val="auto"/>
              </w:rPr>
            </w:pPr>
          </w:p>
        </w:tc>
        <w:tc>
          <w:tcPr>
            <w:tcW w:w="920" w:type="dxa"/>
            <w:vAlign w:val="bottom"/>
          </w:tcPr>
          <w:p>
            <w:pPr>
              <w:jc w:val="right"/>
              <w:ind w:right="31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Add: Spin-Off and separation costs</w:t>
            </w:r>
            <w:r>
              <w:rPr>
                <w:rFonts w:ascii="Times New Roman" w:cs="Times New Roman" w:eastAsia="Times New Roman" w:hAnsi="Times New Roman"/>
                <w:sz w:val="24"/>
                <w:szCs w:val="24"/>
                <w:color w:val="auto"/>
                <w:vertAlign w:val="superscript"/>
              </w:rPr>
              <w:t>(c)</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(Gain)/loss of business dispositions /divestments</w:t>
            </w:r>
            <w:r>
              <w:rPr>
                <w:rFonts w:ascii="Times New Roman" w:cs="Times New Roman" w:eastAsia="Times New Roman" w:hAnsi="Times New Roman"/>
                <w:sz w:val="25"/>
                <w:szCs w:val="25"/>
                <w:color w:val="auto"/>
                <w:vertAlign w:val="superscript"/>
              </w:rPr>
              <w:t>(d)</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Amortization of acquisition-related intangible assets</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Investment revaluation (gain)/loss</w:t>
            </w:r>
            <w:r>
              <w:rPr>
                <w:rFonts w:ascii="Times New Roman" w:cs="Times New Roman" w:eastAsia="Times New Roman" w:hAnsi="Times New Roman"/>
                <w:sz w:val="25"/>
                <w:szCs w:val="25"/>
                <w:color w:val="auto"/>
                <w:vertAlign w:val="superscript"/>
              </w:rPr>
              <w: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$ 700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$ 779</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2,017</w:t>
            </w: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2,345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margin (U.S. GAAP)</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(1.3) points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(2.8) points</w:t>
            </w: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11.9%</w:t>
            </w:r>
          </w:p>
        </w:tc>
        <w:tc>
          <w:tcPr>
            <w:tcW w:w="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13.0%</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 margin*</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18.1%</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(2.8) points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15.0%</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18.0%</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(3.0) points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severance, facility closures, and other charges associated with historical restructuring programs.</w:t>
      </w:r>
    </w:p>
    <w:p>
      <w:pPr>
        <w:spacing w:after="0" w:line="27"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540" w:right="42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Spin-Off and separation from GE including system implementation, audit and advisory fees, legal entity separation, and other one-time costs.</w:t>
      </w: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resulting from the sale of assets and investments.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valuation adjustments for equity investments.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r>
        <w:rPr>
          <w:rFonts w:ascii="Times New Roman" w:cs="Times New Roman" w:eastAsia="Times New Roman" w:hAnsi="Times New Roman"/>
          <w:sz w:val="26"/>
          <w:szCs w:val="26"/>
          <w:b w:val="1"/>
          <w:bCs w:val="1"/>
          <w:i w:val="1"/>
          <w:iCs w:val="1"/>
          <w:color w:val="auto"/>
          <w:vertAlign w:val="superscript"/>
        </w:rPr>
        <w:t>*</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56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40" w:type="dxa"/>
            <w:vAlign w:val="bottom"/>
          </w:tcPr>
          <w:p>
            <w:pPr>
              <w:spacing w:after="0"/>
              <w:rPr>
                <w:sz w:val="15"/>
                <w:szCs w:val="15"/>
                <w:color w:val="auto"/>
              </w:rPr>
            </w:pPr>
          </w:p>
        </w:tc>
      </w:tr>
      <w:tr>
        <w:trPr>
          <w:trHeight w:val="142"/>
        </w:trPr>
        <w:tc>
          <w:tcPr>
            <w:tcW w:w="54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50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5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2"/>
                <w:szCs w:val="12"/>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2,247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13,846</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1,524</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809%</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Add: Interest and other financial charges — net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Non-operating benefit costs</w:t>
            </w:r>
          </w:p>
        </w:tc>
        <w:tc>
          <w:tcPr>
            <w:tcW w:w="10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0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(652)</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(410)</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(loss) from discontinued operations, net of taxes</w:t>
            </w:r>
          </w:p>
        </w:tc>
        <w:tc>
          <w:tcPr>
            <w:tcW w:w="10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11,839</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7"/>
        </w:trPr>
        <w:tc>
          <w:tcPr>
            <w:tcW w:w="5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5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EBIT</w:t>
            </w:r>
            <w:r>
              <w:rPr>
                <w:rFonts w:ascii="Times New Roman" w:cs="Times New Roman" w:eastAsia="Times New Roman" w:hAnsi="Times New Roman"/>
                <w:sz w:val="25"/>
                <w:szCs w:val="25"/>
                <w:b w:val="1"/>
                <w:bCs w:val="1"/>
                <w:color w:val="auto"/>
                <w:vertAlign w:val="superscript"/>
              </w:rPr>
              <w:t>*</w:t>
            </w:r>
          </w:p>
        </w:tc>
        <w:tc>
          <w:tcPr>
            <w:tcW w:w="10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w w:val="96"/>
              </w:rPr>
              <w:t>$2,918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2,781</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6"/>
              </w:rPr>
              <w:t>$2,188</w:t>
            </w:r>
          </w:p>
        </w:tc>
        <w:tc>
          <w:tcPr>
            <w:tcW w:w="14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5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Restructuring costs</w:t>
            </w:r>
            <w:r>
              <w:rPr>
                <w:rFonts w:ascii="Times New Roman" w:cs="Times New Roman" w:eastAsia="Times New Roman" w:hAnsi="Times New Roman"/>
                <w:sz w:val="25"/>
                <w:szCs w:val="25"/>
                <w:color w:val="auto"/>
                <w:vertAlign w:val="superscript"/>
              </w:rPr>
              <w:t>(a)</w:t>
            </w:r>
          </w:p>
        </w:tc>
        <w:tc>
          <w:tcPr>
            <w:tcW w:w="10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Acquisition and disposition related charges (benefits)</w:t>
            </w:r>
            <w:r>
              <w:rPr>
                <w:rFonts w:ascii="Times New Roman" w:cs="Times New Roman" w:eastAsia="Times New Roman" w:hAnsi="Times New Roman"/>
                <w:sz w:val="25"/>
                <w:szCs w:val="25"/>
                <w:color w:val="auto"/>
                <w:vertAlign w:val="superscript"/>
              </w:rPr>
              <w:t>(b)</w:t>
            </w:r>
          </w:p>
        </w:tc>
        <w:tc>
          <w:tcPr>
            <w:tcW w:w="10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Spin-Off and separation costs</w:t>
            </w:r>
            <w:r>
              <w:rPr>
                <w:rFonts w:ascii="Times New Roman" w:cs="Times New Roman" w:eastAsia="Times New Roman" w:hAnsi="Times New Roman"/>
                <w:sz w:val="25"/>
                <w:szCs w:val="25"/>
                <w:color w:val="auto"/>
                <w:vertAlign w:val="superscript"/>
              </w:rPr>
              <w:t>(c)</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(Gain)/loss of business dispositions /divestments</w:t>
            </w:r>
            <w:r>
              <w:rPr>
                <w:rFonts w:ascii="Times New Roman" w:cs="Times New Roman" w:eastAsia="Times New Roman" w:hAnsi="Times New Roman"/>
                <w:sz w:val="25"/>
                <w:szCs w:val="25"/>
                <w:color w:val="auto"/>
                <w:vertAlign w:val="superscript"/>
              </w:rPr>
              <w:t>(d)</w:t>
            </w:r>
          </w:p>
        </w:tc>
        <w:tc>
          <w:tcPr>
            <w:tcW w:w="10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acquisition-related intangible assets</w:t>
            </w:r>
          </w:p>
        </w:tc>
        <w:tc>
          <w:tcPr>
            <w:tcW w:w="10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83</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Investment revaluation (gain)/loss</w:t>
            </w:r>
            <w:r>
              <w:rPr>
                <w:rFonts w:ascii="Times New Roman" w:cs="Times New Roman" w:eastAsia="Times New Roman" w:hAnsi="Times New Roman"/>
                <w:sz w:val="25"/>
                <w:szCs w:val="25"/>
                <w:color w:val="auto"/>
                <w:vertAlign w:val="superscript"/>
              </w:rPr>
              <w:t>(e)</w:t>
            </w:r>
          </w:p>
        </w:tc>
        <w:tc>
          <w:tcPr>
            <w:tcW w:w="10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b w:val="1"/>
                <w:bCs w:val="1"/>
                <w:color w:val="auto"/>
                <w:vertAlign w:val="superscript"/>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3,172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2,981</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2,492</w:t>
            </w:r>
          </w:p>
        </w:tc>
        <w:tc>
          <w:tcPr>
            <w:tcW w:w="500" w:type="dxa"/>
            <w:vAlign w:val="bottom"/>
          </w:tcPr>
          <w:p>
            <w:pPr>
              <w:spacing w:after="0"/>
              <w:rPr>
                <w:sz w:val="19"/>
                <w:szCs w:val="19"/>
                <w:color w:val="auto"/>
              </w:rPr>
            </w:pPr>
          </w:p>
        </w:tc>
        <w:tc>
          <w:tcPr>
            <w:tcW w:w="1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5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margin (U.S. GAAP)</w:t>
            </w:r>
          </w:p>
        </w:tc>
        <w:tc>
          <w:tcPr>
            <w:tcW w:w="10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80.7%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9.2%</w:t>
            </w:r>
          </w:p>
        </w:tc>
        <w:tc>
          <w:tcPr>
            <w:tcW w:w="14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(68) points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 points</w:t>
            </w:r>
          </w:p>
        </w:tc>
      </w:tr>
      <w:tr>
        <w:trPr>
          <w:trHeight w:val="359"/>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 margin</w:t>
            </w:r>
            <w:r>
              <w:rPr>
                <w:rFonts w:ascii="Times New Roman" w:cs="Times New Roman" w:eastAsia="Times New Roman" w:hAnsi="Times New Roman"/>
                <w:sz w:val="26"/>
                <w:szCs w:val="26"/>
                <w:b w:val="1"/>
                <w:bCs w:val="1"/>
                <w:color w:val="auto"/>
                <w:vertAlign w:val="superscript"/>
              </w:rPr>
              <w:t>*</w:t>
            </w:r>
          </w:p>
        </w:tc>
        <w:tc>
          <w:tcPr>
            <w:tcW w:w="10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15.0%</w:t>
            </w:r>
          </w:p>
        </w:tc>
        <w:tc>
          <w:tcPr>
            <w:tcW w:w="14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0.7 point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 points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severance, facility closures, and other charges associated with historical restructuring programs.</w:t>
      </w:r>
    </w:p>
    <w:p>
      <w:pPr>
        <w:spacing w:after="0" w:line="27"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540" w:right="76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Spin-Off and separation from GE as well as the planned IPO of GE’s Healthcare business in 2019 including system implementation, audit and advisory fees, legal entity separation, and other one-time costs.</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resulting from the sale of assets and investments.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valuation adjustments for equity investments.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r>
        <w:rPr>
          <w:rFonts w:ascii="Times New Roman" w:cs="Times New Roman" w:eastAsia="Times New Roman" w:hAnsi="Times New Roman"/>
          <w:sz w:val="26"/>
          <w:szCs w:val="26"/>
          <w:b w:val="1"/>
          <w:bCs w:val="1"/>
          <w:i w:val="1"/>
          <w:iCs w:val="1"/>
          <w:color w:val="auto"/>
          <w:vertAlign w:val="superscript"/>
        </w:rPr>
        <w:t>*</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7"/>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17"/>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0" w:type="dxa"/>
            <w:vAlign w:val="bottom"/>
            <w:tcBorders>
              <w:bottom w:val="single" w:sz="8" w:color="CCEEFF"/>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2"/>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Non-operating benefit (income) costs</w:t>
            </w:r>
          </w:p>
        </w:tc>
        <w:tc>
          <w:tcPr>
            <w:tcW w:w="100" w:type="dxa"/>
            <w:vAlign w:val="bottom"/>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Restructuring costs</w:t>
            </w:r>
            <w:r>
              <w:rPr>
                <w:rFonts w:ascii="Times New Roman" w:cs="Times New Roman" w:eastAsia="Times New Roman" w:hAnsi="Times New Roman"/>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Add: Acquisition and disposition related charges (benefits)</w:t>
            </w:r>
            <w:r>
              <w:rPr>
                <w:rFonts w:ascii="Times New Roman" w:cs="Times New Roman" w:eastAsia="Times New Roman" w:hAnsi="Times New Roman"/>
                <w:sz w:val="25"/>
                <w:szCs w:val="25"/>
                <w:color w:val="auto"/>
                <w:vertAlign w:val="superscript"/>
              </w:rPr>
              <w:t>(b)</w:t>
            </w:r>
          </w:p>
        </w:tc>
        <w:tc>
          <w:tcPr>
            <w:tcW w:w="10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Spin-Off and separation costs</w:t>
            </w:r>
            <w:r>
              <w:rPr>
                <w:rFonts w:ascii="Times New Roman" w:cs="Times New Roman" w:eastAsia="Times New Roman" w:hAnsi="Times New Roman"/>
                <w:sz w:val="25"/>
                <w:szCs w:val="25"/>
                <w:color w:val="auto"/>
                <w:vertAlign w:val="superscript"/>
              </w:rPr>
              <w:t>(c)</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Add: (Gain)/loss of business dispositions /divestments</w:t>
            </w:r>
            <w:r>
              <w:rPr>
                <w:rFonts w:ascii="Times New Roman" w:cs="Times New Roman" w:eastAsia="Times New Roman" w:hAnsi="Times New Roman"/>
                <w:sz w:val="25"/>
                <w:szCs w:val="25"/>
                <w:color w:val="auto"/>
                <w:vertAlign w:val="superscript"/>
              </w:rPr>
              <w:t>(d)</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Amortization of acquisition-related intangible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Add: Investment revaluation (gain)/loss</w:t>
            </w:r>
            <w:r>
              <w:rPr>
                <w:rFonts w:ascii="Times New Roman" w:cs="Times New Roman" w:eastAsia="Times New Roman" w:hAnsi="Times New Roman"/>
                <w:sz w:val="25"/>
                <w:szCs w:val="25"/>
                <w:color w:val="auto"/>
                <w:vertAlign w:val="superscript"/>
              </w:rPr>
              <w:t>(e)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Tax effect of reconciling items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Less: Impact of tax law changes</w:t>
            </w:r>
            <w:r>
              <w:rPr>
                <w:rFonts w:ascii="Times New Roman" w:cs="Times New Roman" w:eastAsia="Times New Roman" w:hAnsi="Times New Roman"/>
                <w:sz w:val="25"/>
                <w:szCs w:val="25"/>
                <w:color w:val="auto"/>
                <w:vertAlign w:val="superscript"/>
              </w:rPr>
              <w:t>(f)</w:t>
            </w:r>
          </w:p>
        </w:tc>
        <w:tc>
          <w:tcPr>
            <w:tcW w:w="10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(loss) from discontinued operations, net of taxes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2"/>
              </w:rPr>
              <w:t>(5)%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severance, facility closures, and other charges associated with historical restructuring programs.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consulting, and other transaction and integration fees, and adjustments to contingent</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as well as other purchase accounting related charges and other costs directly related to the transactions.</w:t>
      </w:r>
    </w:p>
    <w:p>
      <w:pPr>
        <w:spacing w:after="0" w:line="9"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Spin-Off and separation from GE including system implementation, audit and advisory fees, legal entity separation, and other one-time costs.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resulting from the sale of assets and investments.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valuation adjustments for equity investments.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benefit from U.K. tax rate change.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2021/2020 %</w:t>
            </w: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2020/2019 %</w:t>
            </w:r>
          </w:p>
        </w:tc>
        <w:tc>
          <w:tcPr>
            <w:tcW w:w="240" w:type="dxa"/>
            <w:vAlign w:val="bottom"/>
          </w:tcPr>
          <w:p>
            <w:pPr>
              <w:spacing w:after="0"/>
              <w:rPr>
                <w:sz w:val="15"/>
                <w:szCs w:val="15"/>
                <w:color w:val="auto"/>
              </w:rPr>
            </w:pPr>
          </w:p>
        </w:tc>
      </w:tr>
      <w:tr>
        <w:trPr>
          <w:trHeight w:val="142"/>
        </w:trPr>
        <w:tc>
          <w:tcPr>
            <w:tcW w:w="5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6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2,247</w:t>
            </w:r>
          </w:p>
        </w:tc>
        <w:tc>
          <w:tcPr>
            <w:tcW w:w="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13,846</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1,524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809%</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Add: Non-operating benefit costs</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5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 Restructuring costs</w:t>
            </w:r>
            <w:r>
              <w:rPr>
                <w:rFonts w:ascii="Times New Roman" w:cs="Times New Roman" w:eastAsia="Times New Roman" w:hAnsi="Times New Roman"/>
                <w:sz w:val="25"/>
                <w:szCs w:val="25"/>
                <w:color w:val="auto"/>
                <w:vertAlign w:val="superscript"/>
              </w:rPr>
              <w:t>(a)</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160</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35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Add: Acquisition and disposition related charges (benefits)</w:t>
            </w:r>
            <w:r>
              <w:rPr>
                <w:rFonts w:ascii="Times New Roman" w:cs="Times New Roman" w:eastAsia="Times New Roman" w:hAnsi="Times New Roman"/>
                <w:sz w:val="26"/>
                <w:szCs w:val="26"/>
                <w:color w:val="auto"/>
                <w:vertAlign w:val="superscript"/>
              </w:rPr>
              <w:t>(b)</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120"/>
        <w:spacing w:after="0" w:line="205" w:lineRule="auto"/>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Non-GAAP financial measure.</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6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2021/2020 %</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2020/2019 %</w:t>
            </w:r>
          </w:p>
        </w:tc>
        <w:tc>
          <w:tcPr>
            <w:tcW w:w="240" w:type="dxa"/>
            <w:vAlign w:val="bottom"/>
          </w:tcPr>
          <w:p>
            <w:pPr>
              <w:spacing w:after="0"/>
              <w:rPr>
                <w:sz w:val="15"/>
                <w:szCs w:val="15"/>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5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2"/>
                <w:szCs w:val="12"/>
                <w:color w:val="auto"/>
              </w:rPr>
            </w:pPr>
          </w:p>
        </w:tc>
        <w:tc>
          <w:tcPr>
            <w:tcW w:w="1380" w:type="dxa"/>
            <w:vAlign w:val="bottom"/>
            <w:gridSpan w:val="2"/>
          </w:tcPr>
          <w:p>
            <w:pPr>
              <w:jc w:val="center"/>
              <w:ind w:right="5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change</w:t>
            </w: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6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Add: Spin-Off and separation costs</w:t>
            </w:r>
            <w:r>
              <w:rPr>
                <w:rFonts w:ascii="Times New Roman" w:cs="Times New Roman" w:eastAsia="Times New Roman" w:hAnsi="Times New Roman"/>
                <w:sz w:val="24"/>
                <w:szCs w:val="24"/>
                <w:color w:val="auto"/>
                <w:vertAlign w:val="superscript"/>
              </w:rPr>
              <w:t>(c)</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(Gains)/loss of business dispositions/ divestments</w:t>
            </w:r>
            <w:r>
              <w:rPr>
                <w:rFonts w:ascii="Times New Roman" w:cs="Times New Roman" w:eastAsia="Times New Roman" w:hAnsi="Times New Roman"/>
                <w:sz w:val="25"/>
                <w:szCs w:val="25"/>
                <w:color w:val="auto"/>
                <w:vertAlign w:val="superscript"/>
              </w:rPr>
              <w:t>(d)</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Amortization of acquisition-related intangible assets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Investment revaluation (gain)/loss</w:t>
            </w:r>
            <w:r>
              <w:rPr>
                <w:rFonts w:ascii="Times New Roman" w:cs="Times New Roman" w:eastAsia="Times New Roman" w:hAnsi="Times New Roman"/>
                <w:sz w:val="25"/>
                <w:szCs w:val="25"/>
                <w:color w:val="auto"/>
                <w:vertAlign w:val="superscript"/>
              </w:rPr>
              <w:t>(e)</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Tax effect of reconciling items</w:t>
            </w: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 Impact of tax law changes</w:t>
            </w:r>
            <w:r>
              <w:rPr>
                <w:rFonts w:ascii="Times New Roman" w:cs="Times New Roman" w:eastAsia="Times New Roman" w:hAnsi="Times New Roman"/>
                <w:sz w:val="25"/>
                <w:szCs w:val="25"/>
                <w:color w:val="auto"/>
                <w:vertAlign w:val="superscript"/>
              </w:rPr>
              <w:t>(f)</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(loss) from discontinued operations, net of taxes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Adjusted net income</w:t>
            </w:r>
            <w:r>
              <w:rPr>
                <w:rFonts w:ascii="Times New Roman" w:cs="Times New Roman" w:eastAsia="Times New Roman" w:hAnsi="Times New Roman"/>
                <w:sz w:val="25"/>
                <w:szCs w:val="25"/>
                <w:color w:val="auto"/>
                <w:vertAlign w:val="superscript"/>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2,347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$ 2,121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1,892</w:t>
            </w:r>
          </w:p>
        </w:tc>
        <w:tc>
          <w:tcPr>
            <w:tcW w:w="46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0"/>
        </w:trPr>
        <w:tc>
          <w:tcPr>
            <w:tcW w:w="5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severance, facility closures, and other charges associated with historical restructuring programs.</w:t>
      </w:r>
    </w:p>
    <w:p>
      <w:pPr>
        <w:spacing w:after="0" w:line="27"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540" w:right="760" w:hanging="424"/>
        <w:spacing w:after="0" w:line="250"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Spin-Off and separation from GE as well as the planned IPO of GE’s Healthcare business in 2019 including system implementation, audit and advisory fees, legal entity separation, and other one-time costs.</w:t>
      </w: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resulting from the sale of assets and investments.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valuation adjustments for equity investments.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benefit from U.K. tax rate change.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0"/>
                <w:szCs w:val="10"/>
                <w:color w:val="auto"/>
              </w:rPr>
            </w:pPr>
          </w:p>
        </w:tc>
        <w:tc>
          <w:tcPr>
            <w:tcW w:w="56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from (used for) operating activities — continuing operations</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1,071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1,618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73"/>
              </w:rPr>
              <w:t>(34)</w:t>
            </w:r>
          </w:p>
        </w:tc>
        <w:tc>
          <w:tcPr>
            <w:tcW w:w="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66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Add: Additions to PP&amp;E and internal-use software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Dispositions of PP&amp;E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Add: Impact of factoring programs</w:t>
            </w:r>
            <w:r>
              <w:rPr>
                <w:rFonts w:ascii="Times New Roman" w:cs="Times New Roman" w:eastAsia="Times New Roman" w:hAnsi="Times New Roman"/>
                <w:sz w:val="25"/>
                <w:szCs w:val="25"/>
                <w:color w:val="auto"/>
                <w:vertAlign w:val="superscript"/>
              </w:rPr>
              <w:t>(a)</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2,275</w:t>
            </w: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340" w:hanging="424"/>
        <w:spacing w:after="0" w:line="282"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net cash flows from operating activities from continuing operations had we not factored receivables with GE’s Working Capital Solutions (“WCS”). By the end of 2021, factoring of receivables with WCS was discontinued.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 ended</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3"/>
        </w:trPr>
        <w:tc>
          <w:tcPr>
            <w:tcW w:w="60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240" w:type="dxa"/>
            <w:vAlign w:val="bottom"/>
          </w:tcPr>
          <w:p>
            <w:pPr>
              <w:spacing w:after="0"/>
              <w:rPr>
                <w:sz w:val="15"/>
                <w:szCs w:val="15"/>
                <w:color w:val="auto"/>
              </w:rPr>
            </w:pPr>
          </w:p>
        </w:tc>
      </w:tr>
      <w:tr>
        <w:trPr>
          <w:trHeight w:val="142"/>
        </w:trPr>
        <w:tc>
          <w:tcPr>
            <w:tcW w:w="60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in millions</w:t>
            </w: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 change</w:t>
            </w:r>
          </w:p>
        </w:tc>
        <w:tc>
          <w:tcPr>
            <w:tcW w:w="6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from (used for) operating activities — continuing operations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1,607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2,618</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Add: Additions to PP&amp;E and internal-use software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Dispositions of PP&amp;E</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3"/>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Impact of factoring programs</w:t>
            </w:r>
            <w:r>
              <w:rPr>
                <w:rFonts w:ascii="Times New Roman" w:cs="Times New Roman" w:eastAsia="Times New Roman" w:hAnsi="Times New Roman"/>
                <w:sz w:val="25"/>
                <w:szCs w:val="25"/>
                <w:color w:val="auto"/>
                <w:vertAlign w:val="superscript"/>
              </w:rPr>
              <w:t>(a)</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Free cash flow</w:t>
            </w:r>
            <w:r>
              <w:rPr>
                <w:rFonts w:ascii="Times New Roman" w:cs="Times New Roman" w:eastAsia="Times New Roman" w:hAnsi="Times New Roman"/>
                <w:sz w:val="25"/>
                <w:szCs w:val="25"/>
                <w:b w:val="1"/>
                <w:bCs w:val="1"/>
                <w:color w:val="auto"/>
                <w:vertAlign w:val="superscript"/>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2,827</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2,463</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1,900</w:t>
            </w:r>
          </w:p>
        </w:tc>
        <w:tc>
          <w:tcPr>
            <w:tcW w:w="12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6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100" w:hanging="424"/>
        <w:spacing w:after="0" w:line="282"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net cash flows from operating activities from continuing operations had we not factored receivables with WCS. By the end of 2021, factoring of receivables with WCS was discontinued.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Historically, our business has generated positive cash flows from operations from continuing operations. A significant majority of such cash flows was transferred to GE. We participated in GE’s cash pooling arrangements to manage liquidity and fund operations, the effect of which is presented as net parent investment in our combined and condensed combined financial statements included elsewhere in this prospectus.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Spin-Off, we will cease participation in GE cash pooling arrangements and our Cash, cash equivalents, and restricted cash will be held and used solely for our own operations. Our capital structure, long-term commitments, and sources of liquidity will change significantly from our historical practices. For additional detail regarding changes to our capital structure, see “Debt” section below. Our cash balance on the date of the completion of this Spin-Off is expected to be approximately $1.8 billion.</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our existing cash and cash flows generated from operations and indebtedness to be incurred in conjunction with the Spin-Off discussed in detail below will be responsive to the needs of our current and planned operations for at least the next 12 months.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6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6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440" w:type="dxa"/>
            <w:vAlign w:val="bottom"/>
            <w:vMerge w:val="continue"/>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operating activities from continuing operations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 from continuing operations.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financing activities from continuing operations.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355"/>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Cash generated from operating activities from continuing operations was $1,071 million for the nine months ended September 30, 2022, and $1,618 million for the nine months ended September 30, 2021.</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Cash generated from operating activities in the nine months ended September 30, 2022, included Net income from continuing operations of $1,382 million, non-cash charges for depreciation and amortization of $476 million, and $787 million outflow from changes in assets and liabilities, primarily driven by an increase in inventory mainly due to inventory build to meet demand in the fourth quarter and into 2023, higher cash taxes paid mainly due to mandatory capitalization of research and development costs under the TCJA beginning in 2022, and an increase in contract and other deferred costs, partially offset by an increase in accounts payable.</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Cash generated from operating activities in the nine months ended September 30, 2021, included Net income from continuing operations of $1,699 million, non-cash charges for depreciation and amortization of $471 million, and $552 million outflow from changes in assets and liabilities, primarily driven by an $816 million impact from the discontinuation of factoring programs in 2021 and an increase in inventory, partially offset by an increase in accounts payable and a decrease in current receivables excluding the effect of discontinuation of factoring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340" w:hanging="224"/>
        <w:spacing w:after="0"/>
        <w:tabs>
          <w:tab w:leader="none" w:pos="340" w:val="left"/>
        </w:tabs>
        <w:numPr>
          <w:ilvl w:val="0"/>
          <w:numId w:val="1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Cash used for investing activities from continuing operations was $303 million for the nine months ended September 30, 2022, included additions to PP&amp;E of $233 million related primarily to new product launches and manufacturing capacity expansion, and other investments of $73 million partially offset by dispositions of PP&amp;E of $3 million. The cash invested in other investments was primarily related to the following investment:</w:t>
      </w:r>
    </w:p>
    <w:p>
      <w:pPr>
        <w:spacing w:after="0" w:line="63" w:lineRule="exact"/>
        <w:rPr>
          <w:sz w:val="20"/>
          <w:szCs w:val="20"/>
          <w:color w:val="auto"/>
        </w:rPr>
      </w:pPr>
    </w:p>
    <w:p>
      <w:pPr>
        <w:jc w:val="both"/>
        <w:ind w:left="1080" w:right="48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20, 2022, we made an investment in AliveCor. AliveCor is a medical device and AI company producing ECG hardware and software for consumer mobile devices. AliveCor’s mission is to save lives and transform cardiology by delivering intelligent, highly personalized heart data to clinicians and patients anytime, anywhere.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21, 2022, we made an investment in Pulsenmore, taking a step forward in further enabling precision health. Pulsenmore’s innovative handheld tele-ultrasound device docks with a smartphone, allowing expectant mothers to perform ultrasound self-scans at home and receive remote clinical feedback from healthcare professionals.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from continuing operations was $229 million for the nine months ended September 30, 2021, included additions to PP&amp;E and internal-use software of $175 million related primarily to new product launches and manufacturing capacity expansion, and purchase of businesses of $26 million, partially offset by dispositions of PP&amp;E of $16 million. The cash invested in purchase of businesses pertained to the following acquisition:</w:t>
      </w:r>
    </w:p>
    <w:p>
      <w:pPr>
        <w:spacing w:after="0" w:line="83" w:lineRule="exact"/>
        <w:rPr>
          <w:sz w:val="20"/>
          <w:szCs w:val="20"/>
          <w:color w:val="auto"/>
        </w:rPr>
      </w:pPr>
    </w:p>
    <w:p>
      <w:pPr>
        <w:ind w:left="1080" w:right="220" w:hanging="424"/>
        <w:spacing w:after="0" w:line="267"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5, 2021, we acquired Zionexa, a leading innovator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oncology and neurology biomarkers that help enable more personalized healthcare. This acquisition demonstrates GE HealthCare’s commitment to its precision health vision and builds additional pipelines of oncology and neurology tracers to help physicians personalize treatment.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Cash used for financing activities from continuing operations of $785 million and $1,664 million for the nine months ended September 30, 2022, and 2021, respectively, included $703 million and $1,633 million, respectively, of transfers to parent.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26"/>
          <w:szCs w:val="26"/>
          <w:i w:val="1"/>
          <w:iCs w:val="1"/>
          <w:color w:val="auto"/>
          <w:vertAlign w:val="superscript"/>
        </w:rPr>
        <w:t>*</w:t>
      </w:r>
    </w:p>
    <w:p>
      <w:pPr>
        <w:spacing w:after="0" w:line="47" w:lineRule="exact"/>
        <w:rPr>
          <w:sz w:val="20"/>
          <w:szCs w:val="20"/>
          <w:color w:val="auto"/>
        </w:rPr>
      </w:pPr>
    </w:p>
    <w:p>
      <w:pPr>
        <w:ind w:left="120" w:right="80" w:firstLine="440"/>
        <w:spacing w:after="0" w:line="212" w:lineRule="auto"/>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$841 million for the nine months ended September 30, 2022, and $2,275 million for the nine months ended September 30, 2021.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decreased $1,434 million primarily due to an increase in receivables excluding the impact of factoring programs, a decrease in Net income from continuing operations, an increase in inventory mainly due to inventory build to meet demand in the fourth quarter and into 2023, higher cash taxes paid mainly due to mandatory capitalization of research and development costs under the TCJA beginning in 2022, and an increase in contract and other deferred costs.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Cash used for capital expenditures was $233 million and $175 million for the nine months ended September 30, 2022, and nine months ended September 30, 2021, respectively. Capital expenditures were primarily for manufacturing capacity expansion, equipment and tooling for new and existing products, purchased software, and internal-use software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6" w:lineRule="exact"/>
        <w:rPr>
          <w:sz w:val="20"/>
          <w:szCs w:val="20"/>
          <w:color w:val="auto"/>
        </w:rPr>
      </w:pPr>
    </w:p>
    <w:p>
      <w:pPr>
        <w:ind w:left="340" w:hanging="224"/>
        <w:spacing w:after="0"/>
        <w:tabs>
          <w:tab w:leader="none" w:pos="340" w:val="left"/>
        </w:tabs>
        <w:numPr>
          <w:ilvl w:val="0"/>
          <w:numId w:val="10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2021, 2020, and 2019:</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80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2"/>
                <w:szCs w:val="12"/>
                <w:color w:val="auto"/>
              </w:rPr>
            </w:pPr>
          </w:p>
        </w:tc>
        <w:tc>
          <w:tcPr>
            <w:tcW w:w="5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operating activities from continuing operations</w:t>
            </w:r>
          </w:p>
        </w:tc>
        <w:tc>
          <w:tcPr>
            <w:tcW w:w="1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$ 2,618</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 from continuing operations</w:t>
            </w:r>
          </w:p>
        </w:tc>
        <w:tc>
          <w:tcPr>
            <w:tcW w:w="20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(1,761)</w:t>
            </w: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(323)</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financing activities from continuing operations</w:t>
            </w:r>
          </w:p>
        </w:tc>
        <w:tc>
          <w:tcPr>
            <w:tcW w:w="20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(263)</w:t>
            </w:r>
          </w:p>
        </w:tc>
        <w:tc>
          <w:tcPr>
            <w:tcW w:w="13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(2,166)</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(used for) discontinued operations</w:t>
            </w:r>
          </w:p>
        </w:tc>
        <w:tc>
          <w:tcPr>
            <w:tcW w:w="1200" w:type="dxa"/>
            <w:vAlign w:val="bottom"/>
          </w:tcPr>
          <w:p>
            <w:pPr>
              <w:spacing w:after="0"/>
              <w:rPr>
                <w:sz w:val="18"/>
                <w:szCs w:val="18"/>
                <w:color w:val="auto"/>
              </w:rPr>
            </w:pPr>
          </w:p>
        </w:tc>
        <w:tc>
          <w:tcPr>
            <w:tcW w:w="8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w:t>
            </w:r>
          </w:p>
        </w:tc>
        <w:tc>
          <w:tcPr>
            <w:tcW w:w="20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2,827</w:t>
            </w:r>
          </w:p>
        </w:tc>
        <w:tc>
          <w:tcPr>
            <w:tcW w:w="13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2,463</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Cash generated from operating activities from continuing operations was $1,607 million, $2,618 million, and $1,838 million in 2021, 2020, and 2019, respectively.</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Cash generated from operating activities in 2021 included Net income from continuing operations of $2,275 million, non-cash charges for depreciation and amortization of $625 million, and $1,293 million outflow from changes in assets and liabilities, primarily driven by a $1,453 million impact from the discontinuation of factoring programs in 2021, and an increase in inventory due to supply chain constraints, partially offset by an increase in accounts payable and a decrease in current receivables excluding the effect of discontinuation of factoring programs.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generated from operating activities in 2020 included Net income from continuing operations of $2,058 million, non-cash charges for depreciation and amortization of $630 million, and $70 million outflow from changes in assets and liabilities, primarily driven by higher cash taxes paid, an increase in receivables excluding the impact of factoring programs, and $88 million impact from the discontinuation of factoring programs in 2020, partially offset by an increase in contract liabilities from higher progress collections due to COVID-19 orders.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Cash generated from operating activities in 2019 included Net income from continuing operations of $1,681 million, non-cash charges for depreciation and amortization of $659 million, and $502 million outflow from changes in assets and liabilities, primarily due to the impact of factoring programs, and higher inventory balances. Cash flows from operating activities from continuing operations included $77 million of non-repeat cash outflows related to activities pertaining to the planned IPO of GE’s Healthcare business.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Cash used for investing activities from continuing operations was $1,761 million, $323 million, and $313 million in 2021, 2020, and 2019, respectively.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in 2021 included net cash payments of $1,481 million for purchase of businesses, and additions to PP&amp;E and internal-use software of $248 million related primarily to new product launches and manufacturing capacity expansion, partially offset by dispositions of PP&amp;E of $15 million. The cash invested in purchase of businesses pertained to the following acquisitions:</w:t>
      </w:r>
    </w:p>
    <w:p>
      <w:pPr>
        <w:spacing w:after="0" w:line="81" w:lineRule="exact"/>
        <w:rPr>
          <w:sz w:val="20"/>
          <w:szCs w:val="20"/>
          <w:color w:val="auto"/>
        </w:rPr>
      </w:pPr>
    </w:p>
    <w:p>
      <w:pPr>
        <w:ind w:left="1080" w:right="60" w:hanging="424"/>
        <w:spacing w:after="0" w:line="266" w:lineRule="auto"/>
        <w:tabs>
          <w:tab w:leader="none" w:pos="10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2021, we acquired BK Medical, a leader in advanced surgical visualization. The acquisition of BK Medical supports our Ultrasound segment’s expansion from diagnostics into surgical and therapeutic interventions. BK Medical is a highly complementary addition to Ultrasound’s business operations representing another example in delivering precision health; and</w:t>
      </w:r>
    </w:p>
    <w:p>
      <w:pPr>
        <w:spacing w:after="0" w:line="162"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220" w:hanging="424"/>
        <w:spacing w:after="0" w:line="267"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5, 2021, we acquired Zionexa, a leading innovator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oncology and neurology biomarkers that help enable more personalized healthcare. This acquisition demonstrates GE HealthCare’s commitment to its precision health vision and builds additional pipelines of oncology and neurology tracers to help physicians personalize treatment.</w:t>
      </w:r>
    </w:p>
    <w:p>
      <w:pPr>
        <w:spacing w:after="0" w:line="17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in 2020 included additions to PP&amp;E and internal-use software of $259 million related primarily to new product launches, manufacturing capacity expansion to fulfill COVID-19 driven demand, and net cash payments of $78 million for purchase of businesses. The cash invested in purchase of businesses primarily pertained to the following acquisition:</w:t>
      </w:r>
    </w:p>
    <w:p>
      <w:pPr>
        <w:spacing w:after="0" w:line="81" w:lineRule="exact"/>
        <w:rPr>
          <w:sz w:val="20"/>
          <w:szCs w:val="20"/>
          <w:color w:val="auto"/>
        </w:rPr>
      </w:pPr>
    </w:p>
    <w:p>
      <w:pPr>
        <w:ind w:left="1080" w:right="56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2020, we announced the acquisition of Prismatic Sensors AB, a Swedish start-up specializing in photon counting detectors, signifying the company’s continued investment in photon counting CT technology. This technology has the potential to significantly increase clinical performance for oncology, cardiology, neurology, and many other clinical CT applications.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Cash used for investing activities in 2019 included additions to PP&amp;E and internal-use software of $331 million related primarily to new product launches and manufacturing capacity expansion in Imaging and Ultrasound segments.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Cash used for financing activities from continuing operations was $263 million, $2,166 million, and $1,435 million in 2021, 2020, and 2019, respectively. Cash used for financing activities included $238 million, $2,098 million, and $1,334 million of transfers to parent in 2021, 2020, and 2019, respectively.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26"/>
          <w:szCs w:val="26"/>
          <w:i w:val="1"/>
          <w:iCs w:val="1"/>
          <w:color w:val="auto"/>
          <w:vertAlign w:val="superscript"/>
        </w:rPr>
        <w:t>*</w:t>
      </w:r>
    </w:p>
    <w:p>
      <w:pPr>
        <w:spacing w:after="0" w:line="47" w:lineRule="exact"/>
        <w:rPr>
          <w:sz w:val="20"/>
          <w:szCs w:val="20"/>
          <w:color w:val="auto"/>
        </w:rPr>
      </w:pPr>
    </w:p>
    <w:p>
      <w:pPr>
        <w:ind w:left="120" w:right="120" w:firstLine="440"/>
        <w:spacing w:after="0" w:line="217" w:lineRule="auto"/>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$2,827 million in 2021, $2,463 million in 2020, and $1,900 million in 2019.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$364 million in 2021 from 2020 primarily due to an increase in accounts payable, a decrease in receivables excluding the impact of factoring programs, an increase in Net income from continuing operations, partially offset by an increase in inventory due to supply chain constraints and decrease in contract liabilities.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increased $563 million in 2020 from 2019 primarily due to an increase in Net income from continuing operations, an increase in contract liabilities, an improvement in inventory balances, and $77 million of non-repeat cash outflows in 2019 related to activities of the planned IPO of GE’s Healthcare business.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Cash used for operating activities from discontinued operations was $931 million in 2020. Cash generated from operating activities from discontinued operations was $151 million in 2019. Cash generated from investing activities from discontinued operations was $20,309 million in 2020. Cash used for investing activities from discontinued operations was $12 million in 2019. Cash used for financing activities from discontinued operations was $19,378 million and $139 million in 2020 and 2019, respectively. These cash flows resulted from the operations and sale of our BioPharma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Cash used for capital expenditures was $248 million, $259 million, and $331 million for the years ended December 31, 2021, 2020, and 2019, respectively. Capital expenditures were primarily for manufacturing capacity expansion, equipment and tooling for new and existing products, purchased software, and internal-use software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6" w:lineRule="exact"/>
        <w:rPr>
          <w:sz w:val="20"/>
          <w:szCs w:val="20"/>
          <w:color w:val="auto"/>
        </w:rPr>
      </w:pPr>
    </w:p>
    <w:p>
      <w:pPr>
        <w:ind w:left="340" w:hanging="224"/>
        <w:spacing w:after="0"/>
        <w:tabs>
          <w:tab w:leader="none" w:pos="340"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enter into contracts and commitments that oblige us to make payments in the future. Information regarding our obligations under lease, debt, and purchase arrangements are provided in Note 7, “Leases,” Note 9, “Borrowings,” and Note 14, “Commitments, Guarantees, Product Warranties, and Other Loss Contingencies,” respectively, to the audited combined financial statements and Note 8, “Borrowings” and Note 13, “Commitments, Guarantees, Product Warranties, and Other Loss Contingencies”, respectively to the unaudited condensed combined financial statements contained elsewhere in this prospectus. Additionally, we have material cash requirements related to our pension obligations as described in Note 10, “Postretirement Benefit Plans,” to the audited combined financial statements and Note 9, “Postretirement Benefit Plans,” to the unaudited condensed combined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relied, via GE, on the debt capital markets to fund a significant portion of our operations. We plan to continue to rely on capital markets, and we expect to have access to credit facilities to fund operations. The cost and availability of debt financing will be influenced by our future credit ratings and market conditions.</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part of our capital structure, we expect to have debt. The servicing of this debt will be supported, in part, by cash flows from our existing operations.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incur indebtedness in an aggregate principal amount of $10.25 billion, consisting of $2.0 billion of Term Loan Facility, which will be drawn prior to or concurrently with the Spin-Off, and $8.25 billion of senior notes issued on November 22, 2022 (see further details in the following paragraphs). We issued $4.0 billion of such indebtedness directly to GE, as partial consideration for certain assets that will be contributed to us in connection with the Spin-Off, and GE exchanged such indebtedness for an equivalent principal amount of GE’s indebtedness. In addition, we have made a cash distribution of $4.2 billion from the balance of debt issuance proceeds to GE on November 22, 2022. We expect to make one or more additional cash distributions to GE prior to or concurrently with the Spin-Off and, after giving effect to such distributions, to begin operations as an independent company with approximately $1.8 billion of Cash, cash equivalents, and restricted cash as set forth under “Capitalization.” We expect that GE will use the proceeds of such indebtedness to pay off GE obligations. GE HealthCare’s capital structure remains under review and will be finalized prior to the Spin-Off. We also entered into a 5-Year Revolving Credit Facility of $2.5 billion and a 364-Day Revolving Credit Facility of $1.0 billion (see further details in the following paragraph), however, the facilities are not expected to be utilized at the completion of the Spin-Off.</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our financing arrangements, future cash from operations, and access to capital markets will provide adequate resources to fund our future cash flow needs. On November 4, 2022, GE HealthCare entered, with the respective syndicates of lenders and issuers named therein and Citibank, N.A., as administrative agent, into: (i) a five-year senior unsecured revolving credit facility (the “5-Year Revolving Credit Facility”) in an aggregate committed amount of $2.5 billion; (ii) a 364-day senior unsecured revolving facility (the “364-Day Revolving Credit Facility” and, together with the 5-Year Revolving Credit Facility, the “Revolving Credit Facilities”) in an aggregate committed amount of $1.0 billion; and (iii) a three-year senior unsecured term loan credit facility (the “Term Loan Facility” and, together with the Revolving Credit Facilities, the “Credit Facilities”), in an aggregate principal amount of $2.0 billion, all in connection with the Spin-Off. The Credit Facilities include various customary covenants that limit, among other things, the incurrence of liens and the entry into certain fundamental change transactions by GE HealthCare.</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November 22, 2022, the Company issued $8.25 billion of unsecured senior notes consisting of the following: $1.0 billion of 5.550% senior notes due 2024, $1.5 billion of 5.600% senior notes due 2025, $1.75 billion of 5.650% senior notes due 2027, $1.25 billion of 5.857% senior notes due 2030, $1.75 billion of 5.905% senior notes due 2032 and $1.0 billion of 6.377% senior notes due 2052 (collectively, the “Notes”).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addition, the Company entered into certain Euro to U.S. Dollar cross currency interest rate swap arrangements with a notional amount of $2.0 billion and maturities ranging from 2024 to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For a discussion of recently issued accounting standards, see Note 2, “Summary of Significant Accounting Policies” to the audited combined financial statements and Note 1, “Basis of Presentation” to the unaudited condensed combined financial statements appearing elsewhere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financial results are affected by the selection and application of accounting policies and methods. We have adopted accounting policies to prepare our combined financial statements in conformity with U.S. GAAP.</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prepare our combined financial statements in accordance with U.S. GAAP, management makes estimates and assumptions that may affect the reported amounts of our assets and liabilities, including our contingent liabilities, as of the date of our financial statements and the reported amounts of our revenues and expenses during the reporting periods. Our actual results may differ from these estimates. We consider estimates to be critical (i) if we are required to make assumptions about material matters that are uncertain at the time of estimation or (ii) if materially different estimates could have been made or it is reasonably likely that the accounting estimate will change from period to period. The following are areas considered to be critical and require management’s judgment: Revenue Recognition, Business Combination Related Measurements, Pensions, and Income Taxes.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to the audited combined financial statements and Note 7, “Acquisitions, Goodwill, and Other Intangible Assets” to the unaudited condensed combined financial statements included elsewhere in this prospectus for further information on our significant accounting policies.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revenues are recorded based on the consideration specified in customer contracts net of any sales incentives, discounts, returns, chargebacks, group purchasing organization fees, rebates, or credits, which are accounted for as estimated variable consideration. Our estimates for these deductions are based upon historical experience and consider current and forecasted market trends. We record the estimated amounts as a reduction to revenue when we recognize the related product or service sale.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Chargebacks are a form of variable consideration that occur when a contracted customer purchases through an intermediary wholesaler. The contracted customer generally purchases product from the wholesaler at its contracted price plus a mark-up. The wholesaler, in turn, charges us back for the difference between the price initially paid by the wholesaler and the contract price paid to the wholesaler by the contracted customer. A provision for chargebacks is recorded at the time we recognize revenue from the sale to the wholesaler and requires certain estimates such as the wholesaler chargeback rates, the expected sell-through levels by our wholesale customers to contracted customers, as well as estimated wholesaler inventory levels.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amounts of variable consideration included in the net transaction price for revenue recognition is limited to the amount that is estimated to be probable of occurrence to avoid a material revenue reversal in a future period. See Note 3, “Revenue Recognition” to the audited combined financial statements included elsewhere in this prospectus for further information on revenue recognition.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Related Measurements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financial statements include the operations of an acquired business starting from the completion of the combination. The assets acquired and liabilities assumed, including any contingent consideration we may be liable to pay in the future, are recorded on the date of the business combination at their respective estimated fair values, with any excess of the purchase price over the estimated fair values of the net assets acquired recorded as goodwill. Our business combinations typically result in the recognition of goodwill, developed technology, and other intangible assets, which affect the amount of future period amortization expense. The fair values of acquired intangible assets and liabilities are determined using information available at the business combination date based on estimates and assumptions that are deemed reasonable. Significant assumptions vary by the class of asset or liability and the valuation technique used and can include the discount rates, timing, and probability of achieving regulatory and commercialization milestones and certain assumptions that form the basis of the forecasted results of the acquired business including revenue, earnings before interest, taxes, depreciation and amortization, growth rates, royalty rates, and technology obsolescence rates. These assumptions are forward looking and could be affected by future economic and market conditions. We engage third-party valuation specialists who review our critical assumptions and prepare the calculations of the fair value of acquired intangible assets in connection with significant business combinations.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In-process research and development (“IPR&amp;D”) acquired as part of a business combination is initially capitalized at fair value when acquired and considered an indefinite-lived intangible asset and is subject to an annual impairment test. Determining whether an impairment loss occurred for indefinite-lived intangible assets involves calculating the fair value of the indefinite-lived intangible assets and comparing the fair value to the carrying value. If the fair value is less than the carrying value, the difference is recorded as an impairment loss. When the IPR&amp;D project is complete, the asset is considered a finite-lived intangible asset and would be subject to a final impairment test at that date. Thereafter, the IPR&amp;D asset is amortized over its estimated useful life and would be subject to impairment assessments in the same manner as all amortizing intangible assets.</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See Note 8, “Acquisitions, Goodwill, and Other Intangible Assets” to the audited combined financial statements included elsewhere in this prospectus for further information on our business combinations.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engage third-party actuaries to assist in the determination of pension obligations and related plan costs. We develop significant long-term assumptions including discount rates and the expected rate of return on assets in connection with our pension accounting. We recognize differences between the expected long-term return on plan assets, the actual return, and net actuarial gains and losses for the pension plan liabilities annually in the fourth quarter of each fiscal year and whenever a plan is determined to qualify for a remeasurement within the combined statements of comprehensive income.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determine the expected long-term rate of return on pension plan assets, we consider current and target asset allocations, as well as historical and expected returns on various categories of plan assets. In developing future long-term return expectations for our principal benefit plans’ assets, we formulate views on the future economic environment, both in the U.S. and abroad. We evaluate general market trends and historical relationships among a number of key variables that impact asset class returns such as expected earnings growth, inflation, valuations, yields, and spreads, using both internal and external sources. We also consider expected volatility by asset class and diversification across classes to determine expected overall portfolio results given current and target allocations.</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See Note 10, “Postretirement Benefit Plans” to the audited combined financial statements included elsewhere in this prospectus for further information on our postretirement benefit plans.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GE HealthCare is included in the combined U.S. federal, state, and foreign income tax returns of GE, where eligible. However, we have adopted the separate return approach for purposes of our combined financial statements. The income tax provisions and related deferred tax assets and liabilities reflected in our combined financial statements have been estimated as if we were a separate taxpayer.</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annual tax expense is based on our income, statutory tax rates, and tax incentives available to us in the various jurisdictions in which we operate. Changes in existing tax laws or rates could significantly impact the estimate of our tax liabilities. Deferred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and credits by assessing the adequacy of future expected taxable income from all sources, including reversal of taxable temporary differences, forecasted operating earnings, and available tax planning strategies. These sources of income rely heavily on estimates; we use our historical experience as well as our short- and long-range business forecasts to provide insight.</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determining our tax expense and in evaluating our tax positions, including evaluating uncertainties. We recognize tax benefits from uncertain tax positions only if we believe that it is more likely than not that the tax position will be sustained on examination by the relevant taxing authorities based on the technical merits of the position. Our policy is to adjust these reserves when facts and circumstances change, such as the settlement or effective settlement of positions with the relevant taxing authorities. We have provided for the amounts we believe will ultimately result from these changes; however, due to the complexity of some of these uncertainties, the ultimate resolution may result in a payment that is materially different from our current estimate of the tax liabilities. Such differences will be reflected as increases or decreases to income tax expense in the period in which they are determined.</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See Note 11, “Income Taxes” to the audited combined financial statements included elsewhere in this prospectus for further information on income taxes.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are exposed to market risk primarily from changes in interest rates and foreign currency exchange rates, which may impact future income, cash flows, and fair value of our business. In certain situations, we may seek to reduce cash flow volatility associated with changes in interest rates and foreign currency exchange rates by entering into financial arrangements intended to provide a hedge against a portion of the risks associated with such volatility. We continue to have exposure to such risks to the extent they are not hedged. We enter into derivative financial arrangements to the extent they meet the objective described above, and we do not use derivatives for trading or speculative purpose.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As a result of our global operations, we generate and incur a significant portion of our revenues and expenses in currencies other than the U.S. Dollar. Such principal currencies include the Euro, the Chinese Yuan, the Japanese Yen, the Norwegian Krone, and the British Pound Sterling, among others. The results of operating entities reported in currencies other than the U.S. Dollar are translated to the U.S. Dollar at the applicable exchange rate for inclusion in our audited combined and condensed combined financial statements.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use a number of techniques to manage the effects of currency exchange, including hedging of significant currency exposures. We use cash flow hedging primarily to reduce or eliminate the effects of foreign exchange rate changes on purchase and sale contracts and economic hedges (which are not designated as hedges from an accounting standpoint) when we have exposures to currency exchange risk for which we are unable to meet the requirements for hedge accounting. In economic hedges, the hedging derivative impact is fully recognized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earnings in current periods. In cash flow hedges, the effective portion of the hedging derivative is offset in separate components of equity and ineffectiveness is recognized in earnings. As a result of the above mitigating activities, we have been able to significantly reduce financial impact volatility from currency fluctuations.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foreign currency effect arising from operating activities outside of the U.S., including the remeasurement of derivatives, can result in significant transactional foreign currency fluctuations at points in time, but generally will be offset as the underlying hedged item is recognized in earnings. The global nature of our customer base and manufacturing footprint allows for the natural offset of certain income and costs denominated in foreign currencies. The effects of foreign currency fluctuations, excluding the earnings impact of the underlying hedged items, had an immaterial impact on Net income in 2021.</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See Note 13, “Derivatives and Hedging” to the audited combined financial statements and Note 12, “Derivatives and Hedging” to the unaudited condensed combined financial statements for further information about our risk exposures, our use of derivatives, and the effects of this activity on our combined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 level of our interest rate risk is dependent on our debt exposure and is sensitive to changes in the general level of interest rates. Historical fluctuations in interest rates have not been significant for us; however, this may vary in the future as our capital structure changes.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Commodity Risk</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rely upon supplies of certain raw materials including helium, iodine, and rare earth minerals. Worldwide demand, availability, and pricing of these raw materials have been volatile, and we expect that availability and pricing will continue to fluctuate in the future. If supply of these materials is restricted or if prices increase, this could constrain our manufacturing of affected products, reduce our profit margins, or otherwise adversely affect our business, our customers, and patients that may rely on our products.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Similarly, commodities and energy prices are subject to significant volatility. If the cost of certain commodities or energy, shipping, or transportation increases and we are unable to pass along these costs to our customers, our profit margins would be adversely affected. Furthermore, increasing our prices to our customers could result in long-term sales declines or loss of market share if our customers find alternative suppliers, which could have a material adverse effect on our results of operations.</w:t>
      </w:r>
    </w:p>
    <w:p>
      <w:pPr>
        <w:spacing w:after="0" w:line="180"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Disruptions in deliveries, capacity constraints, production disruptions up- or down-stream, price increases, or decreased availability of raw materials or commodities, including as a result of war, natural disasters, climate change related physical and transitional risks, actual or threatened public health emergencies, or other business continuity events, adversely affect our operations and, depending on the length and severity of the disruption, can limit our ability to meet our commitments to customers or significantly impact our operating profit or cash flows.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INDUSTRIES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 HealthCare is a leading global medical technology, pharmaceutical diagnostics, and digital solutions innovator. We have approximately 51,000 employees dedicated to our mission to “create a world where healthcare has no limits.” We operate at the center of the healthcare ecosystem, enabling precision health by increasing health system capacity, enhancing productivity, digitizing healthcare delivery, and improving clinical outcomes while serving patients’ demand for greater access, efficiency, and personalized medicine. Our products, services, and solutions enable clinicians to make more informed decisions quickly and efficiently, improving patient care from diagnosis to therapy to monitoring.</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We have more than 125 years of experience and one of the strongest reputations in the global healthcare industry, built from our demonstrated record of delivering industry-defining innovation and complemented by our broad service capabilities and dedication to quality and integrity with a strong operational culture, deeply embedded in lean and focused on continuous improvement. Today, the transition to a data-driven healthcare ecosystem is about improving outcomes by finding new ways to reach and treat patients, while creating capacity for providers, and making precision health a reality. Our portfolio of solutions addresses the biggest challenges facing healthcare providers and patients today and is complemented by our broad services capabilities and digital solutions. These qualities drive strong trust, loyalty, and partnership with our global customers, including healthcare systems and researchers.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GE HealthCare has extensive reach throughout the global healthcare system for medical technology, pharmaceutical diagnostics, and digital solutions, underpinned by resilient, sustainable practices and products, and a commitment to growing access to care. Our products are used in more than two billion procedures to care for more than one billion patients annually. We have a global installed base of more than four million medical devices and delivered over 100 million doses of imaging agents used in patient procedures in 2021. We serve customers in more than 160 countries with a global team of over 10,000 sales professionals, 8,500 field service engineers, and a network of 43 manufacturing sites across 17 countries.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 HealthCare is driven by our focus on people, patients, and customers to enable delivery of care that is simpler, connected, and more precise.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embrace an optimistic vision of the future with more humanity and warmth in the healthcare experience.</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Industries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breadth of our product portfolio and global presence supports an estimated $84 billion total addressable opportunity across the industries our four business segments serve: Imaging, Ultrasound, PCS, and PDx. Within our segments, we offer products, service capabilities, and digital solutions that are utilized by customers to improve workflows, enhance the patient and clinician experience, deliver care more efficiently at a lower cost, and improve clinical outcomes.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summary of the industries in which we participate: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12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billions)</w:t>
            </w:r>
          </w:p>
        </w:tc>
        <w:tc>
          <w:tcPr>
            <w:tcW w:w="2080" w:type="dxa"/>
            <w:vAlign w:val="bottom"/>
          </w:tcPr>
          <w:p>
            <w:pPr>
              <w:spacing w:after="0"/>
              <w:rPr>
                <w:sz w:val="12"/>
                <w:szCs w:val="12"/>
                <w:color w:val="auto"/>
              </w:rPr>
            </w:pPr>
          </w:p>
        </w:tc>
        <w:tc>
          <w:tcPr>
            <w:tcW w:w="1860" w:type="dxa"/>
            <w:vAlign w:val="bottom"/>
            <w:gridSpan w:val="3"/>
          </w:tcPr>
          <w:p>
            <w:pPr>
              <w:jc w:val="right"/>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Industry Size</w:t>
            </w:r>
          </w:p>
        </w:tc>
        <w:tc>
          <w:tcPr>
            <w:tcW w:w="122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Industry CAGR</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CCEEFF"/>
            </w:tcBorders>
            <w:vMerge w:val="continue"/>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0"/>
                <w:szCs w:val="10"/>
                <w:b w:val="1"/>
                <w:bCs w:val="1"/>
                <w:color w:val="auto"/>
              </w:rPr>
              <w:t>*</w:t>
            </w:r>
          </w:p>
        </w:tc>
        <w:tc>
          <w:tcPr>
            <w:tcW w:w="10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(2022-2025)</w:t>
            </w: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Imaging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Ultrasound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PDx</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Industry</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84</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4-6 %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Based on GE HealthCare estimates and Signify Research for digital solutions.</w:t>
      </w:r>
    </w:p>
    <w:p>
      <w:pPr>
        <w:spacing w:after="0" w:line="1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31375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 segments serve customers globally, with each of our key regions representing large and growing opportunities: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rPr>
              <w:t>Industry</w:t>
            </w: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Industry</w:t>
            </w:r>
          </w:p>
        </w:tc>
        <w:tc>
          <w:tcPr>
            <w:tcW w:w="0" w:type="dxa"/>
            <w:vAlign w:val="bottom"/>
          </w:tcPr>
          <w:p>
            <w:pPr>
              <w:spacing w:after="0"/>
              <w:rPr>
                <w:sz w:val="1"/>
                <w:szCs w:val="1"/>
                <w:color w:val="auto"/>
              </w:rPr>
            </w:pPr>
          </w:p>
        </w:tc>
      </w:tr>
      <w:tr>
        <w:trPr>
          <w:trHeight w:val="148"/>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billions)</w:t>
            </w:r>
          </w:p>
        </w:tc>
        <w:tc>
          <w:tcPr>
            <w:tcW w:w="1500" w:type="dxa"/>
            <w:vAlign w:val="bottom"/>
          </w:tcPr>
          <w:p>
            <w:pPr>
              <w:spacing w:after="0"/>
              <w:rPr>
                <w:sz w:val="12"/>
                <w:szCs w:val="12"/>
                <w:color w:val="auto"/>
              </w:rPr>
            </w:pPr>
          </w:p>
        </w:tc>
        <w:tc>
          <w:tcPr>
            <w:tcW w:w="2140" w:type="dxa"/>
            <w:vAlign w:val="bottom"/>
            <w:gridSpan w:val="3"/>
          </w:tcPr>
          <w:p>
            <w:pPr>
              <w:jc w:val="right"/>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Sales by Region</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CAGR</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(2021)</w:t>
            </w:r>
            <w:r>
              <w:rPr>
                <w:rFonts w:ascii="Times New Roman" w:cs="Times New Roman" w:eastAsia="Times New Roman" w:hAnsi="Times New Roman"/>
                <w:sz w:val="10"/>
                <w:szCs w:val="10"/>
                <w:b w:val="1"/>
                <w:bCs w:val="1"/>
                <w:color w:val="auto"/>
                <w:w w:val="99"/>
              </w:rPr>
              <w:t>*</w:t>
            </w:r>
          </w:p>
        </w:tc>
        <w:tc>
          <w:tcPr>
            <w:tcW w:w="1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(2022-2025)</w:t>
            </w: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Canada</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region</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Pr>
          <w:p>
            <w:pPr>
              <w:spacing w:after="0"/>
              <w:rPr>
                <w:sz w:val="19"/>
                <w:szCs w:val="19"/>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Industry</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84</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340" w:hanging="224"/>
        <w:spacing w:after="0" w:line="227" w:lineRule="auto"/>
        <w:tabs>
          <w:tab w:leader="none" w:pos="340" w:val="left"/>
        </w:tabs>
        <w:numPr>
          <w:ilvl w:val="0"/>
          <w:numId w:val="1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GE HealthCare estimates and Signify Research for digital solutions. Amounts are based on estimates of (1)(a) orders placed in the last fiscal year across all product categories we offer in the relevant industry or (b) for jurisdictions for which order data are not available, actual sales completed in the last fiscal year across all such products, plus (2) estimates for revenues derived from annual service and digital offerings from such products.</w:t>
      </w:r>
    </w:p>
    <w:p>
      <w:pPr>
        <w:spacing w:after="0" w:line="19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industries are impacted by macro trends that we expect to continue to drive sustainable long-term growth in the demand for medical technology, pharmaceutical diagnostics, and healthcare solutions. We expect to benefit from many of these trends as our portfolio of solutions directly addresses many of the challenges and opportunities facing our customers today. As a stand-alone company, we will accelerate investments in R&amp;D and innovation in areas where we see the most compelling growth opportunities, enhancing our competitive advantages.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320" w:top="455" w:right="5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Macro Healthcare Trends</w:t>
      </w:r>
    </w:p>
    <w:p>
      <w:pPr>
        <w:spacing w:after="0" w:line="119"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Growing adoption of precision health</w:t>
      </w:r>
      <w:r>
        <w:rPr>
          <w:rFonts w:ascii="Times New Roman" w:cs="Times New Roman" w:eastAsia="Times New Roman" w:hAnsi="Times New Roman"/>
          <w:sz w:val="18"/>
          <w:szCs w:val="18"/>
          <w:color w:val="auto"/>
        </w:rPr>
        <w:t>: Patients and providers are increasingly focused on improving individual outcomes while enhancing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experience, containing costs, customizing care, and improving provider efficiency by lowering the amount of time required to treat patients. Innovation in diagnostics, therapies, and patient monitoring is leading to the accelerated development of more precise and personalized care. Examples include imaging tools used to guide targeted treatments, advanced molecular tracers that help to identify disease more precisely, and integrated insights across diagnostic modalities that more accurately determine the treatment pathway. Health systems recognize the power of precision health to deliver faster recoveries while avoiding costly complications.</w:t>
      </w:r>
    </w:p>
    <w:p>
      <w:pPr>
        <w:spacing w:after="0" w:line="182"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Digitization of healthcare</w:t>
      </w:r>
      <w:r>
        <w:rPr>
          <w:rFonts w:ascii="Times New Roman" w:cs="Times New Roman" w:eastAsia="Times New Roman" w:hAnsi="Times New Roman"/>
          <w:sz w:val="18"/>
          <w:szCs w:val="18"/>
          <w:color w:val="auto"/>
        </w:rPr>
        <w:t>: In 2018, approximately 30% of the world’s data volume was generated by the healthcare industry and this data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grow at a 36% CAGR through 2025. We believe such data generation has materially increased with the onset of the COVID-19 pandemic and will continue with the increase in healthcare technology innovation. This valuable data is increasingly being used to improve care across disease states, enhance the ability of clinicians to diagnose disease and treat patients, and improve clinical workflow efficiencies, often assisted by software applications that utilize AI and machine learning technologies. These solutions often integrate insights across multiple data sources, such as diagnostic modalities, patient monitoring, electronic medical records, and labs to more efficiently and effectively treat patients.</w:t>
      </w:r>
    </w:p>
    <w:p>
      <w:pPr>
        <w:spacing w:after="0" w:line="18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Increasing demand for healthcare driven by demographic trends</w:t>
      </w:r>
      <w:r>
        <w:rPr>
          <w:rFonts w:ascii="Times New Roman" w:cs="Times New Roman" w:eastAsia="Times New Roman" w:hAnsi="Times New Roman"/>
          <w:sz w:val="18"/>
          <w:szCs w:val="18"/>
          <w:color w:val="auto"/>
        </w:rPr>
        <w:t>: The increasing global demand for healthcare is driven by population growth,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proportion of the population over the age of 65, and the increasing prevalence and treatment of chronic diseases. These trends are resulting in a growing number of patients requiring both a higher amount of care and more complex care as they age. As demand on the healthcare system grows, staffing shortages for critical roles, such as nurses and doctors, is increasingly a challenge driving a need for more sustainable and efficient delivery of healthcare services.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Improving access to healthcare in emerging markets</w:t>
      </w:r>
      <w:r>
        <w:rPr>
          <w:rFonts w:ascii="Times New Roman" w:cs="Times New Roman" w:eastAsia="Times New Roman" w:hAnsi="Times New Roman"/>
          <w:sz w:val="18"/>
          <w:szCs w:val="18"/>
          <w:color w:val="auto"/>
        </w:rPr>
        <w:t>: To date, healthcare spend in emerging markets has been disproportionately low relative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population of these markets. The growing middle class in many of these markets is helping to drive both government and private sector investment in healthcare systems and medical technology. By 2040, emerging market countries on average are projected to increase healthcare spending as a percent of GDP by 24.4%.</w:t>
      </w:r>
    </w:p>
    <w:p>
      <w:pPr>
        <w:spacing w:after="0" w:line="18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Expansion of alternative sites of care</w:t>
      </w:r>
      <w:r>
        <w:rPr>
          <w:rFonts w:ascii="Times New Roman" w:cs="Times New Roman" w:eastAsia="Times New Roman" w:hAnsi="Times New Roman"/>
          <w:sz w:val="18"/>
          <w:szCs w:val="18"/>
          <w:color w:val="auto"/>
        </w:rPr>
        <w:t>: The delivery of care in lower acuity settings is one of the fastest growing trends in the healthcare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lower operating cost model and expanding access to more of the population. While these alternative settings cannot fully replace care delivery at the hospital for higher acuity patients, both government and private sector policies increasingly support directing care to ambulatory settings to improve cost and access, thereby better addressing health inequity. The result is a growing demand for medical technology solutions that can be deployed at alternative sites of care, such as outpatient facilities, ambulatory surgical centers, physician’s offices, and professional care in the home, including telehealth.</w:t>
      </w:r>
    </w:p>
    <w:p>
      <w:pPr>
        <w:spacing w:after="0" w:line="18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Adoption of the Quadruple Aim of healthcare</w:t>
      </w:r>
      <w:r>
        <w:rPr>
          <w:rFonts w:ascii="Times New Roman" w:cs="Times New Roman" w:eastAsia="Times New Roman" w:hAnsi="Times New Roman"/>
          <w:sz w:val="18"/>
          <w:szCs w:val="18"/>
          <w:color w:val="auto"/>
        </w:rPr>
        <w:t>: The Quadruple Aim is a framework for healthcare providers to optimize outcomes for stakeholders.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key tenets include: improving population health, reducing cost of care, enhancing the patient experience, and improving provider satisfaction. This model is now widely accepted by public and private health organizations and often involves investment in medical device and digital innovations as a means for optimizing health system performance. Hospital systems require greater efficiencies and need to create more capacity in their existing labor force to meet growing demand. As a result, there is an increasing need for solutions at a medical device, department, and enterprise level that are faster, have a lower cost to operate, and drive better clinical outcomes.</w:t>
      </w:r>
    </w:p>
    <w:p>
      <w:pPr>
        <w:spacing w:after="0" w:line="182"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Industry headwinds</w:t>
      </w:r>
      <w:r>
        <w:rPr>
          <w:rFonts w:ascii="Times New Roman" w:cs="Times New Roman" w:eastAsia="Times New Roman" w:hAnsi="Times New Roman"/>
          <w:sz w:val="18"/>
          <w:szCs w:val="18"/>
          <w:color w:val="auto"/>
        </w:rPr>
        <w:t>: Beyond the growth drivers above, our business is subject to a number of headwinds or risks inherent in the industries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operate. The regions and the industries we serve are competitive and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highly regulated. We compete with a wide range of companies, including those that are large and diversified with broad geographic footprints as well as those that are smaller and more specialized, potentially with local expertise. New entrants in our industries further increase competition. Our industries are generally experiencing increased scrutiny on overall healthcare spending, resulting in pressure on GE HealthCare to lower prices. Lastly, our operations in emerging markets expose us to occasional political and economic instability.</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Overall, the industries served by our business segments represent large and growing opportunities that, in addition to macro trends listed above, are driven by segment specific trends.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Imaging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GE HealthCare’s Imaging business segment operates in an estimated $44 billion global industry growing at a 4-6% CAGR from 2022 to 2025, driven by macro trends, demand for increasingly high image quality, additional capabilities from leveraging AI, and advanced interventional surgical systems. Imaging is a critical component of patient care, providing necessary information for the accurate diagnosis and ongoing treatment of patients. Our Imaging business develops, manufactures, and markets a comprehensive portfolio of imaging devices, services, and digital solutions used in the screening, diagnosis, treatment, and monitoring of patients. Our Imaging business segment participates in the following areas: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10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billions)</w:t>
            </w:r>
          </w:p>
        </w:tc>
        <w:tc>
          <w:tcPr>
            <w:tcW w:w="2160" w:type="dxa"/>
            <w:vAlign w:val="bottom"/>
            <w:gridSpan w:val="3"/>
          </w:tcPr>
          <w:p>
            <w:pPr>
              <w:ind w:left="1320"/>
              <w:spacing w:after="0" w:line="149" w:lineRule="exact"/>
              <w:rPr>
                <w:sz w:val="20"/>
                <w:szCs w:val="20"/>
                <w:color w:val="auto"/>
              </w:rPr>
            </w:pPr>
            <w:r>
              <w:rPr>
                <w:rFonts w:ascii="Times New Roman" w:cs="Times New Roman" w:eastAsia="Times New Roman" w:hAnsi="Times New Roman"/>
                <w:sz w:val="14"/>
                <w:szCs w:val="14"/>
                <w:b w:val="1"/>
                <w:bCs w:val="1"/>
                <w:color w:val="auto"/>
              </w:rPr>
              <w:t>Industry Size</w:t>
            </w:r>
          </w:p>
        </w:tc>
        <w:tc>
          <w:tcPr>
            <w:tcW w:w="2320" w:type="dxa"/>
            <w:vAlign w:val="bottom"/>
            <w:gridSpan w:val="3"/>
          </w:tcPr>
          <w:p>
            <w:pPr>
              <w:jc w:val="center"/>
              <w:ind w:left="755"/>
              <w:spacing w:after="0" w:line="149" w:lineRule="exact"/>
              <w:rPr>
                <w:sz w:val="20"/>
                <w:szCs w:val="20"/>
                <w:color w:val="auto"/>
              </w:rPr>
            </w:pPr>
            <w:r>
              <w:rPr>
                <w:rFonts w:ascii="Times New Roman" w:cs="Times New Roman" w:eastAsia="Times New Roman" w:hAnsi="Times New Roman"/>
                <w:sz w:val="14"/>
                <w:szCs w:val="14"/>
                <w:b w:val="1"/>
                <w:bCs w:val="1"/>
                <w:color w:val="auto"/>
              </w:rPr>
              <w:t>Industry CAGR</w:t>
            </w: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80" w:type="dxa"/>
            <w:vAlign w:val="bottom"/>
            <w:gridSpan w:val="2"/>
          </w:tcPr>
          <w:p>
            <w:pPr>
              <w:jc w:val="center"/>
              <w:ind w:left="995"/>
              <w:spacing w:after="0"/>
              <w:rPr>
                <w:sz w:val="20"/>
                <w:szCs w:val="20"/>
                <w:color w:val="auto"/>
              </w:rPr>
            </w:pPr>
            <w:r>
              <w:rPr>
                <w:rFonts w:ascii="Times New Roman" w:cs="Times New Roman" w:eastAsia="Times New Roman" w:hAnsi="Times New Roman"/>
                <w:sz w:val="14"/>
                <w:szCs w:val="14"/>
                <w:b w:val="1"/>
                <w:bCs w:val="1"/>
                <w:color w:val="auto"/>
              </w:rPr>
              <w:t>(2022-2025)</w:t>
            </w: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Magnetic Resonance</w:t>
            </w:r>
          </w:p>
        </w:tc>
        <w:tc>
          <w:tcPr>
            <w:tcW w:w="1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Molecular Imaging and Computed Tomography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X-ray and Women’s Health</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Image-Guided Therapies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Capabilities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Digital Solutions</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Industry</w:t>
            </w:r>
          </w:p>
        </w:tc>
        <w:tc>
          <w:tcPr>
            <w:tcW w:w="14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340" w:hanging="224"/>
        <w:spacing w:after="0"/>
        <w:tabs>
          <w:tab w:leader="none" w:pos="340" w:val="left"/>
        </w:tabs>
        <w:numPr>
          <w:ilvl w:val="0"/>
          <w:numId w:val="1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GE HealthCare estimates and Signify Research for digital solutions.</w:t>
      </w:r>
    </w:p>
    <w:p>
      <w:pPr>
        <w:spacing w:after="0" w:line="19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Imaging business customers are predominantly radiology departments of hospitals, health systems, outpatient centers, specialty hospitals, and ambulatory surgery centers. Our customers require devices that provide high-quality images and solutions that deliver clinical insights to enable timely and precise diagnoses as well as optimal treatment and care. Our customers value reliability, speed of care delivery, and the ability to service or upgrade their equipment throughout its lifecycle. These demands are driving innovations in the healthcare industry, including devices and solutions that increase operational efficiency, improve workflows, improve clinical collaboration through connected systems, and integrate departmental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Ultrasound</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GE HealthCare’s Ultrasound business segment operates in an estimated $12 billion global industry growing at a 4-7% CAGR from 2022 to 2025, driven by macro trends and expanded use of Ultrasound in diagnostics, therapy, and monitoring across multiple care settings. Ultrasound is an imaging modality that provides clinicians a real-time look at anatomy using sound waves. Our Ultrasound business develops, manufactures, and markets a comprehensive portfolio of products and solutions, including ultrasound consoles and probes, handheld devices, intraoperative imaging systems, visualization software, and an ecosystem of related software applications. Our Ultrasound business segment participates in the following areas: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billions)</w:t>
            </w:r>
          </w:p>
        </w:tc>
        <w:tc>
          <w:tcPr>
            <w:tcW w:w="2080" w:type="dxa"/>
            <w:vAlign w:val="bottom"/>
          </w:tcPr>
          <w:p>
            <w:pPr>
              <w:spacing w:after="0"/>
              <w:rPr>
                <w:sz w:val="12"/>
                <w:szCs w:val="12"/>
                <w:color w:val="auto"/>
              </w:rPr>
            </w:pPr>
          </w:p>
        </w:tc>
        <w:tc>
          <w:tcPr>
            <w:tcW w:w="1940" w:type="dxa"/>
            <w:vAlign w:val="bottom"/>
            <w:gridSpan w:val="3"/>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Industry Size</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Industry CAGR</w:t>
            </w:r>
          </w:p>
        </w:tc>
        <w:tc>
          <w:tcPr>
            <w:tcW w:w="0" w:type="dxa"/>
            <w:vAlign w:val="bottom"/>
          </w:tcPr>
          <w:p>
            <w:pPr>
              <w:spacing w:after="0"/>
              <w:rPr>
                <w:sz w:val="1"/>
                <w:szCs w:val="1"/>
                <w:color w:val="auto"/>
              </w:rPr>
            </w:pPr>
          </w:p>
        </w:tc>
      </w:tr>
      <w:tr>
        <w:trPr>
          <w:trHeight w:val="173"/>
        </w:trPr>
        <w:tc>
          <w:tcPr>
            <w:tcW w:w="3140" w:type="dxa"/>
            <w:vAlign w:val="bottom"/>
            <w:tcBorders>
              <w:bottom w:val="single" w:sz="8" w:color="CCEEFF"/>
            </w:tcBorders>
            <w:vMerge w:val="continue"/>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(2022-2025)*</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Radiology</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7"/>
                <w:szCs w:val="17"/>
                <w:color w:val="auto"/>
              </w:rPr>
              <w:t xml:space="preserve"> and Primary Care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3</w:t>
            </w:r>
          </w:p>
        </w:tc>
        <w:tc>
          <w:tcPr>
            <w:tcW w:w="1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Cardiovascular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Women’s Health</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65"/>
        </w:trPr>
        <w:tc>
          <w:tcPr>
            <w:tcW w:w="3140" w:type="dxa"/>
            <w:vAlign w:val="bottom"/>
          </w:tcPr>
          <w:p>
            <w:pPr>
              <w:spacing w:after="0"/>
              <w:rPr>
                <w:sz w:val="24"/>
                <w:szCs w:val="24"/>
                <w:color w:val="auto"/>
              </w:rPr>
            </w:pPr>
          </w:p>
        </w:tc>
        <w:tc>
          <w:tcPr>
            <w:tcW w:w="20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billions)</w:t>
            </w:r>
          </w:p>
        </w:tc>
        <w:tc>
          <w:tcPr>
            <w:tcW w:w="1640" w:type="dxa"/>
            <w:vAlign w:val="bottom"/>
          </w:tcPr>
          <w:p>
            <w:pPr>
              <w:spacing w:after="0"/>
              <w:rPr>
                <w:sz w:val="12"/>
                <w:szCs w:val="12"/>
                <w:color w:val="auto"/>
              </w:rPr>
            </w:pPr>
          </w:p>
        </w:tc>
        <w:tc>
          <w:tcPr>
            <w:tcW w:w="186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Industry Size</w:t>
            </w: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Industry CAGR</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(2022-2025)*</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of Care and Handheld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Intraoperative Visualization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Service Capabilities</w:t>
            </w:r>
            <w:r>
              <w:rPr>
                <w:rFonts w:ascii="Times New Roman" w:cs="Times New Roman" w:eastAsia="Times New Roman" w:hAnsi="Times New Roman"/>
                <w:sz w:val="25"/>
                <w:szCs w:val="25"/>
                <w:color w:val="auto"/>
                <w:vertAlign w:val="superscript"/>
              </w:rPr>
              <w:t>(b)</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Digital Solutions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Industry</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12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GE HealthCare estimates.</w:t>
      </w:r>
    </w:p>
    <w:p>
      <w:pPr>
        <w:spacing w:after="0" w:line="2"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general imaging, internal medicine, urology, interventional, and musculoskeletal applications.</w:t>
      </w:r>
    </w:p>
    <w:p>
      <w:pPr>
        <w:spacing w:after="0" w:line="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radiology and primary care, cardiovascular, women’s health, and point of care and handheld equipment upgrades and refurbishing.</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Ultrasound customers are predominantly hospitals, health systems, outpatient centers, specialty hospitals, and ambulatory surgery centers. Our customers require solutions that are cost-effective, safe, and deliver information on a real-time basis, allowing for immediate diagnosis and treatment. The portability, non-ionizing properties, lower cost, and real-time imaging aspects of ultrasound systems make it an appealing diagnostic and image-guided therapy tool. The addition of machine learning and AI that aid in clinical diagnosis by integrating ultrasound into health system workflows provides valuable guidance to users in image acquisition and real-time clinical decision support. Ultrasound has traditionally been used in cardiology, obstetrics/gynecology, and radiology and is advancing into other care areas, such as surgical settings, emergency departments, ICUs, sports medicine and family practices. More recently, there has also been an increasing use of ultrasound devices in the operating room to assist clinicians and surgeons during surgical and minimally-invasive procedures.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Patient Care Solutions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GE HealthCare’s PCS business segment operates in an estimated $18 billion global industry growing at a 3-6% CAGR from 2022 to 2025, driven by macro trends as well as demand for integrated solutions to enable better decision-making. Our PCS business develops, manufactures, and markets a broad portfolio of interconnected devices and solutions that are used in diagnostics, monitoring, anesthesia delivery, therapies, and workflows to support caregiver decision-making across various care settings. Our PCS business segment participates in the following areas: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Industry</w:t>
            </w: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billions)</w:t>
            </w:r>
          </w:p>
        </w:tc>
        <w:tc>
          <w:tcPr>
            <w:tcW w:w="20" w:type="dxa"/>
            <w:vAlign w:val="bottom"/>
          </w:tcPr>
          <w:p>
            <w:pPr>
              <w:spacing w:after="0"/>
              <w:rPr>
                <w:sz w:val="12"/>
                <w:szCs w:val="12"/>
                <w:color w:val="auto"/>
              </w:rPr>
            </w:pPr>
          </w:p>
        </w:tc>
        <w:tc>
          <w:tcPr>
            <w:tcW w:w="18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Industry Size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CAGR</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0"/>
                <w:szCs w:val="10"/>
                <w:b w:val="1"/>
                <w:bCs w:val="1"/>
                <w:color w:val="auto"/>
              </w:rPr>
              <w:t>*</w:t>
            </w: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(2022-2025)</w:t>
            </w: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 Monitoring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Anesthesia and Respiratory Care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Cardiology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Maternal Infant Care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Service Capabilities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Industry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Based on GE HealthCare estimates.</w:t>
      </w:r>
    </w:p>
    <w:p>
      <w:pPr>
        <w:spacing w:after="0" w:line="198"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Customers of our PCS business are predominantly hospitals, health systems, and office-based labs in traditional healthcare settings and, increasingly, in remote applications. Our customers seek secure, flexible,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standardized monitoring and life support solutions that enhance patient safety, workflow efficiency, and clinical collaboration and communication. Our customers also value reliability and real-time, AI-enhanced, and tailored clinical insights to improve patient outcomes and proactively enhance clinical teams’ ability to deliver precise and timely clinical care across the entire health system. These demands are driving a growing need for integrated department- and enterprise-level workflow tools that improve the delivery of efficient, personalized patient care.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Pharmaceutical Diagnostics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 HealthCare’s PDx business segment operates in an estimated $10 billion global industry growing at a 4-5% CAGR from 2022 to 2025, driven by demand for better visualization to enable more precise diagnoses and therapy selection for patients. The PDx business supplies imaging agents, specifically contrast media and radiopharmaceuticals, that enhance diagnostic images. Contrast media is used in X-ray, CT, angiography, MR, and ultrasound. Molecular imaging agents are molecular tracers labeled with radioisotopes used in functional imaging, such as PET and SPECT procedures, to capture and form images from the emitted radiation. Our PDx business segment participates in the following areas: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billions)</w:t>
            </w:r>
          </w:p>
        </w:tc>
        <w:tc>
          <w:tcPr>
            <w:tcW w:w="1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Industry Size</w:t>
            </w: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Industry CAGR</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0"/>
                <w:szCs w:val="10"/>
                <w:b w:val="1"/>
                <w:bCs w:val="1"/>
                <w:color w:val="auto"/>
              </w:rPr>
              <w:t>*</w:t>
            </w:r>
          </w:p>
        </w:tc>
        <w:tc>
          <w:tcPr>
            <w:tcW w:w="10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(2022-2025)</w:t>
            </w: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Contrast Media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Molecular Imaging</w:t>
            </w:r>
          </w:p>
        </w:tc>
        <w:tc>
          <w:tcPr>
            <w:tcW w:w="100" w:type="dxa"/>
            <w:vAlign w:val="bottom"/>
          </w:tcPr>
          <w:p>
            <w:pPr>
              <w:spacing w:after="0"/>
              <w:rPr>
                <w:sz w:val="18"/>
                <w:szCs w:val="18"/>
                <w:color w:val="auto"/>
              </w:rPr>
            </w:pPr>
          </w:p>
        </w:tc>
        <w:tc>
          <w:tcPr>
            <w:tcW w:w="18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Industry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10</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340" w:hanging="224"/>
        <w:spacing w:after="0"/>
        <w:tabs>
          <w:tab w:leader="none" w:pos="340"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GE HealthCare estimates.</w:t>
      </w:r>
    </w:p>
    <w:p>
      <w:pPr>
        <w:spacing w:after="0" w:line="1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PDx business customers are predominantly radiology and nuclear medicine departments of hospitals and health systems, pharmaceutical companies, and researchers who use the agents for a variety of procedures, including selecting target populations for clinical trials. Our customers expect safe and effective agents to deliver better diagnosis and therapy selection. In a regulated pharmaceutical industry where safety and efficacy are minimum requirements, industry players vie to differentiate on reliability of supply chain, workflow, and productivity for contrast media, as well as clinical evidence generation and timely delivery, specifically of rapidly decaying radioisotopes for molecular imaging agents.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40"/>
          </w:cols>
          <w:pgMar w:left="320" w:top="455" w:right="5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GE HealthCare is a leading global medical technology, pharmaceutical diagnostics, and digital solutions innovator. Our products, solutions, and services span the continuum of patient care, including screening, diagnosis, treatment, and monitoring, with the goal of empowering clinicians to deliver better care at a lower cost. We have a global installed base of more than four million medical devices that enable more than two billion procedures impacting more than one billion patients each year. Our complementary pharmaceutical diagnostic agents are used in imaging procedures at the rate of approximately three patients every second.</w:t>
      </w:r>
    </w:p>
    <w:p>
      <w:pPr>
        <w:spacing w:after="0" w:line="1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Our customers are healthcare providers and researchers, including public, private, and academic institutions, and represent an estimated</w:t>
      </w:r>
    </w:p>
    <w:p>
      <w:pPr>
        <w:spacing w:after="0" w:line="27"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$84 billion global industry growing at a rate of 4-6% annually through 2025. We are organized into four business segments that are aligned with the industries we serve:</w:t>
      </w:r>
    </w:p>
    <w:p>
      <w:pPr>
        <w:spacing w:after="0" w:line="83" w:lineRule="exact"/>
        <w:rPr>
          <w:sz w:val="20"/>
          <w:szCs w:val="20"/>
          <w:color w:val="auto"/>
        </w:rPr>
      </w:pPr>
    </w:p>
    <w:p>
      <w:pPr>
        <w:ind w:left="1080" w:right="180" w:hanging="424"/>
        <w:spacing w:after="0" w:line="28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Imaging</w:t>
      </w:r>
      <w:r>
        <w:rPr>
          <w:rFonts w:ascii="Times New Roman" w:cs="Times New Roman" w:eastAsia="Times New Roman" w:hAnsi="Times New Roman"/>
          <w:sz w:val="18"/>
          <w:szCs w:val="18"/>
          <w:color w:val="auto"/>
        </w:rPr>
        <w:t>: portfolio of medical imaging solutions including CT, MR, molecular imaging, X-ray, women’s health, image-guided therapies,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imaging software, service capabilities, and digital solutions;</w:t>
      </w:r>
    </w:p>
    <w:p>
      <w:pPr>
        <w:spacing w:after="0" w:line="60" w:lineRule="exact"/>
        <w:rPr>
          <w:rFonts w:ascii="Times New Roman" w:cs="Times New Roman" w:eastAsia="Times New Roman" w:hAnsi="Times New Roman"/>
          <w:sz w:val="18"/>
          <w:szCs w:val="18"/>
          <w:color w:val="auto"/>
        </w:rPr>
      </w:pPr>
    </w:p>
    <w:p>
      <w:pPr>
        <w:ind w:left="1080" w:right="860" w:hanging="424"/>
        <w:spacing w:after="0" w:line="28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Ultrasound</w:t>
      </w:r>
      <w:r>
        <w:rPr>
          <w:rFonts w:ascii="Times New Roman" w:cs="Times New Roman" w:eastAsia="Times New Roman" w:hAnsi="Times New Roman"/>
          <w:sz w:val="18"/>
          <w:szCs w:val="18"/>
          <w:color w:val="auto"/>
        </w:rPr>
        <w:t>: ultrasound consoles and probes, handheld devices, intraoperative imaging systems, visualization software,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and digital solutions;</w:t>
      </w:r>
    </w:p>
    <w:p>
      <w:pPr>
        <w:spacing w:after="0" w:line="60" w:lineRule="exact"/>
        <w:rPr>
          <w:rFonts w:ascii="Times New Roman" w:cs="Times New Roman" w:eastAsia="Times New Roman" w:hAnsi="Times New Roman"/>
          <w:sz w:val="18"/>
          <w:szCs w:val="18"/>
          <w:color w:val="auto"/>
        </w:rPr>
      </w:pPr>
    </w:p>
    <w:p>
      <w:pPr>
        <w:ind w:left="1080" w:right="140" w:hanging="424"/>
        <w:spacing w:after="0" w:line="28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Patient Care Solutions</w:t>
      </w:r>
      <w:r>
        <w:rPr>
          <w:rFonts w:ascii="Times New Roman" w:cs="Times New Roman" w:eastAsia="Times New Roman" w:hAnsi="Times New Roman"/>
          <w:sz w:val="18"/>
          <w:szCs w:val="18"/>
          <w:color w:val="auto"/>
        </w:rPr>
        <w:t>: monitoring, anesthesia and respiratory care, maternal infant care, and diagnostic cardiology solutions,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consumables, service capabilities, and digital solutions;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Pharmaceutical Diagnostics</w:t>
      </w:r>
      <w:r>
        <w:rPr>
          <w:rFonts w:ascii="Times New Roman" w:cs="Times New Roman" w:eastAsia="Times New Roman" w:hAnsi="Times New Roman"/>
          <w:sz w:val="18"/>
          <w:szCs w:val="18"/>
          <w:color w:val="auto"/>
        </w:rPr>
        <w:t>: imaging agents that include contrast media and radiopharmaceuticals that enhance diagnostic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834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860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sale of medical devices, single-use and consumable products, service capabilities, and digital solutions. We have established leading positions in each of our business segments by developing broad portfolios of advanced medical technologies and lifecycle services. Our goal is to improve the performance, quality, and customer experience of our offerings through:</w:t>
      </w:r>
    </w:p>
    <w:p>
      <w:pPr>
        <w:spacing w:after="0" w:line="77" w:lineRule="exact"/>
        <w:rPr>
          <w:sz w:val="20"/>
          <w:szCs w:val="20"/>
          <w:color w:val="auto"/>
        </w:rPr>
      </w:pPr>
    </w:p>
    <w:p>
      <w:pPr>
        <w:ind w:left="1080" w:hanging="424"/>
        <w:spacing w:after="0" w:line="259"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Customer-Driven Innovation: </w:t>
      </w:r>
      <w:r>
        <w:rPr>
          <w:rFonts w:ascii="Times New Roman" w:cs="Times New Roman" w:eastAsia="Times New Roman" w:hAnsi="Times New Roman"/>
          <w:sz w:val="18"/>
          <w:szCs w:val="18"/>
          <w:color w:val="auto"/>
        </w:rPr>
        <w:t>our deep understanding of customer needs is informed by our position at the center of many clinical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 care pathways, such as cardiology, oncology, and neurology, that allows us to deliver differentiated products across our large and growing served industries. With our significant installed base, we have the ability to leverage customer feedback across public, private, and academic institutions that informs our product priorities and the development of leading technologies in response to customer needs. We have also expanded our technology platforms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82" w:lineRule="auto"/>
        <w:rPr>
          <w:sz w:val="20"/>
          <w:szCs w:val="20"/>
          <w:color w:val="auto"/>
        </w:rPr>
      </w:pPr>
      <w:r>
        <w:rPr>
          <w:rFonts w:ascii="Times New Roman" w:cs="Times New Roman" w:eastAsia="Times New Roman" w:hAnsi="Times New Roman"/>
          <w:sz w:val="18"/>
          <w:szCs w:val="18"/>
          <w:color w:val="auto"/>
        </w:rPr>
        <w:t>through acquisitions, growing these businesses in areas such as intraoperative surgical guidance, acute care, and imaging agents, and built these acquisitions into world-class businesses.</w:t>
      </w:r>
    </w:p>
    <w:p>
      <w:pPr>
        <w:spacing w:after="0" w:line="63" w:lineRule="exact"/>
        <w:rPr>
          <w:sz w:val="20"/>
          <w:szCs w:val="20"/>
          <w:color w:val="auto"/>
        </w:rPr>
      </w:pPr>
    </w:p>
    <w:p>
      <w:pPr>
        <w:ind w:left="1080" w:right="40" w:hanging="424"/>
        <w:spacing w:after="0" w:line="257"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Industry-Leading Service Capabilities</w:t>
      </w:r>
      <w:r>
        <w:rPr>
          <w:rFonts w:ascii="Times New Roman" w:cs="Times New Roman" w:eastAsia="Times New Roman" w:hAnsi="Times New Roman"/>
          <w:sz w:val="18"/>
          <w:szCs w:val="18"/>
          <w:color w:val="auto"/>
        </w:rPr>
        <w:t>: at the foundation of our strong customer relationships are our industry-leading service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 preventative maintenance, on-site install and repair, remote monitoring and repair capabilities, equipment and software upgrades, financing solutions, end-user training, multi-vendor services, cybersecurity services, remote equipment tracking, and enterprise-wide consulting. We deliver our service offerings through a team of over 8,500 field service engineers, 36 global or regional repair centers, and 46 customer service centers. We believe our comprehensive service offerings drive customer satisfaction and loyalty, ultimately leading to higher sales of products, services, and solutions.</w:t>
      </w:r>
    </w:p>
    <w:p>
      <w:pPr>
        <w:spacing w:after="0" w:line="8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Integrated Digital Solutions</w:t>
      </w:r>
      <w:r>
        <w:rPr>
          <w:rFonts w:ascii="Times New Roman" w:cs="Times New Roman" w:eastAsia="Times New Roman" w:hAnsi="Times New Roman"/>
          <w:sz w:val="18"/>
          <w:szCs w:val="18"/>
          <w:color w:val="auto"/>
        </w:rPr>
        <w:t>: we are a leading innovator of digital solutions, providing clinical decision support, simplifying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delivering advanced visualization of complex anatomy, enhancing clinical collaboration, and integrating clinical insights across multiple diagnostic modalities. Our Edison platform was created to efficiently aggregate and integrate clinical data to help customers deploy and scale their digital solutions across departments and health systems. We employ over 4,700 software engineers supporting our installed base, new product development, and a portfolio of over 200 digital applications and software solutions that are deployed at the device, department, and enterprise level. We have allocated significant resources to digital innovation, including AI and machine learning, as we advance precision health.</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end markets are transforming as healthcare providers and researchers seek solutions, data, and tools to enable the delivery of precision health. More precise diagnoses and treatment can help improve patient outcomes, support management of chronic disease, and reduce health system cost. Precision health is expected to drive continued demand and opportunity for novel technologies and future innovation, as healthcare providers and researchers seek new solutions and tools for managing existing and new care pathways. The pursuit of precision health opportunities significantly expands our served industries to include integrated diagnostics, AI and machine learning-based clinical decision support, highly personalized therapies enabled by more precise diagnostics, and remote patient monitoring. The scale and breadth of our portfolio, combined with our innovation capabilities, position us to be a leading enabler of precision health.</w:t>
      </w:r>
    </w:p>
    <w:p>
      <w:pPr>
        <w:spacing w:after="0" w:line="189" w:lineRule="exact"/>
        <w:rPr>
          <w:sz w:val="20"/>
          <w:szCs w:val="20"/>
          <w:color w:val="auto"/>
        </w:rPr>
      </w:pPr>
    </w:p>
    <w:p>
      <w:pPr>
        <w:ind w:left="120" w:right="20" w:firstLine="440"/>
        <w:spacing w:after="0" w:line="211" w:lineRule="auto"/>
        <w:rPr>
          <w:sz w:val="20"/>
          <w:szCs w:val="20"/>
          <w:color w:val="auto"/>
        </w:rPr>
      </w:pPr>
      <w:r>
        <w:rPr>
          <w:rFonts w:ascii="Times New Roman" w:cs="Times New Roman" w:eastAsia="Times New Roman" w:hAnsi="Times New Roman"/>
          <w:sz w:val="18"/>
          <w:szCs w:val="18"/>
          <w:color w:val="auto"/>
        </w:rPr>
        <w:t>In 2021, we generated Total revenues of $17,585 million representing 2% growth as reported and 1% Organic revenue 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2020, Operating income of $2,795 million, and Adjusted EBIT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of $3,172 million, representing growth of 3% and 6% from 2020, respectively. Approximately 50% of our revenue is recurring, comprised of services, single-use and consumable products, digital solutions, and value-added offerings, such as education, training, and consulting. In 2021, we generated $1,607 million in cash from operations and $2,827 million in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representing an annual decrease of 39% and increase of 15% over the prior year, respectively. Our strong revenue visibility and attractive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generation allow us to invest in strategic growth initiatives and innovation. For more information on the computation of non-GAAP financial measures, see “Non-GAAP Financial Data” and “Management’s Discussion and Analysis of Financial Condition and Results of Operations—Non-GAAP Financial Measures.” See also “Summary Historical and Unaudited Pro Forma Condensed Combined Financial Information” and “Risk Factors—Risks Relating to the Spin-Off.”</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Investment Highlights</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GE HealthCare has numerous competitive advantages in attractive markets that we expect to continue to drive our success and reward investors over the long term, including: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Established Leader in Large, Attractive, and Growing Industries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GE HealthCare is a leading global medical technology, pharmaceutical diagnostics, and digital solutions innovator. The industries in which we participate represent an estimated $84 billion global opportunity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340" w:hanging="224"/>
        <w:spacing w:after="0"/>
        <w:tabs>
          <w:tab w:leader="none" w:pos="340" w:val="left"/>
        </w:tabs>
        <w:numPr>
          <w:ilvl w:val="0"/>
          <w:numId w:val="1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estimated to grow at 4-6% through 2025. Sustainable long-term growth in our industries is driven by trends related to an aging population, increasing prevalence and diagnosis of chronic disease, innovation in minimally-invasive procedures that require imaging, and increasing access to healthcare. We also expect growth in the industry to be supported by technological innovation, including AI and machine learning, as well as expansion of care outside of the traditional hospital setting.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deep knowledge and global experience have made us a preferred and trusted partner of customers across our segments: Imaging, Ultrasound, Patient Care Solutions, and Pharmaceutical Diagnostics. We have more than 125 years of experience navigating the complex technical and regulatory requirements of the industry, representing key competitive advantages for GE HealthCare. We have approximately 51,000 employees, including a global sales force of over 10,000 employees, 8,500 field service engineers, and 9,700 R&amp;D engineers and scientists, supporting an installed base of more than four million imaging, diagnostic, and monitoring units. GE HealthCare products are used to deliver care to more than one billion patients in more than two billion procedures globally each year and our complementary pharmaceutical diagnostic agents are used in imaging procedures at the rate of approximately three patients every second. We are the only imaging platform that provides customers with contrast media products that enable improved precision of diagnosis and therapy selection. With a portfolio of leading technologies developed in response to customer needs, we provide customers with critical instruments for precision health driven by a need for less costly and more specialized therapeutic treatments.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Track Record of Industry-Defining Innovations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GE HealthCare has been advancing healthcare with transformational innovations since 1896, including the first enclosed X-ray source, the first routine total-body CT scanner, and the first high-field MRI scanner. Our ability to innovate through our research and development teams, augmented by strategic acquisitions and collaborations, is core to our approach of achieving and maintaining leadership positions in each of our segments by delivering differentiated solutions to address evolving customer needs. We expand and accelerate delivery of innovations through increased R&amp;D investment, which has led to approximately $4,100 million in orders in 2021 from products launched in the last year. We focus on thoroughly understanding unmet customer needs through customer surveys, sponsored research, advisory boards, pilot programs, and direct feedback through our research, sales, and service channels. This unique insight helps to prioritize our R&amp;D efforts to best deliver improved customer outcomes. Examples of our industry-leading innovations since 2000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organic innovation efforts are complemented by strategic acquisitions, investments, and collaborations, which have transformed our product portfolios and expanded our industries served. We have a robust pipeline of inorganic opportunities to continue expanding our portfolio and driving incremental growth in our business. Our focus remains on transactions intended to accelerate our strategies, expand capabilities, and drive attractive returns, such as the recent acquisitions of BK, Zionexa, and Prismatic Sensors, as well as our recent strategic collaborations with Pulsenmore, RaySearch, SOPHiA Genetics, and AliveCor.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145415</wp:posOffset>
            </wp:positionV>
            <wp:extent cx="4997450" cy="26060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9745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 the Center of Digitization of Healthcare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 HealthCare is at the center of the digitization of healthcare, generating and harnessing clinical data from our devices and software and those of third parties to help simplify clinical decision-making, improve the delivery of care, and drive workflow efficiency. Today, clinicians must interpret large amounts of data from separate and often disconnected devices and systems to make critical and urgent clinical decisions. GE HealthCare aims to solve this challenge through a portfolio of over 200 digital applications and software solutions that collectively generated $1,186 million of revenue in 2021, including:</w:t>
      </w:r>
    </w:p>
    <w:p>
      <w:pPr>
        <w:spacing w:after="0" w:line="89"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 Workstation applications that help clinicians simplify the practice of radiology through advanced visualization technologies;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Centricity Picture Archiving and Communication System (“PACS”) that enhances image visualization, AI, 3D post-processing and archiving, and improves radiology workflow and clinical collaboration;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Command Center that helps improve enterprise operations across hospitals and health systems.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GE HealthCare is a leader in on-device AI with applications that provide advanced machine learning and AI technologies to improve device performance and care outcomes. Increasingly, hospitals and healthcare systems are demanding easier ways to deploy clinical workflow, analytics, and other digital tools that improve care delivery, support efficient operations, improve healthcare economics. Our Edison platform is a vendor-agnostic hosting and data aggregation platform with an integrated AI engine, reducing the IT burden that typically comes with installing and integrating applications across an enterprise. We believe that our digital solutions and deep understanding of customer needs are key competitive advantages of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Trusted Partner of Customers Across the Globe Supported by Industry-Leading Service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one of the strongest reputations in the global healthcare industry for service, innovation, quality, and integrity, resulting in long-standing customer relationships. The success of our customer-driven mission is evidenced by long-standing relationships with our top customers, many of whom we have worked with for decades. Our customer base is diverse, with our top 10 customers collectively contributing no more than 10% of revenue. We globally deploy a multi-channel commercial model consisting of over 10,000 sales professionals and a global network of approximately 5,600 indirect third-party partners supporting over 160 countries that are aligned to four geographic regions: USCAN, EMEA, China region, and Rest of World. We also leverage our HealthCare Financial Services business to deliver end-to-end solutions for our customers, including financial solutions for their needs. Through our close relationships with customers, we are able to collaborate on their asset acquisition plans and clinical and business challenges, and we are able to tailor our products, services, and solutions to meet their unique needs.</w:t>
      </w:r>
    </w:p>
    <w:p>
      <w:pPr>
        <w:spacing w:after="0" w:line="19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At the foundation of our strong customer relationships is our industry-leading service offerings that extend well beyond vendor-agnostic on-site repair and preventative maintenance to include remote monitoring and support of our devices enabled by connectivity, proactive, and predictive maintenance capabilities, lifecycle management, and asset performance management. In 2021, we resolved over 80% of service issues on the first call and resolved 35% of service calls through our remote connectivity and digital service infrastructure while managing an average of over 3,600 parts orders per day. Currently, approximately 80% of the imaging systems in our installed base are connected for remote monitoring, enabling diagnostic consultations with skilled, off-site engineers for preventative maintenance and asset management analytics in order to minimize down-time for our customers and improve efficiency among our service team.</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 over 8,500 field service engineers and approximately 1,200 applications and training specialists, 36 global and regional repair centers, and 46 customer service centers, we utilize our global scale and a local approach to tailor offerings to best serve individual customers around the world. We have established local manufacturing, assembly, and pharmaceutical production sites across 17 countries, which improves our supply chain security and decreases costs. We utilize our local presence to provide customers with tailored commercial solutions, such as holistic infrastructure solutions, local training, equipment repair, and other services. In addition to strengthening our customer relationships, our services capabilities are a key driver of our financial performance, generating $6,420 million of revenue in 2021. Our services revenue is recurring in nature, and provides strong visibility to future revenue with $10,028 million of RPO as of year-end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148590</wp:posOffset>
            </wp:positionV>
            <wp:extent cx="4457700" cy="22631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4577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Driving Growth Mindset Through Lean for Customers and Employees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are dedicated to creating shareholder value through consistent and sustainable earnings growth. To drive that value, we are using lean principles to execute on our short- and long-term strategies and strengthen our operating performance.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Lean has helped build a culture of continuous improvement where employees are empowered to problem-solve (“trystorm”), sustain solutions, and improve key performance indicators to move the needle positively for operational and financial results. We have developed and deployed lean tools, processes, and leadership at all levels in the organization. We focus our lean work on improvement in five critical business priorities: Safety, Quality, Delivery, Cost, and Innovation (“SQDCI”). For each of these priorities, we focus on strong daily management, establishing robust standard work, and applying root cause problem-solving. These practices are built into the management cadences at all levels and enable accelerated improvement.</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example, we have used lean to improve safety during the equipment installation process using better standard work and leveraging this to improve safety in manufacturing, operations, and service. Our rigorous quality management system combined with daily management and problem-solving helps us address defects at the source. We have implemented lean flow in operations, and this has enabled us also to improve on-time delivery to our customers through reduction in lead times while improving inventory levels in the supply chain. These are examples where the application of lean has both eliminated waste and risks but has also led to better customer results and safety for our employees. We have seen similar results from lean tools and processes in managing our product and service costs through a diverse and qualified supplier base; driving manufacturing and general and administrative (“G&amp;A”) productivity and improving logistics operations; value engineering and the digitization of our services delivery and in improving commercial and R&amp;D operations to accelerate growth and innovation.</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With lean embedded at our core, we have been able to improve SQDCI results for our customers. Key examples of outcomes achieved through our lean principles include:</w:t>
      </w:r>
    </w:p>
    <w:p>
      <w:pPr>
        <w:spacing w:after="0" w:line="67" w:lineRule="exact"/>
        <w:rPr>
          <w:sz w:val="20"/>
          <w:szCs w:val="20"/>
          <w:color w:val="auto"/>
        </w:rPr>
      </w:pPr>
    </w:p>
    <w:p>
      <w:pPr>
        <w:ind w:left="1080" w:right="12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lean at our PDx contrast media fill and finish manufacturing sites to remove waste between batch changes, reducing our turnaround time more than 30%. These actions have significantly expanded production capacity, allowing us to serve more customers and patients, while reducing the need to invest in new equipment;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Transitioned from a make-to-stock to make-to-order inventory system and converted to lean replenishment value chains in our Ultrasound business, which resulted in an approximately 14% reduction of customer delivery lead time in Europe;</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Hoshin Kanri, cross-functional problem solving, and kaizen to improve first pass yield by approximately 30% in our CT manufacturing operations, improving reliability and the customer experience;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internal efficiency initiatives that contributed to G&amp;A optimization at a functional level to reduce costs by approximately one point on a percentage of sales basis across GE HealthCare over two years.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Going forward, lean will continue to be part of the foundation of GE HealthCare. Lean encourages cross-functional collaboration to eliminate waste, problem solve, and ultimately improve our end-to-end processes, allowing us to accelerate growth and innovation. For example, we established a dedicated advanced manufacturing engineering team to accelerate the lean transformation of our production sites, promoting supply chain efficiency and productivity. Through lean, we expect to deliver more value for our customers, improved margins for GE HealthCare, and reinvestment in our business for long-term sustainable growth and innovation.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Attractive Financial Profile Supported by Organic Revenue Growth, Expanding Operating Margins, and Investment Grade Balance Sheet</w:t>
      </w:r>
    </w:p>
    <w:p>
      <w:pPr>
        <w:spacing w:after="0" w:line="121" w:lineRule="exact"/>
        <w:rPr>
          <w:sz w:val="20"/>
          <w:szCs w:val="20"/>
          <w:color w:val="auto"/>
        </w:rPr>
      </w:pPr>
    </w:p>
    <w:p>
      <w:pPr>
        <w:ind w:left="120" w:right="100" w:firstLine="440"/>
        <w:spacing w:after="0" w:line="230" w:lineRule="auto"/>
        <w:rPr>
          <w:sz w:val="20"/>
          <w:szCs w:val="20"/>
          <w:color w:val="auto"/>
        </w:rPr>
      </w:pPr>
      <w:r>
        <w:rPr>
          <w:rFonts w:ascii="Times New Roman" w:cs="Times New Roman" w:eastAsia="Times New Roman" w:hAnsi="Times New Roman"/>
          <w:sz w:val="18"/>
          <w:szCs w:val="18"/>
          <w:color w:val="auto"/>
        </w:rPr>
        <w:t>We generated Total revenues of $17,585 million in 2021, representing 2% growth as reported and 1% Organic revenue 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2020. We consider approximately 50% of our total revenue in 2021 to be recurring, comprised of revenue from services, consumable and single-use products, digital solutions, and value-added offerings, such as education, training, and consulting. We continue to maintain diversification of our revenue with no customer accounting for more than 3% of total revenue and 58% of revenue generated outside the United States and Canada.</w:t>
      </w:r>
    </w:p>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2020 to 2021, we expanded our gross margin from approximately 39% to 41%. Our innovative technologies and lean approach have served as the foundation to reduce costs across our businesses, directly translating to an increase of 1.4 points in our gross margin from 2020 to 2021. During this period, we generated cash from operating activities of $1,607 million and Free cash flow* of $2,827 million. Our stable growth profile coupled with our strong Free cash flow* has afforded us the ability to consistently prioritize investments in R&amp;D to drive innovation and fund acquisitions.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Purpose-Driven and Action-Oriented Culture Led by an Experienced Management Team</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Our senior leadership is a diverse team of global industry veterans with the skills and expertise required to successfully lead a stand-alone publicly traded medical technology, pharmaceutical diagnostics, and digital solutions company. These leaders possess a complementary mix of experience leading teams or business units at GE HealthCare, other large medical technology companies, and/or other publicly traded companies. Our regional commercial leaders have an average of 22 years of in-region experience and are accountable for our local strategic operations. This team is leading our company through a transformational time as we execute on our next phase of growth by establishing a more decentralized organization with alignment and accountability across teams to accelerate speed in decision-making and remove complexities that will ultimately enhance our efficiency and agility.</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a purpose-driven global workforce of approximately 51,000 who have an average tenure of nine years with GE, reflecting a strong, engaged culture that centers on our purpose statement, “Create a world where healthcare has no limits.” We embrace a diverse workplace where “Every voice makes a difference, and every difference builds a healthier world” and are committed to supporting diversity across our global teams. Our values emphasize patient and customer focus, trust, and humility with unyielding integrity, while fostering an inclusive culture. Our well-established talent management strategy allows us to attract and retain innovative leaders, which is instrumental to our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Non-GAAP financial measure.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aim to grow our business by pursuing the following strategies: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Deliver Industry-Leading Innovations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intend to maintain and strengthen our leading global position by continuing to deliver innovative solutions that best address customers’ needs. Our reputation as a trusted partner to customers and close relationships with them position us to gather insights on clinical challenges and workflow inefficiencies, which we utilize to inform our next generation of product development. Recent examples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166370</wp:posOffset>
            </wp:positionV>
            <wp:extent cx="4894580" cy="27603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9458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From 2019 to 2021, we invested a cumulative $2,459 million in R&amp;D to drive our organic innovation efforts. We drive efficient use of our R&amp;D budget by locating approximately 40% of our 9,700 R&amp;D employees in lower-cost regions. We plan to further enhance our innovation efforts with inorganic investments across our business segments. Our growing track record of inorganic investment includes three acquisitions over the past two years, BK, Zionexa, and Prismatic Sensors, and eight strategic collaborations since 2019, including Pulsenmore, RaySearch, SOPHiA Genetics, and AliveCor.</w:t>
      </w:r>
    </w:p>
    <w:p>
      <w:pPr>
        <w:spacing w:after="0" w:line="183"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As a stand-alone entity, we have control over the allocation of our R&amp;D budget to invest in high-return projects. We intend to increase our investment in innovation, both to enhance our core portfolio and extend our capabilities in attractive, high-growth adjacencies, including clinical decision support and workflow tools, advanced analytics and AI, 3D visualization, lower acuity patient monitoring, clinical collaboration tools, and integrated insights across multiple diagnostic modalities. We believe we can drive even greater focus on, and capital allocation to, attractive innovation priorities as an independent company, extending our leadership position in technologies that improve outcomes. As part of the Spin-Off, healthcare-related research at GE’s Global Research Center (“GRC”) will transition to GE HealthCare and will continue to support our innovation efforts.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Build Integrated Solutions Along Care Pathways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build integrated equipment and software solutions designed to address the needs of clinicians and patients along care pathways. Our goal is to break down data silos across devices, bespoke systems (both third-party and our own), and sites of care that often delay or even prevent patients from getting the most appropriate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60"/>
          </w:cols>
          <w:pgMar w:left="320" w:top="455" w:right="5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treatment. Central to this approach is our focus on developing and delivering digital solutions for clinical decision support that seamlessly integrate across workflows and departments and increasingly reside on our Edison platform for ease of deployment and enterprise-wide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143510</wp:posOffset>
            </wp:positionV>
            <wp:extent cx="5194935" cy="3437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9493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care pathway approach is well supported by the breadth and depth of our portfolio, which gives us unique visibility into customer needs in clinical care areas such as oncology, cardiology, and neurology. For example, in cardiology, we are uniquely positioned across the patient workflow, from screening technologies such as electrocardiograms (PCS) to CT scans of structural heart conditions (Imaging) to interventional therapy guidance tools (Ultrasound) through post-treatment monitoring (PDx). In oncology, we currently partner with the National Health Service in the U.K. to accelerate “diagnosis to treatment” of cancer patients through deployment of Rapid Diagnostic Centers in line with the U.K.’s Long-Term Plan for Cancer introduced in 2019.</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Adoption of our care pathway strategy positions GE HealthCare as a partner of choice at an enterprise level, while providing us with unique insights on critical unmet needs within specific care areas. We also believe this strategy improves the value proposition of our current offerings, expands use cases for our Edison platform, and creates new SaaS revenue streams.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Enable Digitization at a Device, Department, and Enterprise Level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Digital innovations are changing how healthcare is delivered and consumed around the world by improving access to advanced healthcare and by enhancing quality, safety, productivity, patient experience, and provider satisfaction. In 2021, we generated $1,186 million in revenue from digital solutions across our Imaging, Ultrasound, PCS, and PDx segments. As our digital offerings encompass software solutions at a device, department, and enterprise level, we have developed distinct strategies dictated by specific customer needs:</w:t>
      </w:r>
    </w:p>
    <w:p>
      <w:pPr>
        <w:spacing w:after="0" w:line="83" w:lineRule="exact"/>
        <w:rPr>
          <w:sz w:val="20"/>
          <w:szCs w:val="20"/>
          <w:color w:val="auto"/>
        </w:rPr>
      </w:pPr>
    </w:p>
    <w:p>
      <w:pPr>
        <w:ind w:left="1080" w:right="220" w:hanging="424"/>
        <w:spacing w:after="0" w:line="284"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Device</w:t>
      </w:r>
      <w:r>
        <w:rPr>
          <w:rFonts w:ascii="Times New Roman" w:cs="Times New Roman" w:eastAsia="Times New Roman" w:hAnsi="Times New Roman"/>
          <w:sz w:val="18"/>
          <w:szCs w:val="18"/>
          <w:color w:val="auto"/>
        </w:rPr>
        <w:t>: introduce innovative applications and software tools that improve the functionality, productivity, and capability of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often enabled by machine learning and AI;</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240" w:hanging="424"/>
        <w:spacing w:after="0" w:line="284"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Department</w:t>
      </w:r>
      <w:r>
        <w:rPr>
          <w:rFonts w:ascii="Times New Roman" w:cs="Times New Roman" w:eastAsia="Times New Roman" w:hAnsi="Times New Roman"/>
          <w:sz w:val="18"/>
          <w:szCs w:val="18"/>
          <w:color w:val="auto"/>
        </w:rPr>
        <w:t>: create digital solutions that enable caregiver collaboration, patient scheduling, and fleet management solutions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 of clinical and operational information; and</w:t>
      </w:r>
    </w:p>
    <w:p>
      <w:pPr>
        <w:spacing w:after="0" w:line="63" w:lineRule="exact"/>
        <w:rPr>
          <w:rFonts w:ascii="Times New Roman" w:cs="Times New Roman" w:eastAsia="Times New Roman" w:hAnsi="Times New Roman"/>
          <w:sz w:val="18"/>
          <w:szCs w:val="18"/>
          <w:color w:val="auto"/>
        </w:rPr>
      </w:pPr>
    </w:p>
    <w:p>
      <w:pPr>
        <w:ind w:left="1080" w:right="560" w:hanging="424"/>
        <w:spacing w:after="0" w:line="284"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w:t>
      </w:r>
      <w:r>
        <w:rPr>
          <w:rFonts w:ascii="Times New Roman" w:cs="Times New Roman" w:eastAsia="Times New Roman" w:hAnsi="Times New Roman"/>
          <w:sz w:val="18"/>
          <w:szCs w:val="18"/>
          <w:color w:val="auto"/>
        </w:rPr>
        <w:t>: develop scalable and integrated software solutions that enable hospital and health system-wide improvements in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 clinical insights, productivity, and patient and caregiver experience.</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plan to continue leveraging our Edison platform to deploy and scale these software solutions, and accelerate customer adoption of our digital applications. Edison enables customers to: efficiently upgrade existing devices with advanced intelligent functions, via edge or cloud technology; integrate clinical information across multiple diagnostic and therapeutic modalities, such as radiomics and genomics; and develop new applications with industry-standard capabilities built-in, such as data privacy and cybersecurity.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Expand Our Business by Providing Transformational Customer Solutions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plan to expand our leading global presence by continuing to deliver transformational solutions designed around specific customer needs. The growing demand for precision health is driving a greater focus among customers for solutions that provide actionable insights for clinicians and are easily deployable for healthcare systems. For example, in response to the COVID-19 pandemic, we partnered with the U.K. National Health Service to design and iterate on “CT in a Box,” a mobile CT solution designed to be deployed to temporary field hospitals set up in the countryside or conference centers to address record-setting patient volumes. These non-traditional care settings needed a mobile CT solution to be placed on-site and to be operational with minimal set-up. We believe there is significant opportunity to utilize our core competencies in innovation, service capabilities, and digital solutions to expand our portfolio further into integrated diagnostics, AI and machine learning-based clinical decision support, highly personalized therapies enabled by more precise diagnostics, and remote patient monitoring.</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the delivery of care continues to extend outside the hospital, we plan to continue growing our presence to alternative sites of care with our clinical collaboration capabilities, enabling minimally-invasive procedures and expanding into remote monitoring and home care. For example, we have migrated PACS to the cloud to support broader adoption by ambulatory surgical centers and easier virtual collaboration for clinicians. Our Mural solution intelligently aggregates and organizes relevant patient monitoring data from multiple sources to deliver actionable insights that allow clinicians to prioritize and deliver better care for high-risk patients. Through our collaborations with AliveCor and Pulsenmore, we are also expanding our presence to patients’ homes through remote monitoring devices that are key enablers of precision health.</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Grow in Emerging Markets with a Local Strategy Tailored to Customer Needs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established a strong and growing presence in emerging markets, which represent approximately 30% of our 2021 revenue, growing 9% from 2020. Increasing demand for healthcare in emerging markets, driven by macro trends, represents a significant growth opportunity for GE HealthCare. We plan to continue to invest in developing tailored clinical applications, service repair operations, training, financing, and project management to better serve customer needs in emerging markets.</w:t>
      </w:r>
    </w:p>
    <w:p>
      <w:pPr>
        <w:spacing w:after="0" w:line="180"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As localization initiatives increase in important markets, the strength of our portfolio and enterprise approach is enhanced by regionally-defined commercial strategies. To address the increasing focus on localization in key high-growth emerging markets, such as China, India, and Brazil, we developed comprehensive product development, production, and commercialization strategies reflecting local needs. Today, GE HealthCare China has approximately 7,000 employees, four manufacturing plants, and an R&amp;D team of approximately 1,200 engineers who work to develop and deliver innovative products and technologies not just for the China market, but also for markets across the world. Similarly, in India, the GE HealthCare R&amp;D team of approximately 2,300 engineers develops specialized affordable care products and manufacture through four manufacturing plants for the local and global market. We take a strategic approach to each emerging market, helping us match our strategies to the market opportunity and local needs.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Drive Growth and Continuous Improvement Through Lean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 HealthCare operates with a company-wide dedication to continuous improvement through lean tools, processes, and leadership development. We focus on our top operational priorities: Safety, Quality, Delivery, Cost, and Innovation. Through these operational disciplines we strive to deliver safe operations, customer-focused innovation, and consistent business execution, while executing on our industry-leading reputation as a trusted partner. For our customers, we utilize lean to improve customer experience, innovate our offerings, and ensure consistent and cost-effective delivery of mission critical healthcare solutions. We use lean to achieve reductions in product and service costs by focusing on having a diverse and qualified supplier base, enhancing logistics productivity, employing design-for-value principles, and driving digitization of our services delivery to enhance value for customers while improving operating margins across the portfolio. This capability is critical to managing margin pressure from recent spikes in inflation. Operationally, lean dictates a relentless focus on customer value, which helps leaders collaborate across departments to identify the root cause of problems, eliminate waste, and prioritize work. This framework helps align our activities and allocate resources, including both talent and capital, to promote growth and innovation, supply chain efficiency, and operational productivity. Our focus on lean will enable us to deliver better customer outcomes while improving our operating model as a stand-alone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Disciplined Focus on Strategic M&amp;A Transactions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continue to focus on disciplined and targeted inorganic growth through strategic transactions, including acquisitions, mergers, investments, joint ventures and other expansions of our operations that leverage our existing platform. Following the Spin-Off, we will have more flexibility as a standalone company to allocate our capital to successfully execute such transactions. Our focus remains on transactions intended to accelerate our strategies, expand capabilities, and drive attractive returns, such as the recent acquisitions of BK, Zionexa, and Prismatic Sensors, as well as our recent strategic collaborations with Pulsenmore, RaySearch, SOPHiA Genetics, and AliveCor.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develop, manufacture, and market a broad portfolio of products, services, and complementary digital solutions used in the diagnosis, treatment, and monitoring of patients. We are a global leader in each of our core business segments. We have a global installed base of more than four million medical imaging, ultrasound, and patient monitoring systems.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business is comprised of four segments that are aligned with the industries we serve: Imaging, Ultrasound, Patient Care Solutions, and Pharmaceutical Diagnostics. We deliver a broad portfolio of products, service capabilities, and digital solutions to our various types of customers and their unique needs.</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Technological innovation is a strength of each of our segments. For most equipment product lines, we aim to launch a major new platform every five to seven years and release incremental innovations every 12 to 18 months, driving better products for customers, better outcomes for patients, and continued growth for our Company. With each new platform and incremental innovation, we aim to improve the performance, quality, customer experience, serviceability, and cost of our offerings. Our digital solutions are built from our decades of experience in the clinical specialties we serve. Many of these software offerings are built from analyzing large amounts of patient data collected by our equipment. Using proprietary algorithms, AI, and machine learning, our segments create innovative digital solutions tailored to their clinical care areas of expertise that help simplify complex data and support clinical and operational decision-making at a device, department, and enterprise level.</w:t>
      </w:r>
    </w:p>
    <w:p>
      <w:pPr>
        <w:spacing w:after="0" w:line="18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Our Imaging, Ultrasound, and PCS segments each benefit from our leading service capabilities. To improve ease of doing business, we offer customers single, consolidated service contracts for the equipment our customers utilize across our segments. Connectivity to the installed base is increasingly a key customer buying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factor and competitive strength for our segments. For example, approximately 80% of our imaging systems are connected for remote monitoring, enabling diagnostic consultations with skilled off-site engineers, predictive maintenance, and asset management analytics. Our remote monitoring and repair capabilities limit downtime for customers by improving speed to repair while increasing our ability to serve customers efficiently and allowing our segments to generate real-time insights into how our equipment is used in the field to improve on future offerings.</w:t>
      </w:r>
    </w:p>
    <w:p>
      <w:pPr>
        <w:spacing w:after="0" w:line="180"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All of our segments also benefit from the breadth and capabilities of our digital solutions, including our Edison Platform and over 200 digital applications and software solutions. We focus our investments on digital innovation where we have a clear path to commercialization, including applications that stitch together clinical workflows, and a competitive advantage over independent software vendors. For example, Edison allows for ease of deployment of software applications on devices that our segments develop, reducing the burden on IT departments of hospitals and healthcare systems who often integrate bespoke software and equipment. In addition, our DaTQUANT software application provides a structured, visual, and quantitative result to support confidence in scan interpretation, driving consistency and repeatability through automated processing of scans, and simplifying communication between referring physicians.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Imaging Business</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GE HealthCare is a global leader in medical imaging with a comprehensive portfolio of scanning devices, clinical applications, service capabilities, and digital solutions. We have one of the industry’s largest installed bases of medical imaging equipment with approximately 400,000 systems globally and have a leading position in nearly all markets where our products are sold. Our Imaging portfolio spans the care continuum and provides critical tools for physicians from initial screening and diagnosis, through therapeutic decision-making, to monitoring of patient progression. Our products are essential in the delivery of care for a broad spectrum of clinical specialties, including oncology, cardiology, neurology, nuclear medicine, orthopedics, women’s health, pediatrics, and surgery.</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Imaging portfolio is comprised of six product lines and associated service capabilities: Computed Tomography, Magnetic Resonance, Molecular Imaging, Image-Guided Therapies, Women’s Health, X-ray. Starting with the development of the X-ray in 1896, we have been at the forefront of industry-defining innovations for over 125 years and have consistently deployed advanced, innovative technologies to develop intelligently efficient solutions to address critical needs of our customers. We supplement our imaging solutions with digital applications and software solutions, leveraging our AI and advanced digital capabilities. We also offer specialized global service capabilities to support devices with upgrades and lifecycle management. For each product in our portfolios, we develop and offer upgrades that expand clinical functionality throughout the product’s lifecycle and extend the life of imaging devices and software for a strong return on our customers’ investments.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our core products, digital solutions, and service offerings, we provide complementary enterprise solutions, such as education and training, equipment financing, and data integration services, as illustrated below. Our broad enterprise solutions across the imaging continuum enable us to drive connectivity across healthcare systems and throughout the product lifecycle. Together, our intelligent imaging devices, digital solutions, and specialized services are designed to increase accuracy and precision of diagnostic and therapeutic efforts, improve efficiency of radiology operations and workflows, and enable precision therapy delivery.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208280</wp:posOffset>
            </wp:positionV>
            <wp:extent cx="3282950" cy="2305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829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2021, our Imaging business generated $9,433 million of revenue, a 5% increase year-over-year from $8,959 million in 2020, representing 54% of GE HealthCare’s total 2021 revenue. In 2021, we generated $1,240 million of segment EBIT compared to $1,182 million in 2020, representing a 5% increase year-over-year.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Imaging Portfolio</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Computed Tomography</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CT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CT scanners are used predominantly in hospitals’ radiology or emergency departments, as well as in outpatient centers. There were more than 500 million CT procedures worldwide in 2021. Clinicians often use CT technologies to guide their diagnostic and therapeutic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145415</wp:posOffset>
            </wp:positionV>
            <wp:extent cx="6275070" cy="18427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7507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comprehensive CT portfolio includes multi-purpose and specialty scanners, such as CardioGraphe, which is a dedicated cardiac CT optimized for the heart. As a leading manufacturer of CT for the last four decades, we have launched many industry “firsts” and led innovations in the CT industry, including:</w:t>
      </w:r>
    </w:p>
    <w:p>
      <w:pPr>
        <w:spacing w:after="0" w:line="81" w:lineRule="exact"/>
        <w:rPr>
          <w:sz w:val="20"/>
          <w:szCs w:val="20"/>
          <w:color w:val="auto"/>
        </w:rPr>
      </w:pPr>
    </w:p>
    <w:p>
      <w:pPr>
        <w:ind w:left="5480" w:right="3220" w:hanging="4824"/>
        <w:spacing w:after="0" w:line="454" w:lineRule="auto"/>
        <w:tabs>
          <w:tab w:leader="none" w:pos="107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cardiac exams with anatomic and functional information in just one heartbeat; 136</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Iterative image reconstruction technique which significantly lowers radiation dose;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Gemstone Spectral Imaging that allows clinicians to better characterize and diagnose lesions;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Fastest CT scanner at 0.23 seconds per rotation.</w:t>
      </w:r>
    </w:p>
    <w:p>
      <w:pPr>
        <w:spacing w:after="0" w:line="225"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We are actively developing the next generation of CT technology. Our photon counting technology, accelerated by the acquisition of Prismatic Sensors in 2020, has the promise to further expand the clinical capabilities of traditional CT. After many years of experimentation with cadmium-based detectors, we have chosen a silicon-detector technology that we believe will deliver both higher spatial resolution, and finer energy resolution compared to cadmium. Our expectation is that the energy resolution capability will better deliver clinical insights, such as better lesion characterization, tumor staging, atherosclerotic plaque characterization, and stroke evaluation. We also aim to continuously enhance our leading CT equipment with complementary technologies and techniques that expand the applications of CT systems while also optimizing workflow and physician experience.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Magnetic Resonance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MR is a sophisticated, non-invasive imaging technology that produces detailed anatomical images of almost every internal structure in the human body, such as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MR utilization is driven by an increasing number of indications, as well as by the fact that no radiation is produced during an MR exam. There were more than 190 million MR procedures worldwide in 2021. Our installed base is one of the largest with more than 20,000 installed systems globally. Our MR systems are used predominantly in radiology practices but can be tailored for use in nuclear medicine, cardiology, radiation oncology, surgery, and neurosciences. We also offer proprietary laboratory equipment used in research applications, such as the production of hyperpolarized nuclei for real-time metabolic MR imaging, which may provide significant new insights into previously inaccessible aspects of cancer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148590</wp:posOffset>
            </wp:positionV>
            <wp:extent cx="6257925" cy="1817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5792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MR portfolio includes scanners for a range of clinical capabilities through different bore sizes and scalable platforms. Our leading SIGNA MR franchise is trusted by customers globally due to our long-standing dedication to improve image quality, resulting in more rapid and accurate diagnoses. Our MR systems include a common software platform with a basic set of applications that enhance image quality and a premium set of applications that address more advanced MR imaging techniques and clinical specialties. We are a leader in on-device AI, improving image quality and exam efficiency. Recent MR innovations include:</w:t>
      </w:r>
    </w:p>
    <w:p>
      <w:pPr>
        <w:spacing w:after="0" w:line="87" w:lineRule="exact"/>
        <w:rPr>
          <w:sz w:val="20"/>
          <w:szCs w:val="20"/>
          <w:color w:val="auto"/>
        </w:rPr>
      </w:pPr>
    </w:p>
    <w:p>
      <w:pPr>
        <w:ind w:left="1080" w:right="340" w:hanging="424"/>
        <w:spacing w:after="0" w:line="284"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AIR Recon DL</w:t>
      </w:r>
      <w:r>
        <w:rPr>
          <w:rFonts w:ascii="Times New Roman" w:cs="Times New Roman" w:eastAsia="Times New Roman" w:hAnsi="Times New Roman"/>
          <w:sz w:val="18"/>
          <w:szCs w:val="18"/>
          <w:color w:val="auto"/>
        </w:rPr>
        <w:t>: a pioneering AI deep learning-based reconstruction algorithm that improves signal-to-noise ratio and image sharpness,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enabling shorter scan times;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100" w:hanging="424"/>
        <w:spacing w:after="0" w:line="284"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AIR coil</w:t>
      </w:r>
      <w:r>
        <w:rPr>
          <w:rFonts w:ascii="Times New Roman" w:cs="Times New Roman" w:eastAsia="Times New Roman" w:hAnsi="Times New Roman"/>
          <w:sz w:val="18"/>
          <w:szCs w:val="18"/>
          <w:color w:val="auto"/>
        </w:rPr>
        <w:t>: a flexible blanket-like coil that increases image quality across a range of anatomical structures while enhancing patient comfort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scan; and</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Continuum Upgradability</w:t>
      </w:r>
      <w:r>
        <w:rPr>
          <w:rFonts w:ascii="Times New Roman" w:cs="Times New Roman" w:eastAsia="Times New Roman" w:hAnsi="Times New Roman"/>
          <w:sz w:val="18"/>
          <w:szCs w:val="18"/>
          <w:color w:val="auto"/>
        </w:rPr>
        <w:t>: enables the upgrade of a device near end-of-lifecycle.</w:t>
      </w:r>
    </w:p>
    <w:p>
      <w:pPr>
        <w:spacing w:after="0" w:line="22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collaborate with over one hundred academic and clinical research institutions around the globe, supporting more than 500 MR research projects, aiming to advance science and medical practice. This work also involves the development and support of various research-only systems and technologies that are typically used in the world’s leading neuroscience facilities.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Molecular Imaging</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MI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Before the scan, a small amount of a radiopharmaceutical agent is administered to the patient and is absorbed by targeted structures within the body. During the scan, the MI device captures the signal emitted by the radiopharmaceutical, processes the data, and produces a 3D image.</w:t>
      </w:r>
    </w:p>
    <w:p>
      <w:pPr>
        <w:spacing w:after="0" w:line="180"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are the only company who offers a total MI solution, including pharmaceutical diagnostics, cyclotrons, chemistry synthesis, PET/CT, PET/MR, nuclear medicine, and advanced digital solutions, complemented by our collaborations with pharmaceutical companies that are innovating new molecular tracers used for diagnostics and therapies. Our PET Radiopharmacy portfolio includes a wide array of PET tracer production technologies, delivering the only complete PET solution in the industry. Our PET/CT systems are primarily used in oncologic applications for the diagnosis, staging, treatment planning, and monitoring of cancer. In addition, there are new applications emerging for the diagnosis of specific neurological and heart conditions. Our SPECT and SPECT/CT, also known as gamma cameras, are offered both in general purpose and dedicated cardiac systems to visualize a variety of functional applications, such as cardiac, cancer progression, and certain oncologic treatments such as thyroid cancer. SPECT/CT gives the ability to simultaneously assess functional and anatomical images from the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150495</wp:posOffset>
            </wp:positionV>
            <wp:extent cx="1405890" cy="19970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05890" cy="199707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150495</wp:posOffset>
            </wp:positionV>
            <wp:extent cx="3797300" cy="1920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7973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 strong track-record of industry ‘firsts’ and innovations in MRI including:</w:t>
      </w:r>
    </w:p>
    <w:p>
      <w:pPr>
        <w:spacing w:after="0" w:line="131" w:lineRule="exact"/>
        <w:rPr>
          <w:sz w:val="20"/>
          <w:szCs w:val="20"/>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launch SPECT/CT (1999), PET/CT (2001), multi-slice SPECT/CT (2006), and digital PET/CT (2016);</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StarGuide, a premium digital SPECT/CT technology that consistently delivers high-resolution imaging, providing clinicians with accurate clinical support to make personalized care decisions and treatment response assessments, especially in Theranostics; and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40"/>
          </w:cols>
          <w:pgMar w:left="320" w:top="455" w:right="5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MI and Discovery IQ PET/CT systems with the highest effective sensitivity in the industry, as defined by the National Electrical Manufactures Association, that can also be combined with MR technology to produce images with superior soft-tissue contrast.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X-ray</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X-ray systems are used by clinicians to perform first-line diagnostic imaging examinations of anatomical structures in the body, such as bones, lungs, and the gastrointestinal tract. An X-ray tube emits high frequency electromagnetic waves that pass through the human body. A portion of the waves is absorbed or scattered by internal body structures, while the remaining “shadows” get transmitted to a film or digital detector to produce a radiograph, commonly called an X-ray image. There were approximately 2.5 billion X-ray procedures worldwide in 2021. X-ray systems are used predominately in radiology departments of hospitals, outpatient imaging centers, urgent care centers, and physician group practices (such as orthopedics or sports medicine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566535" cy="1937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6653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GE HealthCare’s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leading manufacturer of X-ray systems, we have introduced many innovations that were firsts in the industry, including:</w:t>
      </w:r>
    </w:p>
    <w:p>
      <w:pPr>
        <w:spacing w:after="0" w:line="129" w:lineRule="exact"/>
        <w:rPr>
          <w:sz w:val="20"/>
          <w:szCs w:val="20"/>
          <w:color w:val="auto"/>
        </w:rPr>
      </w:pPr>
    </w:p>
    <w:p>
      <w:pPr>
        <w:ind w:left="1080" w:right="800" w:hanging="424"/>
        <w:spacing w:after="0" w:line="284"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X-ray Critical Care Suite</w:t>
      </w:r>
      <w:r>
        <w:rPr>
          <w:rFonts w:ascii="Times New Roman" w:cs="Times New Roman" w:eastAsia="Times New Roman" w:hAnsi="Times New Roman"/>
          <w:sz w:val="18"/>
          <w:szCs w:val="18"/>
          <w:color w:val="auto"/>
        </w:rPr>
        <w:t>: an industry-first collection of on-device AI algorithms for pneumothorax triage and endotracheal tube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positioning that integrates with existing workflows;</w:t>
      </w:r>
    </w:p>
    <w:p>
      <w:pPr>
        <w:spacing w:after="0" w:line="63"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Repeat/Reject Analytics: </w:t>
      </w:r>
      <w:r>
        <w:rPr>
          <w:rFonts w:ascii="Times New Roman" w:cs="Times New Roman" w:eastAsia="Times New Roman" w:hAnsi="Times New Roman"/>
          <w:sz w:val="18"/>
          <w:szCs w:val="18"/>
          <w:color w:val="auto"/>
        </w:rPr>
        <w:t>a digital solution that provides our customers with insight into the root causes of rejected X-ray images so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implement targeted improvement training; and</w:t>
      </w:r>
    </w:p>
    <w:p>
      <w:pPr>
        <w:spacing w:after="0" w:line="63"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Zero-Click Exams: </w:t>
      </w:r>
      <w:r>
        <w:rPr>
          <w:rFonts w:ascii="Times New Roman" w:cs="Times New Roman" w:eastAsia="Times New Roman" w:hAnsi="Times New Roman"/>
          <w:sz w:val="18"/>
          <w:szCs w:val="18"/>
          <w:color w:val="auto"/>
        </w:rPr>
        <w:t>a solution that leverages radio frequency identification badge login, barcode patient verification, automated protocol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and AI processing to increase efficiency.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Women’s Health</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 Our Women’s Health products serve a wide range of customers, including radiologists, surgeons, oncologists, orthopedists, rheumatologists, geriatricians, endocrinologists, pediatricians, and sports medicine practitioners who seek to diagnose and treat breast cancer, osteoporosis, and metabolic disorders.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497955" cy="2194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979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continuously innovate our Women’s Health mammography portfolio to enable earlier detection of cancer, improve biopsy procedure timeliness, and enhance the patient experience during screening. Our goal is to empower women to be part of their mammography exam and improve their comfort during exams through our recently developed patient-assisted compression technology. In addition, we were the first to use contrast media as an adjunct to inconclusive diagnostic exams. Recent innovations include:</w:t>
      </w:r>
    </w:p>
    <w:p>
      <w:pPr>
        <w:spacing w:after="0" w:line="83" w:lineRule="exact"/>
        <w:rPr>
          <w:sz w:val="20"/>
          <w:szCs w:val="20"/>
          <w:color w:val="auto"/>
        </w:rPr>
      </w:pPr>
    </w:p>
    <w:p>
      <w:pPr>
        <w:ind w:left="1080" w:hanging="424"/>
        <w:spacing w:after="0" w:line="284"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SenoBright HD: an exam that reduces the masking effect of breast tissue to reveal what matters to help patients avoid agonizing wait times when they get an inconclusive exam;</w:t>
      </w:r>
    </w:p>
    <w:p>
      <w:pPr>
        <w:spacing w:after="0" w:line="63"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Pristina Serena</w:t>
      </w:r>
      <w:r>
        <w:rPr>
          <w:rFonts w:ascii="Times New Roman" w:cs="Times New Roman" w:eastAsia="Times New Roman" w:hAnsi="Times New Roman"/>
          <w:sz w:val="18"/>
          <w:szCs w:val="18"/>
          <w:color w:val="auto"/>
        </w:rPr>
        <w:t>: an exam that gives healthcare providers the option of accessing the breast with a newly designed side approach,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exceptional access to lesions; and</w:t>
      </w:r>
    </w:p>
    <w:p>
      <w:pPr>
        <w:spacing w:after="0" w:line="63" w:lineRule="exact"/>
        <w:rPr>
          <w:rFonts w:ascii="Times New Roman" w:cs="Times New Roman" w:eastAsia="Times New Roman" w:hAnsi="Times New Roman"/>
          <w:sz w:val="18"/>
          <w:szCs w:val="18"/>
          <w:color w:val="auto"/>
        </w:rPr>
      </w:pPr>
    </w:p>
    <w:p>
      <w:pPr>
        <w:ind w:left="1080" w:right="700" w:hanging="424"/>
        <w:spacing w:after="0" w:line="284"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Pristina Dueta Patient-Assisted Compression</w:t>
      </w:r>
      <w:r>
        <w:rPr>
          <w:rFonts w:ascii="Times New Roman" w:cs="Times New Roman" w:eastAsia="Times New Roman" w:hAnsi="Times New Roman"/>
          <w:sz w:val="18"/>
          <w:szCs w:val="18"/>
          <w:color w:val="auto"/>
        </w:rPr>
        <w:t>: an exam that with the guidance of a technologist, women can play an active role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their level of breast compression with the help of a hand-held remote.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Image-Guided Therapies</w:t>
      </w:r>
    </w:p>
    <w:p>
      <w:pPr>
        <w:spacing w:after="0" w:line="11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Our Image-Guided Therapies business provides technologies that assist clinicians and surgeons during open surgeries and minimally-invasive endovascular procedures. Intraoperative imaging systems are used to visualize procedures that involve implants and devices, such as stents, balloons, pace makers, and artificial joints. Given the increasing prevalence of minimally-invasive surgery, we expect the demand for our Image-Guided Therapies business to continue to grow. With an open architecture, we are uniquely positioned to support third-party solutions to offer best of its kind innovative offerings to our customers.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strive to innovate and expand our applications for image-guided therapies and improve workflow and integration in the interventional suite. Given the evolving dynamics of this industry, we are also innovating the way we engage with customers with new business models across different care settings. These include out-of-hospital settings, such as office-based labs and ambulatory surgical centers.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Image-Guided Therapies business includes two business lines:</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Interventional systems</w:t>
      </w:r>
    </w:p>
    <w:p>
      <w:pPr>
        <w:spacing w:after="0" w:line="11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Our interventional systems are commercialized under the IGS brand and are comprised of a broad portfolio of products that provide real-time advanced X-ray imaging and integrate with other imaging and diagnostic technologies that support clinicians in planning, guiding, and assessing minimally-invasive procedures, such as ablation, embolization, device implantation, and structural heart procedures.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5829300" cy="2074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latest interventional products offer robotic positioning for precise procedural angulations and easy patient access, and are combined with AI-based augmented visualization to improve clinical decision-making and patient outcomes. The main customers are interventional radiologists, cardiologists, oncologists, neuroradiologists, and vascular surgeons. Moreover, our new product release enables full sterilization of the floor with full Laminar air flow operation, which supports the growing need for hybrid operating rooms to enable the evolving procedures of endovascular aneurysm repair, transcatheter aortic valve replacement, and transcatheter mitral valve repair.</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Within our interventional systems portfolio we also offer invasive cardiology systems that are commercialized under the MacLab, CardioLab, and ComboLab brands. These products provide monitoring and recording solutions that measure physiological signals during minimally-invasive cardiology or EP therapies, and streamline data management, documentation, and reporting processes.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Surgery systems</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surgical systems are commercialized under the OEC brand and are comprised of a broad portfolio of mobile surgical C-arms that meet the varying clinical and environmental needs for surgical imaging around the world. OEC C-arms hold a global leadership position and support procedures from complex cardiac care to simple orthopedic fixation in hospitals, clinics, outpatient centers, and doctors’ offices. OEC C-arms display highly detailed anatomical images with an advanced software and ergonomic feature package that brings greater efficiency to demanding surgical procedures. OEC C-arms support clinical efficacy and safety with key offerings and capabilities including:</w:t>
      </w:r>
    </w:p>
    <w:p>
      <w:pPr>
        <w:spacing w:after="0" w:line="89" w:lineRule="exact"/>
        <w:rPr>
          <w:sz w:val="20"/>
          <w:szCs w:val="20"/>
          <w:color w:val="auto"/>
        </w:rPr>
      </w:pPr>
    </w:p>
    <w:p>
      <w:pPr>
        <w:ind w:left="1080" w:right="32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2D and 3D capability in a single system with 40% larger 3D volume images and CT-like images available intraoperatively within minutes to minimize pre- or post-operative scanning;</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1.5x image resolution with CMOS Flat Detector technology to identify defibrillator implants or identify screw and rod placements during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software that automatically reduces imaging noise by 30% for smoother cardiovascular images;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Radiation dose management innovations with Live View camera and Live Zoom digital processing to reduce unnecessary X-ray shots or the need for higher dose modes;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Time-saving mechanical innovations to achieve required positioning around the patient that automatically locks to create a stable operating environment.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key products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197600" cy="17405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9760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Digital Solutions</w:t>
      </w:r>
    </w:p>
    <w:p>
      <w:pPr>
        <w:spacing w:after="0" w:line="11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To address our customers’ needs around operational workflow efficiency, we offer a suite of software and applications that help radiology teams improve productivity, address staff shortages, and deliver better patient outcomes. These software solutions and applications are upgradable through the lifecycle of the equipment and are especially beneficial for multi-site, multi-disciplinary networks that have complex operations. Highlights of our imaging digital offerings include:</w:t>
      </w:r>
    </w:p>
    <w:p>
      <w:pPr>
        <w:spacing w:after="0" w:line="83" w:lineRule="exact"/>
        <w:rPr>
          <w:sz w:val="20"/>
          <w:szCs w:val="20"/>
          <w:color w:val="auto"/>
        </w:rPr>
      </w:pPr>
    </w:p>
    <w:p>
      <w:pPr>
        <w:ind w:left="1080" w:right="40" w:hanging="424"/>
        <w:spacing w:after="0" w:line="284"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Advantage Workstation</w:t>
      </w:r>
      <w:r>
        <w:rPr>
          <w:rFonts w:ascii="Times New Roman" w:cs="Times New Roman" w:eastAsia="Times New Roman" w:hAnsi="Times New Roman"/>
          <w:sz w:val="18"/>
          <w:szCs w:val="18"/>
          <w:color w:val="auto"/>
        </w:rPr>
        <w:t>: an imaging software suite with over 60 clinical applications that enables access to imaging results and streamlined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across specific clinical areas designed to accommodate a variety of workflows;</w:t>
      </w:r>
    </w:p>
    <w:p>
      <w:pPr>
        <w:spacing w:after="0" w:line="63" w:lineRule="exact"/>
        <w:rPr>
          <w:rFonts w:ascii="Times New Roman" w:cs="Times New Roman" w:eastAsia="Times New Roman" w:hAnsi="Times New Roman"/>
          <w:sz w:val="18"/>
          <w:szCs w:val="18"/>
          <w:color w:val="auto"/>
        </w:rPr>
      </w:pPr>
    </w:p>
    <w:p>
      <w:pPr>
        <w:ind w:left="1080" w:right="260" w:hanging="424"/>
        <w:spacing w:after="0" w:line="267"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Digital Solutions</w:t>
      </w:r>
      <w:r>
        <w:rPr>
          <w:rFonts w:ascii="Times New Roman" w:cs="Times New Roman" w:eastAsia="Times New Roman" w:hAnsi="Times New Roman"/>
          <w:sz w:val="18"/>
          <w:szCs w:val="18"/>
          <w:color w:val="auto"/>
        </w:rPr>
        <w:t>: standards-based solutions that enable customers to manage, view, and share data efficiently across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diagnostic care continuum to improve efficiency and quality of patient care. Products in the portfolio include departmental solutions for radiology and cardiology, as well as enterprise PACS imaging solutions; and</w:t>
      </w:r>
    </w:p>
    <w:p>
      <w:pPr>
        <w:spacing w:after="0" w:line="78" w:lineRule="exact"/>
        <w:rPr>
          <w:rFonts w:ascii="Times New Roman" w:cs="Times New Roman" w:eastAsia="Times New Roman" w:hAnsi="Times New Roman"/>
          <w:sz w:val="18"/>
          <w:szCs w:val="18"/>
          <w:color w:val="auto"/>
        </w:rPr>
      </w:pPr>
    </w:p>
    <w:p>
      <w:pPr>
        <w:ind w:left="1080" w:right="500" w:hanging="424"/>
        <w:spacing w:after="0" w:line="267"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Edison Imaging 360</w:t>
      </w:r>
      <w:r>
        <w:rPr>
          <w:rFonts w:ascii="Times New Roman" w:cs="Times New Roman" w:eastAsia="Times New Roman" w:hAnsi="Times New Roman"/>
          <w:sz w:val="18"/>
          <w:szCs w:val="18"/>
          <w:color w:val="auto"/>
        </w:rPr>
        <w:t>: a smart, easy-to-use digital ecosystem designed to help busy imaging departments do more with less, and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productivity and efficiency through protocol management, remote collaboration tools, scheduling software, and radiation exposure management.</w:t>
      </w:r>
    </w:p>
    <w:p>
      <w:pPr>
        <w:spacing w:after="0" w:line="17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With advancements in computing power, AI, machine learning, and data science, we actively invest in the integration of AI and machine learning on devices, on premises, and in the cloud to provide decision support and enhanced processing at the point of the scan. By expanding the set of offerings, applications, and vendor-agnostic solutions that are integrated into our Edison platform, we can better enable customers to increase productivity, address staff shortages, reduce variability, and ultimately deliver better patient outcomes.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Capabilities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operate on a global scale and support our customers with highly trained service engineers and application specialists who provide 24-hour troubleshooting and repair, along with a strategic global network of parts warehouses. Our service lifecycle management offering helps keep systems current with ongoing upgrades, updates, and cybersecurity protection. Our digital solutions help minimize downtime with data-driven insights to increase asset utilization, expedite repairs, and facilitate compliance.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global imaging marketplace, we compete with Siemens Healthineers, Philips Healthcare, Canon, United Imaging, and Fujifilm. In X-ray, we also compete with multiple other players, including Carestream,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Shimadzu, and Agfa Healthcare. In Women’s Health, we compete primarily with Hologic. In Digital Solutions, we compete with Philips Healthcare, Siemens Healthineers, Fujifilm, Agfa Healthcare, and Change Healthcare.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Ultrasound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GE HealthCare is a global leader in ultrasound medical devices and solutions. We believe we have the largest global installed base of ultrasound equipment with approximately 400,000 devices. Our broad ultrasound portfolio spans the continuum of care, including screening, diagnosis, treatment, and monitoring of certain diseases. Our Ultrasound business segment serves customers across five clinical areas: Radiology and Primary Care, Women’s Health, Cardiovascular, Point of Care and Handheld, and Intraoperative Visualization. In 2021, we acquired BK, a provider of real-time surgical guidance in urology, general surgery, and neurosurgery procedures, and gained an entrance into the fast-growing Intraoperative Visualization adjacency. One of our key competitive advantages is the ability to consistently deliver innovative technologies alongside complementary digital solutions and service offerings designed as a seamless package that satisfies specific customer needs. We believe this advantage is critical to strong customer engagement, loyalty, and trust, and allows us to be a partner of choice.</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customer-centric approach to continuous innovation our Ultrasound business deploys, along with our dedicated and clinical specialties, have been a key driver of growth. We focus on designing and developing solutions that are aligned by specialties or areas for specific clinical workflows to better serve the unique needs of our customers and improve patient outcomes, while lowering overall cost of care. We continue to innovate and deliver best-in-class ultrasound probes and consoles, and to develop digital solutions that increase diagnostic accuracy and simplify clinical workflows. We enhance our leading technology with leading customer service that includes customer education and technical support with the goal of improving clinical workflows and operational efficiencies. Over 75,000 users are registered to access our Ultrasound on-line customer communities, which support users with online training, application best practices, white papers, user guides, and clinical image galleries. The breadth of our Ultrasound technology and service offerings has resulted in close relationships with customers who trust us as a partner to help solve their most urgent and critical clinical challenges.</w:t>
      </w:r>
    </w:p>
    <w:p>
      <w:pPr>
        <w:spacing w:after="0" w:line="188"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have a strong track record of industry first innovations, including developing the first 3D obstetric imaging device and the first handheld ultrasound, both of which addressed previously identified clinical challenges and provided economic value to our healthcare provider customers. We plan to continue to invest in R&amp;D to drive innovation in our Ultrasound portfolio, specifically by improving image quality, developing advanced electronics and miniaturization capabilities, lowering costs, and advancing probe technology. Our focus areas for innovation include:</w:t>
      </w:r>
    </w:p>
    <w:p>
      <w:pPr>
        <w:spacing w:after="0" w:line="85"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electronics and acoustic design, enabling image quality improvements that increase diagnostic confidence;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Miniaturization that protects users with smaller, lighter probes that are more comfortable to scan, and technological advances that create a single probe for multiple clinical applications;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to improve workflows and reduce cognitive workload, as well as to enable clinical decision support for all user skill levels.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2021, our Ultrasound business generated $3,172 million of revenue, a 17% increase year-over-year from $2,703 million in 2020, representing 18% of GE HealthCare’s total 2021 revenue. In 2021, we generated $885 million of segment EBIT compared to $640 million in 2020, representing a 38% increase year-over-year.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Ultrasound Portfolio</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Radiology and Primary Care</w:t>
      </w:r>
    </w:p>
    <w:p>
      <w:pPr>
        <w:spacing w:after="0" w:line="11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Radiology and Primary Care ultrasound systems produce high-quality images to support precise diagnoses and treatment across the whole body, including liver, thyroid, renal, breast, vascular, and transcranial.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Ultrasound systems for this clinical area combine exceptional image quality with comprehensive clinical tools, including measurement quantification, workflow automation, cross-modality networking, portability, and cloud-based technologies. These tools help clinicians improve diagnostic confidence, deliver therapies effectively, and enhance workflow productivity.</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GE HealthCare’s Radiology ultrasound technology, sold under the LOGIQ brand, is used in clinics, community hospitals, and large academic hospitals around the world by radiologists, sonographers, and a wide variety of clinical specialists.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Primary Care ultrasound products, sold under the Versana brand, are designed to enable the expansion of ultrasound to a growing network of new users in the primary care and shared service medicine. Versana provides an easy to operate device allowing clinicians to limit scan time and instead focus more on the patient and overall exam.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566535" cy="21602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6653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Women’s Health Ultrasound</w:t>
      </w:r>
    </w:p>
    <w:p>
      <w:pPr>
        <w:spacing w:after="0" w:line="11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Women’s Health Ultrasound is comprised of obstetrics, gynecology, assisted reproductive medicine, and supplemental breast cancer screening. These care areas require specially-designed ultrasound products that account for patient comfort and workflow constraints to enable practitioners to provide higher-quality screening, exam, and procedural care. Our Women’s Health Ultrasound portfolio, sold under the Voluson and Invenia brands, includes a range of products covering various specialties of this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377940" cy="22459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779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60"/>
          </w:cols>
          <w:pgMar w:left="320" w:top="455" w:right="5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Cardiovascular Ultrasound</w:t>
      </w:r>
    </w:p>
    <w:p>
      <w:pPr>
        <w:spacing w:after="0" w:line="117"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Cardiovascular Ultrasound is used in the diagnosis, treatment, and monitoring of patients with suspected or known heart disease. Diagnostic exams assess the structure and the function of the heart. Ultrasound is also used for guidance during interventional, electrophysiology, and surgical procedures.</w:t>
      </w:r>
    </w:p>
    <w:p>
      <w:pPr>
        <w:spacing w:after="0" w:line="203" w:lineRule="exact"/>
        <w:rPr>
          <w:sz w:val="20"/>
          <w:szCs w:val="20"/>
          <w:color w:val="auto"/>
        </w:rPr>
      </w:pPr>
    </w:p>
    <w:p>
      <w:pPr>
        <w:ind w:left="3100"/>
        <w:spacing w:after="0" w:line="261" w:lineRule="auto"/>
        <w:rPr>
          <w:sz w:val="20"/>
          <w:szCs w:val="20"/>
          <w:color w:val="auto"/>
        </w:rPr>
      </w:pPr>
      <w:r>
        <w:rPr>
          <w:rFonts w:ascii="Times New Roman" w:cs="Times New Roman" w:eastAsia="Times New Roman" w:hAnsi="Times New Roman"/>
          <w:sz w:val="18"/>
          <w:szCs w:val="18"/>
          <w:color w:val="auto"/>
        </w:rPr>
        <w:t>Our Cardiovascular Ultrasound portfolio, sold under the Vivid brand, is used both in complex diagnostic exams and for a range of cardiac treatment procedures. Cardiologists use our systems across clinical settings to diagnose problems and deliver treatments and procedures that reduce length of stay, morbidity, and cost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-559435</wp:posOffset>
            </wp:positionV>
            <wp:extent cx="1294130" cy="22459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94130" cy="2245995"/>
                    </a:xfrm>
                    <a:prstGeom prst="rect">
                      <a:avLst/>
                    </a:prstGeom>
                    <a:noFill/>
                  </pic:spPr>
                </pic:pic>
              </a:graphicData>
            </a:graphic>
          </wp:anchor>
        </w:drawing>
      </w:r>
    </w:p>
    <w:p>
      <w:pPr>
        <w:spacing w:after="0" w:line="65" w:lineRule="exact"/>
        <w:rPr>
          <w:sz w:val="20"/>
          <w:szCs w:val="20"/>
          <w:color w:val="auto"/>
        </w:rPr>
      </w:pPr>
    </w:p>
    <w:p>
      <w:pPr>
        <w:ind w:left="3100" w:right="40"/>
        <w:spacing w:after="0" w:line="266" w:lineRule="auto"/>
        <w:rPr>
          <w:sz w:val="20"/>
          <w:szCs w:val="20"/>
          <w:color w:val="auto"/>
        </w:rPr>
      </w:pPr>
      <w:r>
        <w:rPr>
          <w:rFonts w:ascii="Times New Roman" w:cs="Times New Roman" w:eastAsia="Times New Roman" w:hAnsi="Times New Roman"/>
          <w:sz w:val="18"/>
          <w:szCs w:val="18"/>
          <w:color w:val="auto"/>
        </w:rPr>
        <w:t>Our entry-level cardiovascular products are designed for reliability and ease of use. These systems are used for diagnostic purposes in physician office settings and clinics. Our premium products have advanced quantification and 4D imaging capability as well as integrated AI for workflow automation.</w:t>
      </w:r>
    </w:p>
    <w:p>
      <w:pPr>
        <w:spacing w:after="0" w:line="81" w:lineRule="exact"/>
        <w:rPr>
          <w:sz w:val="20"/>
          <w:szCs w:val="20"/>
          <w:color w:val="auto"/>
        </w:rPr>
      </w:pPr>
    </w:p>
    <w:p>
      <w:pPr>
        <w:ind w:left="3100" w:right="140"/>
        <w:spacing w:after="0" w:line="258" w:lineRule="auto"/>
        <w:rPr>
          <w:sz w:val="20"/>
          <w:szCs w:val="20"/>
          <w:color w:val="auto"/>
        </w:rPr>
      </w:pPr>
      <w:r>
        <w:rPr>
          <w:rFonts w:ascii="Times New Roman" w:cs="Times New Roman" w:eastAsia="Times New Roman" w:hAnsi="Times New Roman"/>
          <w:sz w:val="18"/>
          <w:szCs w:val="18"/>
          <w:color w:val="auto"/>
        </w:rPr>
        <w:t>Our premium portable products provide solutions for clinicians operating in busy clinical environments faced with limitations, such as system mobility and small footprint, and are used for mobile diagnostic exams, guidance for electrophysiology procedures, and monitoring in the operating room. Premium systems are used for both diagnostic purposes and for guidance of interventional, electrophysiology, and surgical procedures with transesophageal or intracardiac imaging.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Point of Care and Handheld Ultrasound</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Point of Care and Handheld Ultrasound technologies are portable devices that produce high-quality images, whether in a hospital, ambulance, or remote geographic locations. Clinicians use our Point of Care and Handheld Ultrasound devices to diagnose, monitor, and treat patients’ conditions throughout various care pathways to help improve outcomes while also reducing procedure time and required resources.</w:t>
      </w:r>
    </w:p>
    <w:p>
      <w:pPr>
        <w:spacing w:after="0" w:line="351" w:lineRule="exact"/>
        <w:rPr>
          <w:sz w:val="20"/>
          <w:szCs w:val="20"/>
          <w:color w:val="auto"/>
        </w:rPr>
      </w:pPr>
    </w:p>
    <w:p>
      <w:pPr>
        <w:ind w:left="2340" w:right="40"/>
        <w:spacing w:after="0" w:line="258" w:lineRule="auto"/>
        <w:rPr>
          <w:sz w:val="20"/>
          <w:szCs w:val="20"/>
          <w:color w:val="auto"/>
        </w:rPr>
      </w:pPr>
      <w:r>
        <w:rPr>
          <w:rFonts w:ascii="Times New Roman" w:cs="Times New Roman" w:eastAsia="Times New Roman" w:hAnsi="Times New Roman"/>
          <w:sz w:val="18"/>
          <w:szCs w:val="18"/>
          <w:color w:val="auto"/>
        </w:rPr>
        <w:t>Our Point of Care cart-based systems, sold under the Venue brand, are devices developed specifically for point of care medicine. Automated and advanced clinical tools enable fast assessments, support life-saving decisions, and help monitor and treat patients, even in unpredictable and chaotic environments. AI tools help drive consistency from user to user and across different exam needs. Designed with smooth and seamless surfaces, our devices are easy to clean, supporting infection control efforts and ease of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-617220</wp:posOffset>
            </wp:positionV>
            <wp:extent cx="960120" cy="22028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6012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17" w:lineRule="exact"/>
        <w:rPr>
          <w:sz w:val="20"/>
          <w:szCs w:val="20"/>
          <w:color w:val="auto"/>
        </w:rPr>
      </w:pPr>
    </w:p>
    <w:p>
      <w:pPr>
        <w:ind w:left="3660" w:right="60"/>
        <w:spacing w:after="0" w:line="254" w:lineRule="auto"/>
        <w:rPr>
          <w:sz w:val="20"/>
          <w:szCs w:val="20"/>
          <w:color w:val="auto"/>
        </w:rPr>
      </w:pPr>
      <w:r>
        <w:rPr>
          <w:rFonts w:ascii="Times New Roman" w:cs="Times New Roman" w:eastAsia="Times New Roman" w:hAnsi="Times New Roman"/>
          <w:sz w:val="18"/>
          <w:szCs w:val="18"/>
          <w:color w:val="auto"/>
        </w:rPr>
        <w:t>Our handheld ultrasound devices, sold under the Vscan brand, are portable, wireless, and whole-body scanning devices that produce high-quality images and are used to support early patient assessments and treatment monitoring. The Vscan Air system is used by clinicians to make decisions for patients with a variety of conditions, from chronic diseases to acute illnesses in both pediatric and adult patients. Our devices are designed with industry-leading wireless, dual-probe technology that produces images for both shallow and deep scanning. Our application has an easy-to-navigate user interface that is optimized to work with a range of Android and iOS devices. Our handheld portfolio provides point of care ultrasound capabilities to a diverse range of healthcare professionals working in primary care, emergency medicine, home care, critical care, and cardiology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-1162685</wp:posOffset>
            </wp:positionV>
            <wp:extent cx="1585595" cy="22028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8559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Intraoperative Visualization</w:t>
      </w:r>
    </w:p>
    <w:p>
      <w:pPr>
        <w:spacing w:after="0" w:line="256" w:lineRule="exact"/>
        <w:rPr>
          <w:sz w:val="20"/>
          <w:szCs w:val="20"/>
          <w:color w:val="auto"/>
        </w:rPr>
      </w:pPr>
    </w:p>
    <w:p>
      <w:pPr>
        <w:ind w:left="3980"/>
        <w:spacing w:after="0" w:line="254" w:lineRule="auto"/>
        <w:rPr>
          <w:sz w:val="20"/>
          <w:szCs w:val="20"/>
          <w:color w:val="auto"/>
        </w:rPr>
      </w:pPr>
      <w:r>
        <w:rPr>
          <w:rFonts w:ascii="Times New Roman" w:cs="Times New Roman" w:eastAsia="Times New Roman" w:hAnsi="Times New Roman"/>
          <w:sz w:val="18"/>
          <w:szCs w:val="18"/>
          <w:color w:val="auto"/>
        </w:rPr>
        <w:t>Our suite of Intraoperative Visualization products that we acquired through the BK acquisition helps surgeons visualize anatomy and lesions, guide interventions, and navigate inside the human body. These systems expand the use of ultrasound beyond diagnostics and support fast-growing precision surgery techniques, such as minimally-invasive and robotic-assisted surgeries, which require visualization for safe and effective navigation. Intraoperative imaging provides real-time information throughout surgical procedures that can be used to confirm or amend surgical plans, monitor progress, and validate the execution of a procedure, all while the patient is in the operating room. With real-time critical information, surgeons can deliver faster, more personalized care and achieve better health outcomes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-1239520</wp:posOffset>
            </wp:positionV>
            <wp:extent cx="1294130" cy="22459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9413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BK Imaging Platform is comprised of an ultrasound counsel and a wide variety of intra-body transducers paired with software packages with procedure-specific functionality.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BK products provide leading ultrasound-guided solutions in a variety of settings including:</w:t>
      </w:r>
    </w:p>
    <w:p>
      <w:pPr>
        <w:spacing w:after="0" w:line="129" w:lineRule="exact"/>
        <w:rPr>
          <w:sz w:val="20"/>
          <w:szCs w:val="20"/>
          <w:color w:val="auto"/>
        </w:rPr>
      </w:pPr>
    </w:p>
    <w:p>
      <w:pPr>
        <w:ind w:left="1080" w:right="80" w:hanging="424"/>
        <w:spacing w:after="0" w:line="284"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Urology</w:t>
      </w:r>
      <w:r>
        <w:rPr>
          <w:rFonts w:ascii="Times New Roman" w:cs="Times New Roman" w:eastAsia="Times New Roman" w:hAnsi="Times New Roman"/>
          <w:sz w:val="18"/>
          <w:szCs w:val="18"/>
          <w:color w:val="auto"/>
        </w:rPr>
        <w:t>: enables urologists to access all parts of the prostate and other internal organs in real time, which improves the speed and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procedures;</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Surgery</w:t>
      </w:r>
      <w:r>
        <w:rPr>
          <w:rFonts w:ascii="Times New Roman" w:cs="Times New Roman" w:eastAsia="Times New Roman" w:hAnsi="Times New Roman"/>
          <w:sz w:val="18"/>
          <w:szCs w:val="18"/>
          <w:color w:val="auto"/>
        </w:rPr>
        <w:t>: enables surgeons to detect tumors and plan and guide intervention using real-time visualization, providing a live image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surgery, including laparoscopic and robotic surgeries; and</w:t>
      </w:r>
    </w:p>
    <w:p>
      <w:pPr>
        <w:spacing w:after="0" w:line="63"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Neurology</w:t>
      </w:r>
      <w:r>
        <w:rPr>
          <w:rFonts w:ascii="Times New Roman" w:cs="Times New Roman" w:eastAsia="Times New Roman" w:hAnsi="Times New Roman"/>
          <w:sz w:val="18"/>
          <w:szCs w:val="18"/>
          <w:color w:val="auto"/>
        </w:rPr>
        <w:t>: enables neurosurgeons to make better intraoperative decisions during a wide variety of procedures, including cranial and spine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tumor resections, brain tumor biopsies, and shunt placements.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Digital Solutions</w:t>
      </w:r>
    </w:p>
    <w:p>
      <w:pPr>
        <w:spacing w:after="0" w:line="121"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Our Ultrasound Digital Solutions portfolio is dedicated to helping solve the efficiency, accuracy, standardization, and accessibility challenges of ultrasound through seamlessly connected devices and workflow solutions. Our Viewpoint solution is a differentiated reporting solution for ultrasound departments and private offices that allows the user to customize reports and easily incorporate them into the exam workflow. Digital Expert is a virtual real-time collaboration tool that allows clinicians to easily communicate within their network for advice, virtual training, and connection with GE HealthCare for assistance. This ability to connect with peers immediately can have far-reaching benefits, including the ability to quickly educate their staff and accelerate the speed and quality of care delivered. We recently launched our first SaaS model application for our handheld Vscan Air, which enables users to collaborate and remotely store exams while providing customers the flexibility to choose the number of devices they want supported.</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Capabilities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Ultrasound business segment has a large installed base that requires ongoing service, upgrades, and updates. Seamless connection of devices, software, and services increases satisfaction and engagement of customers as they seek offerings that are optimally maintained and allow upgrades. Our service offerings are highly regionalized with local requirements, varying customer needs, and cross-modality service strategies. We offer full-service contracts providing a range of coverage, as well as parts, probe repair, and remote diagnostics. Well-managed system End of Life programs that notify customers and provide replacement incentives further contribute to retaining the GE HealthCare installed base.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Competitors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the global ultrasound industry, GE HealthCare competes with Philips Healthcare, Canon, Mindray, Siemens Healthineers, and Butterfly Network.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Patient Care Solutions Business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 HealthCare’s PCS business is a leading global provider of medical devices, consumables, services, and digital solutions that complement a care team’s clinical expertise by acquiring and transforming clinical data into real-time visualization and clinical decision support. This allows care teams to more proactively adapt to changing patient needs and improve patient care and outcomes. Our PCS portfolio also helps solve current challenges our customers face, such as increased patient demand, clinician labor shortages, and the rising cost of care, by simplifying clinical and operation workflows to create efficiencies and capacity.</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PCS portfolio includes Patient Monitoring, Anesthesia Delivery and Respiratory Care, Maternal Infant Care, Diagnostic Cardiology, and Consumables, which combined represent an industry-leading installed base of approximately three million devices. These devices, along with our digital solutions, consumables, and service capabilities, form a broad and integrated solution that supports care teams within and beyond most acute healthcare settings, including emergency departments, surgical/operating rooms, ICUs, NICUs, labor and delivery units, telemetry units, medical-surgical units/general wards, cardiology departments, and clinics.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PCS’ key competitive advantages include our unique position at the center of care delivery, ability to acquire clinical data, and expertise in transforming that data into real-time visual and clinical decision support insights across acute and other care settings, allowing our customers to provide better care to patients. Customers and care teams trust that our intelligent devices, innovative tools, and digital solutions will provide precise, reliable, accurate, and actionable data at critical decision points in a patient’s care journey. Our vision is to connect caregivers and patients in an ecosystem that simplifies clinical and operational workflows, creates efficiencies, delivers personalized care that is convenient and accessible, and improves patient care and outcomes. To do so, we will continue to innovate our portfolio, build and increase adoption of digital ecosystems, and enhance product lifecycles through service and consumables.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2021, our PCS business generated $2,915 million of revenue, a 21% decrease year-over-year from $3,675 million in 2020, representing 17% of GE HealthCare’s total 2021 revenue. In 2021, we generated $356 million of segment EBIT compared to $698 million in 2020, representing a 49% decrease year-over-year. The decline in revenue and profit was predominantly driven by volume decrease resulting from COVID-19 moderation.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PCS Portfolio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Patient Monitoring</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Patient Monitoring enable clinicians to care for patients across all acute care settings. This portfolio ranges from spot-check to continuous patient monitoring across acute care settings, including comprehensive multi-parameter monitors; central stations; continuous, wearable and mobile monitors; transport monitors; cardiac telemetry solutions; spot-check monitors; and visualization, alarm distribution, and care team collaboration solutions. Our Patient Monitoring business includes proprietary parameters and complementary consumables, as well as OEM parameters that are integrated into our monitoring fleet, of which a significant portion represent recurring revenue streams.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1088390" cy="21431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88390" cy="214312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145415</wp:posOffset>
            </wp:positionV>
            <wp:extent cx="4577715" cy="21431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777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Patient Monitoring strategy is to provide customers with connected, standardized, and flexible solutions that better accommodate individual patients, care settings, and hospital systems. These solutions enable our customers to better serve evolving patient needs as acuity levels change to minimize disruptions to the delivery of the highest quality care. Our Patient Monitoring can be either stand-alone products or part of an integrated monitoring system designed for hospital systems and clinics on a secure and highly reliable data platform. In addition to equipment, we develop and offer integrated solutions that improve patient outcomes and enhance clinical workflow efficiency for our customers. An example is our digital Centralized Monitoring Unit solution, which enhances traditional cardiac telemetry workflows by enabling rapid triage, oversight, and prioritization of clinical response among a distributed, and often remote, care team.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Anesthesia and Respiratory Care</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PCS’ Anesthesia and Respiratory Care products offer life support solutions via ventilation technology. The Anesthesia portfolio of products is used by anesthesiologists to ventilate and deliver general anesthetic drugs to patients during surgeries with our products installed in many operating rooms across the world. Our Respiratory devices are designed to ventilate critically ill patients, generally in ICUs.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60"/>
          </w:cols>
          <w:pgMar w:left="320" w:top="455" w:right="5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Anesthesia</w:t>
      </w:r>
      <w:r>
        <w:rPr>
          <w:sz w:val="20"/>
          <w:szCs w:val="20"/>
          <w:color w:val="auto"/>
        </w:rPr>
        <w:tab/>
      </w:r>
      <w:r>
        <w:rPr>
          <w:rFonts w:ascii="Times New Roman" w:cs="Times New Roman" w:eastAsia="Times New Roman" w:hAnsi="Times New Roman"/>
          <w:sz w:val="18"/>
          <w:szCs w:val="18"/>
          <w:b w:val="1"/>
          <w:bCs w:val="1"/>
          <w:color w:val="auto"/>
        </w:rPr>
        <w:t>Respiratory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1457325" cy="20231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57325" cy="202311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-116840</wp:posOffset>
            </wp:positionV>
            <wp:extent cx="1234440" cy="20231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34440" cy="202311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97155</wp:posOffset>
            </wp:positionV>
            <wp:extent cx="1405890" cy="20231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0589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Anesthesia devices are supplemented by cloud-based digital applications that process clinical and operational data generated by the devices to support clinical decision-making during and after their use, such as what post-operative interventions are needed. Additionally, our premium Anesthesia devices include End-tidal Control software automation that improves accuracy of anesthesia delivery, simplifies workflows, and offers a sustainable solution to reduce anesthesia drug waste and greenhouse gas emissions. We are the only anesthesia device manufacturer to have received U.S. FDA approval for End-tidal Control software.</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Throughout the COVID-19 pandemic, PCS supported clinicians and patients with respiratory care ventilators, one of the most critical medical devices in the fight against the respiratory infection caused by COVID-19. During the 2020 peak in cases, we shipped over 17,000 CARESCAPE R860 high-acuity intensive care ventilators to approximately 100 countries. Also in 2020, we partnered with Ford Motor Company (“Ford”) to develop and produce a ventilator, the pNeuton Model A-E, that could be quickly produced and delivered to hospitals in need. The collaboration combined PCS’ expertise with respiratory care ventilation devices with Ford’s substantial manufacturing capabilities and within four months, we shipped 50,000 pNeuton Model A-E devices to the U.S. Federal Emergency Management Agency.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Diagnostic Cardiology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Cardiovascular disease is the #1 killer in the world, resulting in 17.9 million deaths in 2019, or 32% of all deaths. The electrocardiogram (“ECG” or “EKG”) is usually the first diagnostic tool to detect cardiovascular disease, and our Diagnostic Cardiology products focus on harnessing the power of the ECG to save lives from that disease. Our solutions are in most leading cardiology hospitals worldwide and MUSE is in 84% of the top cardiac hospitals in the United States.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99870" cy="21685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99870" cy="216852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208280</wp:posOffset>
            </wp:positionV>
            <wp:extent cx="3874770" cy="21685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477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PCS’ Diagnostic Cardiology portfolio serves customers in-hospital and outside the hospital. The in-hospital segment includes Resting ECG devices, Stress ECG devices, and ECG management digital solutions, including interpretation algorithms. Our ECG ecosystem obtains, interprets, and stores ECGs captured from devices in both hospital and home settings and provides a full care continuum for cardiology. We are a global leader in the in-hospital segment with a decades-long track record of innovation. Our solutions outside the hospital in Cardiac Ambulatory Monitoring include Short Term Holter ambulatory electrocardiography devices. Our MUSE ECG management system software forms the ECG ecosystem used in-hospital to bridge care provided outside the hospital. MUSE is recognized globally by cardiologists as the leading ECG workflow solution and has strong integrations with hospital electronic health record systems, making it one of the premier ECG workflow tools for hospital systems worldwide. Our strategic collaborations with specific third parties extend ECG workflows outside the hospital yet deliver the right information to the clinicians in-hospital.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Maternal Infant Care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Maternal Infant Care products are used in the labor and delivery department to monitor important maternal and fetal parameters, and in neonatal intensive care to assist in critical care for newborns. Our product portfolio includes neonatal incubators, infant warmers, resuscitation devices, phototherapy equipment, maternal and fetal monitors, and digital offerings, such as maternal and fetal heart rate surveillance software. From delivery to discharge, our products are designed to address the changing and complex demands of the NICU by utilizing advanced technology to provide supportive, family-centered care solutions, consistently-controlled thermal environments, improved patient access and visibility, and reliable clinical performance. Our products have added innovation in design including integrated scales, hands-free alarm silencing, angled radiant heating, and thermoregulation. Clinicians often complement Maternal Infant Care products with our CARESCAPE Monitors to address the clinical needs of higher acuity patients.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40"/>
          </w:cols>
          <w:pgMar w:left="320" w:top="455" w:right="5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925830" cy="18770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25830" cy="187706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208280</wp:posOffset>
            </wp:positionV>
            <wp:extent cx="916940" cy="2297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16940" cy="229743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208280</wp:posOffset>
            </wp:positionV>
            <wp:extent cx="934085" cy="17056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4085" cy="170561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208280</wp:posOffset>
            </wp:positionV>
            <wp:extent cx="994410" cy="1945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944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21"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Our Consumables portfolio consists of 1,100 products that are either proprietary or associated with original equipment manufacturers and include reusable and disposable blood pressure cuffs, trunk cables, ECG lead wires, End-tidal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pulse oximetry, wireless respiratory, and entropy and fetal monitoring patches, all of which complement our portfolios outlined above. Our Consumables products are used in monitoring specific patient parameters, such as blood pressure, ECG, pulse, temperature, respiratory rate, blood oxygen level, and brain activity, and are used throughout the hospital, including in ICUs, emergency departments, surgical/operating rooms, telemetry units, and medical-surgical units/general wards. These products provide a consistent, recurring revenue stream both at the point-of-sale and after-market. Our Consumables strategy includes innovating in proprietary, disposable, and wearable consumables to complement our device and digital solutions portfolio.</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Digital Solutions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PCS’ Digital Solutions offer timely and accurate clinical decision support in acute and other care settings, simplifying clinical and operational workflows to drive efficiencies, and improving delivery of precision medicine and patient outcomes. These solutions aggregate and integrate clinical data from various devices across care settings in real time. Our digital solutions simplify visualization to guide clinical and operational decisions, enabling efficient care team collaboration virtually. These solutions are interoperable and vendor-agnostic to integrate with customer environments in a multi-vendor setting and provide a recurring revenue stream.</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40"/>
          </w:cols>
          <w:pgMar w:left="320" w:top="455" w:right="5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465455</wp:posOffset>
            </wp:positionV>
            <wp:extent cx="1002665" cy="22713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02665" cy="227139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422275</wp:posOffset>
            </wp:positionV>
            <wp:extent cx="925830" cy="18859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25830" cy="188595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422275</wp:posOffset>
            </wp:positionV>
            <wp:extent cx="882650" cy="18256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2650" cy="182562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422275</wp:posOffset>
            </wp:positionV>
            <wp:extent cx="1054735" cy="1680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5473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PCS’ Digital Solutions include clinical workflow and clinical decision support applications, such as Centricity High Acuity and Mural. Centricity High Acuity digitizes critical care clinical workflows allowing hospitals and health systems to transition from paper to a digital workflow in ICUs and operating rooms. Mural Connect aggregates high-fidelity data from agnostic devices while Mural Virtual Care then utilizes this high-fidelity data to provide visualization and clinical decision support solutions that complement care teams’ clinical expertise to improve patient care. Mural’s first application in 2020 enabled the remote clinical surveillance of intensive care unit patients, including those on mechanical ventilation. As health systems were strained by COVID-19, Mural allowed hospitals to make more efficient use of scarce resources. We have since expanded Mural for use in labor and delivery departments. Additionally, we also offer operational applications through Command Center, which provides enterprise-wide visibility for patient flow optimization, bed management, and hospital operational capacity maximization.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Capabilities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 comprehensive suite of service offerings, including parts, labor, and training, as well as emerging data, analytics, and networking solutions to aid our customers in improving uptime and efficiency of their medical technology fleets. Together, our complementary Services and Consumables offerings drive recurring revenue, provide stable cash flows, and increase customer loyalty. We provide service for our equipment and other OEMs, through our contract with Biomed. This allows us to drive interconnectivity with our competitors and have the capacity to service all of our customers’ equipment.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 HealthCare is a global leader with Philips Healthcare, Draeger, Mindray, Masimo, and Baxter as primary competitors.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Pharmaceutical Diagnostics Business</w:t>
      </w:r>
    </w:p>
    <w:p>
      <w:pPr>
        <w:spacing w:after="0" w:line="121" w:lineRule="exact"/>
        <w:rPr>
          <w:sz w:val="20"/>
          <w:szCs w:val="20"/>
          <w:color w:val="auto"/>
        </w:rPr>
      </w:pPr>
    </w:p>
    <w:p>
      <w:pPr>
        <w:ind w:left="120" w:right="720" w:firstLine="440"/>
        <w:spacing w:after="0" w:line="276" w:lineRule="auto"/>
        <w:rPr>
          <w:sz w:val="20"/>
          <w:szCs w:val="20"/>
          <w:color w:val="auto"/>
        </w:rPr>
      </w:pPr>
      <w:r>
        <w:rPr>
          <w:rFonts w:ascii="Times New Roman" w:cs="Times New Roman" w:eastAsia="Times New Roman" w:hAnsi="Times New Roman"/>
          <w:sz w:val="17"/>
          <w:szCs w:val="17"/>
          <w:color w:val="auto"/>
        </w:rPr>
        <w:t>GE HealthCare’s PDx business is a leading supplier of diagnostic agents to the global radiology and nuclear medicine community. These diagnostic agents help clinicians assess patients to enable more precise diagnoses and better therapy selection. Our products were used in over</w:t>
      </w:r>
    </w:p>
    <w:p>
      <w:pPr>
        <w:spacing w:after="0" w:line="1"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100 million patient procedures globally in 2021, equating to over three patients being injected with our products every second. We distribute globally, providing on-time delivery of quality products that help meet patient and procedural needs across a multitude of modalities. Our diagnostic agents are complementary to our imaging and ultrasound devices, including CT, angiography and X-ray, MR, SPECT, PET, and ultrasound, and are also compatible with systems from other equipment vendors.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believe our established positions in imaging scanners, contrast media, contrast injectors, chemistry systems, radiopharmaceuticals, and cyclotrons give us unique insights into end-user needs that allow us to continuously innovate our product portfolio and offer differentiated solutions.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PDx operates within a strictly regulated industry with key sustainable competitive advantages.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cause exam cancelations. These competitive advantages include:</w:t>
      </w:r>
    </w:p>
    <w:p>
      <w:pPr>
        <w:spacing w:after="0" w:line="85"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track record of on-time delivery and secure supply makes us a reliable and trusted partner to customers;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vertically integrated supply chain with end-to-end manufacturing and network of diversified suppliers provides us scale advantages;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and regulatory infrastructure allows us to serve more customers, maintain compliance with regulations, effectively launch new products, and be an attractive partner for early-stage innovative product developers seeking commercial channels.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2021, our PDx business generated $2,018 million of revenue, a 13% increase year-over-year from $1,780 million in 2020, representing 11% of GE HealthCare’s total 2021 revenue. In 2021, we generated $693 million of segment EBIT compared to $504 million in 2020, representing a 38% increase year-over-year.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PDx business is comprised of two business lines: Contrast Media and Molecular Imaging.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228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86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PDx Portfolio</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Contrast Media</w:t>
      </w:r>
    </w:p>
    <w:p>
      <w:pPr>
        <w:spacing w:after="0" w:line="11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Contrast media are pharmaceuticals that are administered to a patient prior to certain diagnostic scans in order to increase the visibility of tissues or structures during imaging exams. Contrast media increase the diagnostic value of imaging and can be critical to visualize small or nuanced areas of diagnostic interest, such as cancer lesions or vascular structures, and to plan medical interventions, such as angioplasties, biopsies, or radiation therapy. We offer contrast media to three imaging modality groups: (i) CT, angiography and X-ray, (ii) MR, and (iii) Ultrasound. We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5" w:right="5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estimate that 40-50% of CT, 30-40% of MR, 1-5% of Ultrasound, and almost all of angiography procedures, such as those enabled by our image-guided therapy scanners, are performed using contrast media. Key offerings include:</w:t>
      </w:r>
    </w:p>
    <w:p>
      <w:pPr>
        <w:spacing w:after="0" w:line="67" w:lineRule="exact"/>
        <w:rPr>
          <w:sz w:val="20"/>
          <w:szCs w:val="20"/>
          <w:color w:val="auto"/>
        </w:rPr>
      </w:pPr>
    </w:p>
    <w:p>
      <w:pPr>
        <w:ind w:left="1080" w:right="46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 angiography, and X-ray contrast are composed of elements with strong photoelectric absorption, such as Iodine, that occlude the passage of X-rays to increase image opacity;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contrast is composed of paramagnetic elements that enhance signals to MR magnets;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Ultrasound contrast is composed of inert gas lipid shells, or “microbubbles,” that reflect soundwaves to enhance ultrasound signals.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PDx has globally-recognized contrast media brands that enjoy strong awareness and reputation. For example, our Omnipaque product was introduced in 1986 and has been approved for use in more than 100 countries. Our contrast media package sizes range from 2ml to 500ml. We believe our broad contrast media portfolio allows us to be a preferred partner for radiology contrast needs. Our customer-centric focus has led us to innovate in two main areas: (i) a research pipeline of next-generation agents that improve clinical performance or expand indications, and (ii) innovative packaging solutions, such as the shatter-resistant and more environmentally friendly +PLUSPAK bottles.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Contrast Media business also includes contrast injection devices through collaborations with original equipment manufacturers. Contrast injectors are automated devices that monitor and control the injection of contrast into patients and are a key productivity lever in the imaging suite. In a typical CT examination, the actual scan can be completed in less than a minute, while the injection preparation and post-scan processing can take over 10 minutes. As a result, we focus on delivering innovative solutions that enable faster workflow and less contrast media waste, while promoting the highest standards in patient safety.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Molecular Imaging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Molecular imaging agents, or radiopharmaceuticals, are molecular tracers labeled with radioisotopes that are injected into a patient prior to a diagnostic imaging scan. These agents work by accumulating in an area of diagnostic interest, such as a tumor, and emitting energy that is detected by a SPECT or PET scanner. Because they have specific molecular targets, they allow visualization and assessment of cell function, providing a more detailed dimension of biological activity. These agents have short half-lives (&lt;48 hours) and lose potency as they decay, and therefore are made to order and formulated on customer premises or near end-users. PDx offers radiopharmaceuticals primarily to nuclear medicine departments, which use them to support diagnoses and therapy selection in various care areas, such as neurology, cardiology, and oncology. We also offer these agents to pharmaceutical companies and researchers, who utilize them to select target populations for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148590</wp:posOffset>
            </wp:positionV>
            <wp:extent cx="5203190" cy="2091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0319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80"/>
          </w:cols>
          <w:pgMar w:left="320" w:top="455"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PDx has globally recognized radiopharmaceutical brands with broad care area coverage, including DaTscan, Vizamyl, Myoview, Rapiscan, AdreView, and Cerianna, and also offers over ten additional radiopharmaceuticals with varied applications. We supplement our neurology products with two software offerings: Cerebro, a predictive tool for Alzheimer’s Disease patient management and clinical trials, and DaTQUANT, a visual and quantitative tool for evaluation of SPECT functional dopaminergic uptake.</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assist our customers in safely preparing patient doses, PDx offers FASTLab, a chemistry platform used in the final synthesis of PET agents. The FASTLab system combines isotopes generated by cyclotrons with pre-arranged cassettes to create final PET doses ready for injection. The platform provides flexibility to customers who prefer to produce certain PET products in-house and for researchers who wish to standardize exploratory PET tracer production. Our presence across PET and SPECT scanners, cyclotrons, chemistry systems, software, and PDx molecular imaging agents makes us uniquely positioned in the field of nuclear medicine. We believe our broad portfolio gives us unique insights into end-user needs and allows us to continuously develop responsive radiopharmaceutical offerings to meet our customers’ needs.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Investing in new proprietary molecular imaging products is a key growth strategy for PDx. We seek to expand our product pipeline through a strategic mix of in-house development, licensing, and acquisition of agents. We have a development pipeline of proprietary molecular imaging agents in varied pre-clinical and clinical stages, focused in high-value diagnostics in the areas of neurology, cardiology, and oncology. In addition to the development of new products, our molecular imaging product and research teams participate in evidence generation activities that allow us to expand adoption and geographies of existing products or to add new indications to existing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and Distribution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PDx operates an advanced global supply chain to deliver these critical diagnostic agents to patients. Our Contrast Media business delivers over 80 million vials of contrast media products per year through our vertically integrated supply chain of four cGMP manufacturing sites covering active pharmaceutical ingredient manufacturing, fill, and finish, as well as transportation, typically by sea and ground freight. Molecular Imaging delivers more than four million radiopharmaceutical doses per year through a supply chain of four nuclear-licensed manufacturing sites. As molecular imaging agents need to be formulated on customer premises or near end-users, we complement our sites with various radiopharmacy distribution partners to synthesize final doses to end-users. For certain molecular imaging products with proprietary and intricate manufacturing processes (e.g., DaTscan), we produce final doses ourselves and ship directly to end-users.</w:t>
      </w:r>
    </w:p>
    <w:p>
      <w:pPr>
        <w:spacing w:after="0" w:line="189"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The scale of PDx allows us to serve all major group purchasing organizations (“GPOs”) and integrated delivery networks (“IDNs”) in the United States, national procurement agencies in Europe, and provincial tenders in China. We complement our sales channels with marketing and payer access teams, focused on promotions in congresses, multi-modal marketing, competitive intelligence, brand strategy, training, education, evidence generation, reimbursement, and payer support, among others. These numerous touchpoints allow PDx to have a holistic channel covering not only end-users but also other participants in the decision-making process, which enables more successful launches of new products. The strengths of PDx combined with our imaging, cyclotron, and advanced visualization software make us uniquely positioned to grow in existing markets as well as emerging adjacencies.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contrast media we compete primarily with Bayer, Bracco, Guerbet, and Lantheus. In molecular imaging we compete with a number of players, the largest of them being Curium, Bracco, and Lantheus.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Activities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R&amp;D efforts focus on creating new products and solutions, developing new applications for products, and enhancing our existing products to help improve outcomes for customers and their patients. Our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segments draw from a common pool of R&amp;D capabilities that include: 1) Standardized oversight, R&amp;D processes, quality management systems, and IT infrastructure; 2) Global Research Organization, which manages sponsored research and investigator-initiated research; 3) Global Experience Design team, which specializes in physical and software design to enhance customer experience and workflows; and 4) Talent development and rotational learning programs.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invested $816 million in R&amp;D in 2021, a 1% increase from 2020. We conduct global R&amp;D efforts in 18 countries that include both developed and emerging markets. As of 2021, we employ over 9,700 engineers and scientists, including approximately 3,700 hardware and systems engineers, 4,700 software engineers, and 600 personnel focused on clinical research. For most of our equipment product lines, we aim to introduce a major new platform every five to seven years and release incremental innovations every 12 to 18 months, driving better products for customers, better outcomes for patients, and our continued growth. As part of the Spin-Off, all healthcare-related research at GE’s GRC will transition to GE HealthCare and will continue to support our innovation efforts.</w:t>
      </w:r>
    </w:p>
    <w:p>
      <w:pPr>
        <w:spacing w:after="0" w:line="18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engage in and sponsor clinical research and product development through collaborations with universities, medical centers, and other organizations. Recent research collaborations include those with:</w:t>
      </w:r>
    </w:p>
    <w:p>
      <w:pPr>
        <w:spacing w:after="0" w:line="65" w:lineRule="exact"/>
        <w:rPr>
          <w:sz w:val="20"/>
          <w:szCs w:val="20"/>
          <w:color w:val="auto"/>
        </w:rPr>
      </w:pPr>
    </w:p>
    <w:p>
      <w:pPr>
        <w:ind w:left="1080" w:hanging="424"/>
        <w:spacing w:after="0" w:line="284"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leading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company to develop software that can integrate multiple forms of diagnostic information to assist clinicians in the development of personalized and precise treatment plans for oncology patients and earlier detection of acute conditions;</w:t>
      </w:r>
    </w:p>
    <w:p>
      <w:pPr>
        <w:spacing w:after="0" w:line="65"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leading medical centers and institutions to develop proprietary machine and deep learning algorithms to enhance image quality and diagnostic confidence for customers;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pharmaceutical company to develop a strategy to increase the efficacy of patient selection in Alzheimer’s trials using one of our PDx imaging agents.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We are a purpose-driven global workforce of approximately 51,000 who have an average tenure of nine years with GE, reflecting a strong, engaged culture who are passionate about serving our customers and enabling them to provide the highest quality care to their patients. Our values emphasize focus, trust, and humility with unyielding integrity, while fostering an inclusive culture and diverse team. We monitor our human capital priorities, including as a part of our monthly business operating reviews, throughout the year.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the human capital priorities:</w:t>
      </w:r>
    </w:p>
    <w:p>
      <w:pPr>
        <w:spacing w:after="0" w:line="129" w:lineRule="exact"/>
        <w:rPr>
          <w:sz w:val="20"/>
          <w:szCs w:val="20"/>
          <w:color w:val="auto"/>
        </w:rPr>
      </w:pPr>
    </w:p>
    <w:p>
      <w:pPr>
        <w:ind w:left="1080" w:right="20" w:hanging="424"/>
        <w:spacing w:after="0" w:line="261"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Protecting the health and safety of our workforce</w:t>
      </w:r>
      <w:r>
        <w:rPr>
          <w:rFonts w:ascii="Times New Roman" w:cs="Times New Roman" w:eastAsia="Times New Roman" w:hAnsi="Times New Roman"/>
          <w:sz w:val="18"/>
          <w:szCs w:val="18"/>
          <w:color w:val="auto"/>
        </w:rPr>
        <w:t>: safety is our first priority and is integrated into everything we do, from manufacturing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operation, and service. We are committed to prioritizing safety over quality, delivery, and cost. We have established and maintain effective health and safety standard protocols across our businesses that are aligned with regulatory requirements and industry values;</w:t>
      </w:r>
    </w:p>
    <w:p>
      <w:pPr>
        <w:spacing w:after="0" w:line="85"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Transforming our culture</w:t>
      </w:r>
      <w:r>
        <w:rPr>
          <w:rFonts w:ascii="Times New Roman" w:cs="Times New Roman" w:eastAsia="Times New Roman" w:hAnsi="Times New Roman"/>
          <w:sz w:val="18"/>
          <w:szCs w:val="18"/>
          <w:color w:val="auto"/>
        </w:rPr>
        <w:t>: our senior team is leading our company through a transformational time as we execute on the Spin-Off from 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next phase of growth. We will do so by promoting a culture of integrity through improved alignment and accountability across all levels of the organization, accelerating decision-making, and removing complexities to enhance overall operational efficiency;</w:t>
      </w:r>
    </w:p>
    <w:p>
      <w:pPr>
        <w:spacing w:after="0" w:line="78"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Attracting, developing, and cultivating our talent</w:t>
      </w:r>
      <w:r>
        <w:rPr>
          <w:rFonts w:ascii="Times New Roman" w:cs="Times New Roman" w:eastAsia="Times New Roman" w:hAnsi="Times New Roman"/>
          <w:sz w:val="18"/>
          <w:szCs w:val="18"/>
          <w:color w:val="auto"/>
        </w:rPr>
        <w:t>: GE HealthCare’s approach to talent management is to cultivate strong individual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performance. A key pillar of our talent strategy is senior management-led annual organization and talent reviews focused on critical roles, succession plans, and talent development aimed at helping our employees grow and develop; and</w:t>
      </w:r>
    </w:p>
    <w:p>
      <w:pPr>
        <w:spacing w:after="0" w:line="78"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Promoting inclusion and diversity across the enterprise</w:t>
      </w:r>
      <w:r>
        <w:rPr>
          <w:rFonts w:ascii="Times New Roman" w:cs="Times New Roman" w:eastAsia="Times New Roman" w:hAnsi="Times New Roman"/>
          <w:sz w:val="18"/>
          <w:szCs w:val="18"/>
          <w:color w:val="auto"/>
        </w:rPr>
        <w:t>: we believe in the value of each person’s unique identity, background,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are committed to fostering an inclusive culture in which all employees feel empowered to do their best work because they feel accepted, respected, and that they belong.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approximately 16,500 employees in the United States and approximately 7,000 employees in China, our next largest geography. We have approximately 1,100 union-represented manufacturing employees in the United States, approximately 775 of whom are covered by four-year collective bargaining agreements that were ratified in 2019 and expire in June 2023. GE HealthCare’s relationship with employee-representative organizations outside the United States takes many forms, including in Europe where GE engages the representative bodies for employees, such as works councils and trade unions, in accordance with local law.</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strive to unlock the ambition of all our people so they can innovate, grow, and reach their full potential. Our well-established employee development strategy allows us to attract and retain innovative leaders, which is instrumental to our long-term success.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 Capabilities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industry-leading service offerings are a key driver of our success. Our capabilities include on-site repair and preventative maintenance, but also extend to remote monitoring, repair, and corrective maintenance capabilities. We have approximately 8,500 field service engineers, 36 global or regional repair centers, and 46 customer service centers. We utilize our local presence to provide customers with tailored commercial solutions, such as holistic infrastructure solutions, local training, equipment repair, financing programs, and other services. Our e-commerce platform, Service Shop, gives customers without a full-service contract the flexibility to source parts, accessories, supplies, and training 24/7. In addition to strengthening our customer relationships, our service capabilities provide strong visibility to future revenue. In 2021, our services offering generated $6,420 million of revenue, which is recurring in nature.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2021, we resolved over 80% of service issues on the first call and manage over 3,600 parts orders per day on average. Currently, approximately 80% of our imaging systems are connected for remote monitoring, enabling diagnostic consultations with skilled off-site engineers, predictive maintenance, and asset management analytics. In 2021, we resolved 35% of service calls through our remote service infrastructure. We also help customers extend the utility and value of their equipment through asset management services, clinical utilization analytics, and technology upgrades that bridge our customers to next-generation platforms. We believe our comprehensive and high-quality service offerings drive higher sales of replacement equipment to customers under service contracts.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HealthCare Financial Services (“HFS”) offering provides financing solutions to address the clinical, operational, and financial challenges facing our customers. Our capabilities address the entire asset lifecycle from equipment acquisition to disposition, with financing options that minimize cash outflow and manage the technology upgrade cycle. We provide flexible financing options tailored to our customers’ needs, including project financing and managed equipment services. HFS has a sales and underwriting team of approximately 125 employees who drive sales activity in over 50 countries.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 Model</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GE HealthCare, we globally deploy a multi-channel commercial model consisting of over 10,000 sales professionals and a network of approximately 5,600 indirect third-party partners. Our reach into top hospitals and health systems globally is evidenced by our long-standing collaborations with leading institutions around the world. Our sales and distribution organization supports over 160 countries that are served by teams aligned to four geographic regions: USCAN, EMEA, China region, and Rest of World. Our commercial model is segmented based on the unique needs of our customers and includes global and regional marketing; regional inside sales teams; field-based sales teams comprised of strategic account executives, account managers, and product specialists; and sales agents and distributors. Our equipment sales representatives partner closely with their service sales counterparts to position both equipment contracts and long-term maintenance agreements along with system upgrades and SaaS agreements. We complement our direct and indirect sales channels with both demand generation and end-to-end virtual sales teams. Our direct and indirect channel mix helps us expand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market coverage, increase customer satisfaction, and win more business in broad geographies and emerging markets. In developed markets, we supplement our commercial model with strategic account executive and collaboration teams who bring the depth and breadth of our overall portfolio to the senior leadership of our top customers to deliver long-term collaborations, which can be tied to specific outcomes.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Our marketing strategy consists of coordinated global upstream marketing and regional downstream marketing campaigns. Upstream marketing involves developing precise market and customer insights to define market opportunities, products, and features for new product introductions. Key marketing activities include analyzing value proposition and insights, price setting, competitive intelligence, healthcare economics and outcomes research, and reimbursement trends. Additional upstream marketing responsibilities include brand management, digital marketing, advertising, paid search, events and exhibits, and multi-channel activation. Our extensive digital and multi-channel marketing capabilities allow GE HealthCare broad reach, and we continue to invest in expanding our integrated and end-to-end marketing approach. Upstream marketing activates new products and lifecycle products and solutions through value proposition development, messaging and global collateral creation, product catalog structuring, and training.</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downstream marketing function is responsible for identifying local market needs and building customized solutions for regional segments and customer types by leveraging shared global content. Regional marketing also enables our commercial teams to more precisely target customers, execute digital and multi-channel marketing campaigns, manage industry trade shows and events, and build and deliver customized content. We continue to refine our channel approach, integrating data from different platforms to optimize customer interactions and customer experience across physical, remote, and digital channels.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Integrated Supply Chain, Sourcing, and Logistics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sourcing, production, and distribution network is managed globally while our products are manufactured at and distributed by facilities serving specific regions. We believe our global scale, complemented by our local focus, allows us to provide our customers with improved supply chain security, reduced costs, and compliance with regional or national trade and marketing requirements. We have manufacturing, assembly, and pharmaceutical production in 43 plants across 17 countries. In 2021, we produced and delivered approximately 19,000 Imaging systems, 64,000 Ultrasound systems, 183,000 PCS products, and 100 million doses of PDx imaging agents. We use globally managed and coordinated quality assurance programs across our manufacturing and ISO-certified distribution facilities and we regularly inspect and audit our sites. We hold our suppliers to the same rigorous operating standards.</w:t>
      </w:r>
    </w:p>
    <w:p>
      <w:pPr>
        <w:spacing w:after="0" w:line="18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purchase raw materials and components used in the production of our products from over 3,300 third-party suppliers globally. We intend to continue improving the efficiency, quality, security, and localization of our global supply chain. We believe the global nature of our supply chain helps us respond quickly and effectively to geographic changes in capacity, tariffs, and trade policies.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GE HealthCare is committed to delivering sustainable products and solutions that build a healthier and more sustainable world for this and future generations. We have an ESG program and internal governance structure that we will adapt and expand as determined through our business operating reviews. Our ESG program and governance structure are aligned with our business strategy, the priorities of our stakeholders, our commitments and aims, and our need to adapt to changes in societal, environmental, and regulatory expectations. Our Enterprise Sustainability Committee, which is a committee of our management team, works in partnership with all functions to facilitate alignment with ongoing ESG efforts, which will include gathering input from internal and external stakeholders to help inform our ESG strategy and focus areas.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ESG focus areas include:</w:t>
      </w:r>
    </w:p>
    <w:p>
      <w:pPr>
        <w:spacing w:after="0" w:line="131" w:lineRule="exact"/>
        <w:rPr>
          <w:sz w:val="20"/>
          <w:szCs w:val="20"/>
          <w:color w:val="auto"/>
        </w:rPr>
      </w:pPr>
    </w:p>
    <w:p>
      <w:pPr>
        <w:ind w:left="1080" w:right="38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access to healthcare</w:t>
      </w:r>
      <w:r>
        <w:rPr>
          <w:rFonts w:ascii="Times New Roman" w:cs="Times New Roman" w:eastAsia="Times New Roman" w:hAnsi="Times New Roman"/>
          <w:sz w:val="18"/>
          <w:szCs w:val="18"/>
          <w:color w:val="auto"/>
        </w:rPr>
        <w:t>: We aim to expand access to healthcare for underserved populations around the world. Our technology enables caregivers to bring advanced diagnostics and treatments to remote parts of the world where access to hospitals and medical equipment is limited.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9" w:lineRule="auto"/>
        <w:tabs>
          <w:tab w:leader="none" w:pos="10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Promoting inclusion and diversity across the enterprise</w:t>
      </w:r>
      <w:r>
        <w:rPr>
          <w:rFonts w:ascii="Times New Roman" w:cs="Times New Roman" w:eastAsia="Times New Roman" w:hAnsi="Times New Roman"/>
          <w:sz w:val="17"/>
          <w:szCs w:val="17"/>
          <w:color w:val="auto"/>
        </w:rPr>
        <w:t>: We are committed to building a more inclusive workplace and diverse workforce. We believe in the value of each person’s unique identity, background, and experiences, and we are committed to fostering an inclusive culture in which all employees feel empowered to do their best work because they feel accepted, respected, and that they belong.</w:t>
      </w:r>
    </w:p>
    <w:p>
      <w:pPr>
        <w:spacing w:after="0" w:line="63" w:lineRule="exact"/>
        <w:rPr>
          <w:rFonts w:ascii="Times New Roman" w:cs="Times New Roman" w:eastAsia="Times New Roman" w:hAnsi="Times New Roman"/>
          <w:sz w:val="17"/>
          <w:szCs w:val="17"/>
          <w:color w:val="auto"/>
        </w:rPr>
      </w:pPr>
    </w:p>
    <w:p>
      <w:pPr>
        <w:ind w:left="1080" w:right="180" w:hanging="424"/>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Mitigating our climate impact and improving resiliency</w:t>
      </w:r>
      <w:r>
        <w:rPr>
          <w:rFonts w:ascii="Times New Roman" w:cs="Times New Roman" w:eastAsia="Times New Roman" w:hAnsi="Times New Roman"/>
          <w:sz w:val="18"/>
          <w:szCs w:val="18"/>
          <w:color w:val="auto"/>
        </w:rPr>
        <w:t>: We are working to reduce our greenhouse gas emissions and have set goals to reduce our absolute Scope 1 and Scope 2 emissions by 50% by 2030 and achieve net zero by 2050. In alignment with this goal, we have signed up to the Science Based Targets initiative and are part of the UN-backed “Race to Zero,” which commits us to reducing emissions in line with the Paris Agreement, which was adopted under the UN Framework Convention on Climate Change.</w:t>
      </w:r>
    </w:p>
    <w:p>
      <w:pPr>
        <w:spacing w:after="0" w:line="85"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Advancing the circular economy and environmental design</w:t>
      </w:r>
      <w:r>
        <w:rPr>
          <w:rFonts w:ascii="Times New Roman" w:cs="Times New Roman" w:eastAsia="Times New Roman" w:hAnsi="Times New Roman"/>
          <w:sz w:val="18"/>
          <w:szCs w:val="18"/>
          <w:color w:val="auto"/>
        </w:rPr>
        <w:t>: We seek to support the transition to a more circular economy. For more than 20 years, GE HealthCare’s GoldSeal program has reduced medical imaging equipment waste by promoting and enabling the reuse of equipment and parts from de-installed imaging and ultrasound systems. Machines are refurbished or dismantled, harvested, and recycled, reducing waste and contributing to a circular economy. Of the equipment recovered, approximately 95% of the materials are reused or recycled.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Protecting patient data and cybersecurity</w:t>
      </w:r>
      <w:r>
        <w:rPr>
          <w:rFonts w:ascii="Times New Roman" w:cs="Times New Roman" w:eastAsia="Times New Roman" w:hAnsi="Times New Roman"/>
          <w:sz w:val="18"/>
          <w:szCs w:val="18"/>
          <w:color w:val="auto"/>
        </w:rPr>
        <w:t>: We provide state-of-the-art cybersecurity products, solutions, and services. Cybersecurity is</w:t>
      </w:r>
    </w:p>
    <w:p>
      <w:pPr>
        <w:spacing w:after="0" w:line="27" w:lineRule="exact"/>
        <w:rPr>
          <w:rFonts w:ascii="Times New Roman" w:cs="Times New Roman" w:eastAsia="Times New Roman" w:hAnsi="Times New Roman"/>
          <w:sz w:val="18"/>
          <w:szCs w:val="18"/>
          <w:color w:val="auto"/>
        </w:rPr>
      </w:pPr>
    </w:p>
    <w:p>
      <w:pPr>
        <w:ind w:left="1080" w:right="1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embedded within the GE HealthCare culture, and we are committed to protecting our business and customers by: safeguarding a secure enterprise and continuously advancing our internal cybersecurity capabilities; ensuring secure products and solutions through design, development, and the product lifecycle; providing secure service delivery with industry-leading technology, processes, and risk mitigation approaches; and providing a portfolio of cyber-managed services to assist health delivery organizations with securing their operations.</w:t>
      </w:r>
    </w:p>
    <w:p>
      <w:pPr>
        <w:spacing w:after="0" w:line="17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focus on these five areas builds upon our long-standing commitments to innovation, product quality, and integrity. As we embark on a new chapter in our history to become an independent company, we are integrating ESG more deeply into the core of business strategy and culture.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 substantial portfolio of intellectual property (“IP”). As of December 31, 2021, we owned more than 11,800 granted patents and 3,300 pending patent applications filed in more than 60 countries. We own approximately 2,700 product-specific registered trademarks and approximately 150 product-specific trademark applications in over 130 countries. To protect our IP, we rely on a combination of patent, design, utility model, trademark, copyright, and trade secret protections as well as regulatory exclusivity periods and confidentiality agreements. Our IP team collaborates with our R&amp;D and product teams to develop product line focused IP strategies and secure IP rights as appropriate. We generally file patent applications in the United States and foreign countries that have strong technology patent protections. We also license from third parties a variety of IP that complements our internal R&amp;D efforts and our product offerings. While, in aggregate, our patents and other IP are vital to our operations, we do not consider any single IP asset or group of assets to be of material importance to any segment or to the business as a whole; rather, we believe understanding our customers’ needs, technology expertise, and manufacturing know-how are critical for our business.</w:t>
      </w:r>
    </w:p>
    <w:p>
      <w:pPr>
        <w:spacing w:after="0" w:line="188"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rely on confidentiality agreements with employees, contractors, consultants, and third parties to help protect our trade secrets, proprietary technology, and other confidential information. We also monitor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development and commercialization activities of third parties so our IP rights are not infringed upon. In addition, we make infrastructure investments to secure our IP assets and conduct audits to assess the effectiveness of our IP protection efforts.</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own or have secured licenses to all IP material to our business. GE has or will transfer to GE HealthCare certain IP specific to our business. GE has granted or will grant to us a license to use other IP that is used in our business but which GE will retain ownership of, including a trademark license to the GE Monogram Logo and the “GE Healthcare” word mark. See, “Certain Relationships and Related Person Transactions—Agreements with GE—Agreements Governing Intellectual Property.”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Health, and Safety Matters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international, national, state, and local laws, regulations, and industry and customer standards, including licensing and authorization requirements, related to EH&amp;S matters. These EH&amp;S laws, regulations, and standards apply to a broad range of activities across our whole product lifecycle and our entire global organization, including those related to (i) protection of the environment, protected species, and use of natural resources; (ii) occupational health, safety, and well-being; (iii) the use, handling, management, release, storage, transportation, remediation and disposal of, and exposure to, hazardous waste, radiochemical materials, and other hazardous or toxic materials; (iv) our products, including the use of certain chemicals in our products and production processes; (v) emissions to air and water; and (vi) climate change and greenhouse gas emissions. EH&amp;S laws, regulations, and standards vary by jurisdiction and have become increasingly stringent over time. These requirements impose certain responsibilities on our business, including the obligation to install pollution control technologies and obtain and maintain various environmental permits, the cost of which may be substantial. If we fail to comply with these requirements, or fail to obtain or maintain a required permit, we could be subject to civil or criminal fines and penalties; remediation costs; enforcement actions; the suspension or termination of our permits, licenses and authorizations, or operations; third-party claims; or other sanctions.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GE HealthCare is a global organization with major centers in or near Chicago, Milwaukee, Paris, Bangalore, and Shanghai, and is headquartered in Chicago, Illinois. As of the date of this prospectus, we own or lease a total of 336 facilities around the world excluding third-party logistics sites. We have 43 manufacturing facilities, of which 31 are owned and 13 are leased, inclusive of one facility that is part-owned and part-leased. We have 17 manufacturing facilities located in the United States and 26 located outside of the United States, including in China, India, Israel, Mexico, Brazil, Austria, Denmark, France, Germany, Ireland, The Netherlands, Norway, Sweden, Finland, South Korea, and Japan. Many of these facilities serve more than one business line and may be used for multiple purposes, such as administration, sales, research, manufacturing, warehousing, service, and distribution. We consider our facilities suitable and adequate for the purposes for which they are used and do not anticipate difficulty in renewing existing leases as they expire or in finding alternative facilities.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Information on material pending legal proceedings is incorporated herein by reference to the information set forth in Note 14, “Commitments, Guarantees, Product Warranties, and Other Loss Contingencies” to the audited combined financial statements included elsewhere in this prospectus.</w:t>
      </w:r>
    </w:p>
    <w:p>
      <w:pPr>
        <w:spacing w:after="0" w:line="14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are reporting the following environmental matter in compliance with SEC requirements to disclose environmental proceedings where a governmental authority is a party and that involve potential monetary sanctions of $300,000 or greater.</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July 2022, GE’s Healthcare business received a notice of intention to impose an administrative fine of approximately $0.6 million related to a December 2019 liquid hazardous waste event at our Rehovot, Israel site.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event involved clean room waste that spilled onto an unsealed floor, leading to an escape of a small amount of liquid to a third-party facility on a lower floor. The Israeli Ministry of Environmental Protection (“MEP”) concluded that the incident breached the site’s toxins permit. In accordance with local law, GE’s Healthcare business has responded to MEP’s notice of fine challenging both the basis for, and level of, the fine. A decision from MEP is pending.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development, manufacture, marketing, sale, promotion, and distribution of medical devices and pharmaceutical products are subject to stringent government regulation globally. We commit extensive resources to maintain compliance with these regulations.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United States, European Union, and China are our most significant regions based on revenue and the regulatory landscape within these regions is discussed below. Sales of medical devices and pharmaceuticals outside of these regions are subject to requirements that vary from country to country. Our ability to market and sell our products globally depends upon our compliance with the laws and regulations in each jurisdiction. This requires, among other things, receiving specific marketing authorization from the appropriate regulatory authorities, maintaining our Quality Management System, which is compliant with the applicable local regulatory requirements, and ISO 13485 certification that is recognized by many regulators. Complying with requirements imposed on our products and business is an ongoing process as we introduce additional products and/or product modifications and seek to comply with changing legal and regulatory requirements. The time required to obtain authorization to market and sell products varies by country. The ability to comply with global post-market requirements requires extensive and ongoing resources.</w:t>
      </w:r>
    </w:p>
    <w:p>
      <w:pPr>
        <w:spacing w:after="0" w:line="19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International Medical Device Regulators Forum, which includes a number of country regulators, has implemented a global approach to auditing medical device manufacturers. The MDSAP provides for a single annual audit of a medical device manufacturer by a MDSAP-recognized auditing organization to satisfy the requirements of ISO 13485 and the regulatory requirements of the authorities that participate in MDSAP (currently the U.S., Canada, Australia, Brazil, and Japan). While the U.S. FDA accepts MDSAP audit reports as a substitute for routine agency inspections, it considers the following types of inspections to fall outside the scope of MDSAP: for-cause or compliance follow-up inspections, pre-approval or post-approval inspections, and inspections to assess compliance with Electronic Product Radiation Control regulations, which apply to Molecular Imaging, X-ray, Women’s Health, Interventional, and Surgery products.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regulatory landscape in which we operate, see “Risk Factors—Risks Relating to Quality, Regulation, and Compliance.”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States of America</w:t>
      </w:r>
    </w:p>
    <w:p>
      <w:pPr>
        <w:spacing w:after="0" w:line="11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Food and Drug Law. </w:t>
      </w:r>
      <w:r>
        <w:rPr>
          <w:rFonts w:ascii="Times New Roman" w:cs="Times New Roman" w:eastAsia="Times New Roman" w:hAnsi="Times New Roman"/>
          <w:sz w:val="18"/>
          <w:szCs w:val="18"/>
          <w:color w:val="auto"/>
        </w:rPr>
        <w:t>Under the FDCA, we must comply with regulations governing the design, development, testing, manufacturing, packaging,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labeling, distribution, import/export, sale, servicing, and marketing of medical products, including medical devices and pharmaceuticals. U.S. FDA product approvals and clearances may be withdrawn or suspended if compliance with regulations is not maintained or if product issues are discovered. Some of our products are also subject to the Radiation Control for Health and Safety Act and the Electronic Product and Radiation Control Regulations, administered by the FDA, which imposes performance standards, record keeping, reporting, product testing, and product labeling requirements on radiation-emitting electronic products, such as X-ray devices. We must also comply with the Mammography Quality Standards Act for our mammography products. Further, clinical studies of medical devices and pharmaceuticals are subject to regulation and inspection. In addition, we are subject to applicable laws and regulations of state and local authorities.</w:t>
      </w:r>
    </w:p>
    <w:p>
      <w:pPr>
        <w:spacing w:after="0" w:line="185"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Devices. </w:t>
      </w:r>
      <w:r>
        <w:rPr>
          <w:rFonts w:ascii="Times New Roman" w:cs="Times New Roman" w:eastAsia="Times New Roman" w:hAnsi="Times New Roman"/>
          <w:sz w:val="18"/>
          <w:szCs w:val="18"/>
          <w:color w:val="auto"/>
        </w:rPr>
        <w:t>The FDCA classifies medical devices into three classes based on risk, including Class I (lowest risk), Class II (moderate risk),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III (highest risk), with more stringent regulatory requirements applicable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5"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to higher risk devices. Commercial sales of our Class II (except for Class II exempt devices) and Class III medical devices in the U.S. must be preceded by either a pre-market notification filing pursuant to Section 510(k) of the FDCA for Class II or the granting of a PMA for Class III. The development of a medical device typically requires extensive non-clinical testing and, for some of our devices, clinical testing involving human subjects.</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For all our medical devices, we must comply with FDA’s requirements governing, among other things, device site registration and listing, labeling, post-market record keeping and reporting, and the Quality System Regulation. These requirements are detailed, comprehensive, and require extensive investment and resources to comply with the legal and regulatory requirements.</w:t>
      </w:r>
    </w:p>
    <w:p>
      <w:pPr>
        <w:spacing w:after="0" w:line="174"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Pharmaceutical Products. </w:t>
      </w:r>
      <w:r>
        <w:rPr>
          <w:rFonts w:ascii="Times New Roman" w:cs="Times New Roman" w:eastAsia="Times New Roman" w:hAnsi="Times New Roman"/>
          <w:sz w:val="18"/>
          <w:szCs w:val="18"/>
          <w:color w:val="auto"/>
        </w:rPr>
        <w:t>Our pharmaceutical products are subject to FDA’s pre-market approval process. The pharmaceutical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approval process typically begins with extensive pre-clinical R&amp;D, followed by approval of an IND, and then, upon successful completion of several phases of clinical trials, the filing and request for FDA approval of a NDA. We also are subject to FDA’s requirements, including drug establishment registration and listing, labeling and advertising, and cGMP regulations, which set forth minimum requirements for the methods, facilities, and controls used in manufacturing, processing, and packing pharmaceutical products. Post-approval, we must maintain and submit to the FDA reports of product quality defects and adverse events. FDA’s generic drug program requires filing of an Abbreviated New Drug Application for a generic drug application that does not include preclinical or clinical data to establish safety and effectiveness, but must demonstrate equivalency to the innovator drug.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11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Devices. </w:t>
      </w:r>
      <w:r>
        <w:rPr>
          <w:rFonts w:ascii="Times New Roman" w:cs="Times New Roman" w:eastAsia="Times New Roman" w:hAnsi="Times New Roman"/>
          <w:sz w:val="18"/>
          <w:szCs w:val="18"/>
          <w:color w:val="auto"/>
        </w:rPr>
        <w:t>There is no pre-market approval of medical devices in the EU. All medical devices placed on the market or put into service in the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compliant with and meet the requirements of the Medical Device Regulation, which was implemented on May 26, 2021. Devices that conform to these requirements can be affixed with a CE marking and commercialized throughout the EEA and in Switzerland. Prior to affixing a CE marking, manufacturers must demonstrate that their products comply with minimum standards of performance, safety, and quality, through a conformity assessment procedure that depends on the product’s classification. The classification of a medical device is determined by its intended purpose. Devices are classified from lowest to highest, as either Class I, IIa, IIb, or III. Classification is dependent on a variety of factors, including duration of use, whether the device is invasive or non-invasive, and whether the device is considered “active.” The competent authorities of the EU countries are responsible for regulating clinical investigations of medical devices and post-market surveillance of devices once they are placed on the market.</w:t>
      </w:r>
    </w:p>
    <w:p>
      <w:pPr>
        <w:spacing w:after="0" w:line="185"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Pharmaceutical Products. </w:t>
      </w:r>
      <w:r>
        <w:rPr>
          <w:rFonts w:ascii="Times New Roman" w:cs="Times New Roman" w:eastAsia="Times New Roman" w:hAnsi="Times New Roman"/>
          <w:sz w:val="18"/>
          <w:szCs w:val="18"/>
          <w:color w:val="auto"/>
        </w:rPr>
        <w:t>Our pharmaceutical products are regulated by the European Medicines Agency (“EMA”), or the national competent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of the EU/EEA countries where our products are marketed. The EMA, acting through the Committee for Medicinal Products for Human Use (“CHMP”), is responsible for the scientific evaluation of pharmaceutical products developed by pharmaceutical companies for use in the EU and submitted for assessment through the EU centralized procedure. If the CHMP concludes that all requirements for quality, safety, and efficacy are met, it issues a positive opinion that the EMA forwards to the European Commission, which takes the final decision on the granting of a marketing authorization.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must comply with medical device and pharmaceutical product laws and regulations and standards governing the design, development, testing, manufacturing, packaging, labeling, distribution, import/export, sale, servicing, and advertising and promotion of our products in China. The chief pharmaceutical product and medical device regulator is the National Medical Products Administration (“NMPA”), which enforces these laws and has the power to issue fines, seize products, withdraw or suspend an approval or a registration for serious non-compliances, and refer cases for criminal prosecution. These national laws and regulations are also supplemented by provincial and other local-level rules and enforcement policies.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Devices. </w:t>
      </w:r>
      <w:r>
        <w:rPr>
          <w:rFonts w:ascii="Times New Roman" w:cs="Times New Roman" w:eastAsia="Times New Roman" w:hAnsi="Times New Roman"/>
          <w:sz w:val="18"/>
          <w:szCs w:val="18"/>
          <w:color w:val="auto"/>
        </w:rPr>
        <w:t>Medical devices are strictly regulated by the NMPA and various provincial, city, and county regulators and are classified into three risk-based classes from lowest to highest, Class I, II, and III. Approved products are subject to post-market requirements for reporting adverse events and recalls, as well as regular risk assessments of devices and potentially re-evaluation reports of the safety and effectiveness of the device based on more significant safety signals.</w:t>
      </w:r>
    </w:p>
    <w:p>
      <w:pPr>
        <w:spacing w:after="0" w:line="18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to product licenses, manufacturing and distribution facilities that handle Class II and III devices require licenses or notifications and must comply with cGMP requirements and good supply practices. The NMPA regularly conducts inspections of manufacturing facilities in China (as part of a pre-market submission review, routine or for-cause inspections, or unannounced inspections) as well as periodic inspections of overseas manufacturers for compliance with China medical device cGMP requirements. The NMPA inspects distributors and user facilities and conducts annual national and provincial sampling inspections and testing to ensure compliance with labeling, licensing, mandatory standards, and other related requirements. In addition, the NMPA conducts regular and for-cause good clinical practice audits of clinical sites that provide data and clinical trial reports for product registration.</w:t>
      </w:r>
    </w:p>
    <w:p>
      <w:pPr>
        <w:spacing w:after="0" w:line="18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Pharmaceutical Products. </w:t>
      </w:r>
      <w:r>
        <w:rPr>
          <w:rFonts w:ascii="Times New Roman" w:cs="Times New Roman" w:eastAsia="Times New Roman" w:hAnsi="Times New Roman"/>
          <w:sz w:val="18"/>
          <w:szCs w:val="18"/>
          <w:color w:val="auto"/>
        </w:rPr>
        <w:t>Our pharmaceutical products are strictly regulated by the NMPA and various provincial, city, and county regulators.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changes were recently made to the China Drug Administration Law with more to follow regarding new regulatory requirements and technical guidelines. All our pharmaceutical products require pre-market approval from the NMPA before they can be marketed in China, and those marketing applications must be supported by clinical data, which typically comes from a multi-phase study in China or by relying on clinical data generated abroad that meets the NMPA’s requirements.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Privacy Laws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also subject to extensive laws and regulations protecting the privacy, security, and integrity of patient medical information that we receive, including the U.S. Health Insurance Portability and Accountability Act of 1996, as amended by HIPAA. In the EU, data protection legislation is comprehensive and complex, including the GDPR (Regulation (EU) 2016/679). Given that it has only recently come into force and member states have only recently put into effect corresponding national-level laws, there remains uncertainty as to how its provisions will be interpreted and enforced by national data protection authorities and courts. The GDPR introduced substantial changes to the EU data protection regime and imposes a substantially higher compliance burden on in-scope organizations. Failure to comply with the GDPR may lead to a variety of sanctions, including administrative fines for the most serious compliance failures of the greater of EUR 20 million or 4% of total annual revenue of the preceding fiscal year. Similarly, the U.K. data protection legislation (including the GDPR, as it forms part of the law of the U.K. by virtue of the European Union (Withdrawal) Act of 2018) (the “U.K. GDPR”) currently imposes the same obligations as the GDPR in most material respects and provides for fines of up to £17.5 million or 4% of total annual revenue of the preceding fiscal year. Fully understanding and implementing the GDPR may be costly and timely.</w:t>
      </w:r>
    </w:p>
    <w:p>
      <w:pPr>
        <w:spacing w:after="0" w:line="19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China, the CS Law went into effect in 2017. The CS Law applies to network operators and businesses in critical sectors, providing important rules for network security and protection of personal and other important data. While the CS Law is evolving and being further clarified, it has posed continuing challenges and uncertainties for national and international enterprises, especially with respect to data collection, storage, use, and cross-border transmission.</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Data privacy laws and regulations and their enforcement are constantly evolving, and we cannot predict what effect, if any, changes to these laws and regulations may have on our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on Advertising, Marketing, and Promotion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advertising, marketing, and promotion of our products must be truthful and non-misleading, consistent with our regulatory clearances and approvals, and supported by adequate and reasonable scientific data. We may not promote or advertise our products for uses not within the scope of our intended use statement in our regulatory clearances or approvals or make unsupported safety and effectiveness claims. With limited exceptions, we may not market, promote, or sell regulated products prior to health authority clearance or approval. For our pharmaceutical products, health authorities regulate labeling and advertising. For our device products, health authorities regulate the labeling and, for certain devices, regulate advertising in coordination with other enforcement agencies. A failure to comply with these regulations could expose the company to legal liability, such as enforcement actions, investigations by a governmental authority, civil fines or criminal actions, lawsuits brought by competitors or company whistleblowers, or other actions. We must also comply with advertising, marketing, and promotion rules in all countries in which we market our products.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Healthcare Compliance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marketing, promotion, and sale of medical devices, drugs, and services is regulated by the U.S. Department of Health and Human Services and comparable U.S. state and non-U.S. agencies responsible for reimbursement and regulation of the delivery of healthcare items and services, representing government’s interest in regulating the quality and cost of healthcare. Similar regulations are imposed in many global markets in which we do business. Industry trade associations (such as AdvaMed and MedTech) increasingly provide guidance on, and compliance with, applicable laws and regulations.</w:t>
      </w:r>
    </w:p>
    <w:p>
      <w:pPr>
        <w:spacing w:after="0" w:line="183"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U.S. federal healthcare laws apply when we or our customers submit claims for items or services that are reimbursed under Medicare, Medicaid, or other federally funded healthcare programs, including laws related to kickbacks, false claims, self-referrals, and healthcare fraud and abuse. Similar state false claims, anti-kickback, anti-self-referral, and insurance laws also apply to state-funded Medicaid and other healthcare programs and private third-party payers. Any failure to comply with these laws and regulations could subject us or our officers and employees to criminal and civil financial penalties and expose us to civil liability and risk of further enforcement action under the AKS, the FCA, or other healthcare fraud and abuse laws. In addition, as a manufacturer of U.S. FDA-cleared and -approved devices and drugs reimbursable by federal healthcare programs, we are subject to the U.S. federal Physician Payments Sunshine Act, which requires us to annually track and report to the federal government certain payments and other transfers of value we make to U.S.-licensed physicians and other healthcare professionals or U.S. teaching hospitals.</w:t>
      </w:r>
    </w:p>
    <w:p>
      <w:pPr>
        <w:spacing w:after="0" w:line="17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U.S. FCPA, the U.K. Bribery Act of 2010, and similar anti-corruption and anti-bribery laws in other jurisdictions generally prohibit companies from making corrupt payments to or otherwise engaging in bribery of governmental officials. These laws apply to many of our customer interactions, as healthcare professionals in other countries are often considered government officials, and in some cases lay out requirements of how to operationalize compliance with the legal requirements. Failure to comply with these laws may expose us to criminal and civil enforcement actions, monetary fines and penalties, and reputational harm.</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Implementation of further legislative or administrative reforms to reimbursement systems, or adverse decisions relating to coverage or reimbursement amounts for our products by administrators of these systems, could have an impact on the acceptance of and demand for our products and the prices that our customers are willing to pay for them. Further, as a result of the Patient Protection and Affordable Care Act, the United States is implementing value-based payment methodologies and seeking to create alternative payment models, such as bundled payments, to continue to drive improved value.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40"/>
          </w:cols>
          <w:pgMar w:left="320" w:top="455" w:right="5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names, ages (as of the date of this prospectus), and positions of our executive officers and directors following the Spin-Off.</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4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J. Arduini</w:t>
            </w: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Helmut Zodl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R. Jimenez</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Betty D. Larson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Makela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Imaging</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O’Neill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CEO, Pharmaceutical Diagnostics</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Roland Rott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Ultrasound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J. Westrick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CEO, Patient Care Solutions</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 Lawrence Culp, Jr.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Rodney F. Hochman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 W. Howell, Jr.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Lesjak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T. Madden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Tomislav Mihaljevic</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Risa Lavizzo-Mourey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Stromberg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Phoebe L. Yang</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brief biographies describing the backgrounds of our executive officers following the Spin-Off.</w:t>
      </w:r>
    </w:p>
    <w:p>
      <w:pPr>
        <w:spacing w:after="0" w:line="2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Peter J. Arduini</w:t>
      </w:r>
      <w:r>
        <w:rPr>
          <w:rFonts w:ascii="Times New Roman" w:cs="Times New Roman" w:eastAsia="Times New Roman" w:hAnsi="Times New Roman"/>
          <w:sz w:val="18"/>
          <w:szCs w:val="18"/>
          <w:color w:val="auto"/>
        </w:rPr>
        <w:t>. Mr. Arduini has been the President and Chief Executive Officer of GE’s healthcare business since January 2022 and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appointed as our President and Chief Executive Officer in connection with the Spin-Off. Previously, Mr. Arduini was the President and Chief Executive Officer of Integra LifeSciences from 2012 to 2021. During his tenure as CEO, the Integra portfolio evolved significantly to a faster growing and more profitable company through multiple acquisitions and a sustainable research and development pipeline. Prior to Integra, Mr. Arduini worked at Baxter Healthcare as President of its Medication Delivery division. Before Baxter Healthcare, he spent 15 years at GE’s Healthcare business in a variety of leadership roles in the United States and globally, including leading the Computed Tomography and Molecular Imaging business, Healthcare Services and U.S. sales. Mr. Arduini serves on several boards including Bristol-Myers Squibb Company (NYSE: BMY), where he serves on the compensation and management development committee and the science and technology committee, Advanced Medical Technology Association, and the National Italian American Foundation. He also serves on the Board of Trustees of Susquehanna University. Mr. Arduini has a bachelor’s degree in marketing from Susquehanna University and a master’s degree in management from Northwestern University’s Kellogg School of Management.</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Helmut Zodl</w:t>
      </w:r>
      <w:r>
        <w:rPr>
          <w:rFonts w:ascii="Times New Roman" w:cs="Times New Roman" w:eastAsia="Times New Roman" w:hAnsi="Times New Roman"/>
          <w:sz w:val="18"/>
          <w:szCs w:val="18"/>
          <w:color w:val="auto"/>
        </w:rPr>
        <w:t>. Mr. Zodl has served as the Chief Financial Officer of GE’s healthcare business since February 2021 and will be appointed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in connection with the Spin-Off. From October 2019 to January 2021, Mr. Zodl served as Group CFO at Midea, a global technology company specializing in air treatment, consumer appliances, and industrial automation. Prior to that, he was Senior Vice President Finance of Advance Auto Parts since 2017. Mr. Zodl held a variety of senior finance and operational leadership roles in technology companies Lenovo (acquired IBM’s Personal Computer business in 2005) and IBM for more than 17 years combined. He started his professional career with auditors PricewaterhouseCoopers. He is an independent board member and chairman of the audit committee of KUKA AG (Börse Frankfurt: KUKA), one of the world’s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leading suppliers of robotics and intelligent automation solutions. Mr. Zodl has a degree in economics and information technology from the Technical University of Vienna.</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Frank R. Jimenez</w:t>
      </w:r>
      <w:r>
        <w:rPr>
          <w:rFonts w:ascii="Times New Roman" w:cs="Times New Roman" w:eastAsia="Times New Roman" w:hAnsi="Times New Roman"/>
          <w:sz w:val="18"/>
          <w:szCs w:val="18"/>
          <w:color w:val="auto"/>
        </w:rPr>
        <w:t>. Mr. Jimenez has been the General Counsel of GE’s healthcare business since February 2022 and will be appointed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Corporate Secretary in connection with the Spin-Off. Previously, Mr. Jimenez served as General Counsel of Raytheon Company (and, following Raytheon’s merger with United Technologies Corporation, of Raytheon Technologies Corporation) from January 2015 to December 2021. In prior corporate positions, Mr. Jimenez served as General Counsel of Bunge Limited, ITT Corporation, and ITT spin-off Xylem Inc. In prior public service positions, Mr. Jimenez served as General Counsel of the Navy, Deputy General Counsel of the U.S. Department of Defense, Principal Deputy General Counsel of the Navy, Chief of Staff at the U.S. Department of Housing and Urban Development, and Deputy Chief of Staff and Acting General Counsel for former Florida Governor Jeb Bush. He was previously a litigation partner at Squire Patton Boggs (f/k/a Steel Hector &amp; Davis). Mr. Jimenez serves on the boards of Huntington Ingalls Industries (NYSE: HII), where he serves on the compensation committee and the governance and policy committee, Equal Justice Works and the Yale Law School Fund, and the advisory boards of the Columbia University Mailman School of Public Health, the Yale Law School Center for the Study of Corporate Law, the University of Miami Herbert Business School, and the National Security Institute of the Antonin Scalia Law School at George Mason University. He has a bachelor’s degree from the University of Miami, a J.D. from Yale Law School, an M.B.A from the University of Pennsylvania’s Wharton School, and a master’s degree from the U.S. Naval War College.</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Betty D. Larson</w:t>
      </w:r>
      <w:r>
        <w:rPr>
          <w:rFonts w:ascii="Times New Roman" w:cs="Times New Roman" w:eastAsia="Times New Roman" w:hAnsi="Times New Roman"/>
          <w:sz w:val="18"/>
          <w:szCs w:val="18"/>
          <w:color w:val="auto"/>
        </w:rPr>
        <w:t>. Ms. Larson has served as the Chief People Officer of GE’s healthcare business since February 2022 and will be appointed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People Officer in connection with the Spin-Off. Previously, she was EVP &amp; Chief Human Resources Officer at Becton, Dickinson and Company (“BD”) responsible for HR, Communications and Social Investing since June 2018. Prior to that role, Ms. Larson served since September 2014 as Chief Human Resources Officer for C.R. Bard, Inc., a leading medical technology company in the fields of vascular, urology and surgical specialty products, which was acquired by BD in 2017. She started her career at Baxter International, where she held a variety of leadership roles during her 16-year tenure. Ms. Larson currently serves on the board of directors for Baxter Credit Union. She previously served on the board of directors of the Overlook Hospital Foundation, Summit Speech School, and the United Way of Lake County. Ms. Larson has a bachelor’s degree in psychology and a master’s degree in human resources from the University of Illinois, and an M.B.A. from Northwestern University.</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Jan Makela</w:t>
      </w:r>
      <w:r>
        <w:rPr>
          <w:rFonts w:ascii="Times New Roman" w:cs="Times New Roman" w:eastAsia="Times New Roman" w:hAnsi="Times New Roman"/>
          <w:sz w:val="18"/>
          <w:szCs w:val="18"/>
          <w:color w:val="auto"/>
        </w:rPr>
        <w:t>. Mr. Makela has served as Chief Executive Officer, Imaging of GE’s healthcare business since 2020 and will be appointed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Imaging in connection with the Spin-Off. Mr. Makela previously served as President and CEO, Global Services of GE’s healthcare business from December 2017 to early 2020, where he oversaw the global development and execution of the service solutions and operations of GE’s healthcare business. From 2010 to 2013, he served as Chief Operations Officer for the European region. From 2013 to 2017, Mr. Makela worked in the Life Sciences division of GE’s healthcare business as the General Manager of its BioProcess business, and from 2013 to 2015 as General Manager of Core Imaging business, now called PDx. Mr. Makela joined GE Capital in 2000 and moved to GE’s healthcare business in 2007 to lead the Diagnostic Imaging Services division across Northern Europe. Mr. Makela began his career in engineering and production management with M&amp;M/Mars Inc., followed by leadership roles at A.T. Kearney management consultants before joining GE. He has a bachelor’s degree in engineering and a master’s degree in manufacturing engineering, both from the University of Cambridge.</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Kevin M. O’Neill</w:t>
      </w:r>
      <w:r>
        <w:rPr>
          <w:rFonts w:ascii="Times New Roman" w:cs="Times New Roman" w:eastAsia="Times New Roman" w:hAnsi="Times New Roman"/>
          <w:sz w:val="18"/>
          <w:szCs w:val="18"/>
          <w:color w:val="auto"/>
        </w:rPr>
        <w:t>. Mr. O’Neill has served as Chief Executive Officer, Pharmaceutical Diagnostics of GE’s healthcare business since 2017 and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appointed as our Chief Executive Officer, Pharmaceutical Diagnostics in connection with the Spin-Off. Mr. O’Neill has also served as President and CEO, GE Ireland and U.K. since 2018. Prior to that, he was the Chief Financial Officer of the Life Sciences division of GE’s healthcare business since August 2013. Mr. O’Neill has over 20 years of experience with GE, beginning in the Energy services business in the U.K. and U.S. This was followed by a series of CFO roles in GE’s healthcare business, including in the Life Sciences, Supply Chain, Western Europe and the PDx business. Prior to joining GE, Mr. O’Neill was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Financial Controller for Eurostar, the European high-speed train operator. He has an M.B.A from City University, London and is a Fellow of the Chartered Institute of Management Accountants.</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Roland Rott</w:t>
      </w:r>
      <w:r>
        <w:rPr>
          <w:rFonts w:ascii="Times New Roman" w:cs="Times New Roman" w:eastAsia="Times New Roman" w:hAnsi="Times New Roman"/>
          <w:sz w:val="18"/>
          <w:szCs w:val="18"/>
          <w:color w:val="auto"/>
        </w:rPr>
        <w:t>. Mr. Rott has served as Chief Executive Officer, Ultrasound of GE’s healthcare business since 2021 and will be appointed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Ultrasound in connection with the Spin-Off. Mr. Rott joined GE’s healthcare business in 2011 and has held several leadership roles including the global Women´s Health Ultrasound and Ultrasound IT segments as well as Maternal Infant Care. Before joining GE, Mr. Rott was Managing Director, EMEA &amp; APAC and Executive Board Member of the then Euronext listed ERP Software group Exact Holding, Netherlands. In his early career he had an entrepreneurial start, founding and successfully exiting two software companies in Austria. Mr. Rott holds a HTL-engineering degree and diploma in Information Technology &amp; Organization from the Higher Federal Technical Institute Leonding, Austria, which he passed with distinction. He also completed several senior executive programs in strategy, innovation and artificial intelligence at London Business School, Stanford University, and UC Berkeley.</w:t>
      </w:r>
    </w:p>
    <w:p>
      <w:pPr>
        <w:spacing w:after="0" w:line="18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Thomas J. Westrick</w:t>
      </w:r>
      <w:r>
        <w:rPr>
          <w:rFonts w:ascii="Times New Roman" w:cs="Times New Roman" w:eastAsia="Times New Roman" w:hAnsi="Times New Roman"/>
          <w:sz w:val="18"/>
          <w:szCs w:val="18"/>
          <w:color w:val="auto"/>
        </w:rPr>
        <w:t>. Mr. Westrick has served as Chief Executive Officer, Patient Care Solutions of GE’s healthcare business since 2020 and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appointed as our Chief Executive Officer, Patient Care Solutions in connection with the Spin-Off. Previously he led the Global Quality, Medical, Regulatory Affairs and Global Research organization for GE’s healthcare business from January 2016 to September 2020. Mr. Westrick joined GE’s healthcare business in 2003 as Global Controller and Chief Accounting Officer. He was also named Chief Risk Officer in 2010 and was responsible for leading a comprehensive enterprise risk management program. Prior to joining GE’s healthcare business, Mr. Westrick spent 13 years in public accounting with Arthur Andersen LLP and Deloitte &amp; Touche LLP in the audit and consulting practice serving a variety of complex global companies. He currently serves on the Dean’s Advisory Board for the Wisconsin School of Business. Mr. Westrick has a bachelor’s degree in accounting, risk management, and insurance from the University of Wisconsin-Madison.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completion of the Spin-Off, we intend to appoint the following director nominees to our Board.</w:t>
      </w:r>
    </w:p>
    <w:p>
      <w:pPr>
        <w:spacing w:after="0" w:line="221" w:lineRule="exact"/>
        <w:rPr>
          <w:sz w:val="20"/>
          <w:szCs w:val="20"/>
          <w:color w:val="auto"/>
        </w:rPr>
      </w:pPr>
    </w:p>
    <w:p>
      <w:pPr>
        <w:jc w:val="both"/>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Peter J. Arduini</w:t>
      </w:r>
      <w:r>
        <w:rPr>
          <w:rFonts w:ascii="Times New Roman" w:cs="Times New Roman" w:eastAsia="Times New Roman" w:hAnsi="Times New Roman"/>
          <w:sz w:val="18"/>
          <w:szCs w:val="18"/>
          <w:color w:val="auto"/>
        </w:rPr>
        <w:t>. Mr. Arduini’s biographical information is set forth above. As our Chief Executive Officer and with many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organizations that provide healthcare products and services, Mr. Arduini has extensive knowledge of the industry and is uniquely qualified to understand the opportunities and challenges facing our business.</w:t>
      </w:r>
    </w:p>
    <w:p>
      <w:pPr>
        <w:spacing w:after="0" w:line="17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H. Lawrence Culp, Jr</w:t>
      </w:r>
      <w:r>
        <w:rPr>
          <w:rFonts w:ascii="Times New Roman" w:cs="Times New Roman" w:eastAsia="Times New Roman" w:hAnsi="Times New Roman"/>
          <w:sz w:val="18"/>
          <w:szCs w:val="18"/>
          <w:color w:val="auto"/>
        </w:rPr>
        <w:t>. Mr. Culp will be appointed as our Chairman in connection with the Spin-Off. Mr. Culp has served as the Chairman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GE since October 2018, leading GE’s transformation to become a more focused, simpler and stronger high-tech industrial company. He has also served as Chief Executive Officer of GE Aerospace since June 2022. Prior to joining GE, Mr. Culp served as the President and CEO of Danaher Corporation (NYSE: DHR) from 2000 to 2014. During his tenure, Danaher increased both its revenues and its market capitalization five-fold. Mr. Culp is a member and the immediate past chair of the Board of Visitors and Governors of his alma mater, Washington College, and also serves on the Wake Forest University Board of Trustees. Previously he was also a Senior Lecturer at Harvard Business School. Mr. Culp has an undergraduate degree in economics from Washington College and an M.B.A. from Harvard Business School. We believe that Mr. Culp’s significant leadership and executive management experience within GE make him well-qualified to serve as our Chairman.</w:t>
      </w:r>
    </w:p>
    <w:p>
      <w:pPr>
        <w:spacing w:after="0" w:line="18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Rodney F. Hochman</w:t>
      </w:r>
      <w:r>
        <w:rPr>
          <w:rFonts w:ascii="Times New Roman" w:cs="Times New Roman" w:eastAsia="Times New Roman" w:hAnsi="Times New Roman"/>
          <w:sz w:val="18"/>
          <w:szCs w:val="18"/>
          <w:color w:val="auto"/>
        </w:rPr>
        <w:t>. Dr. Hochman will be appointed to our Board in connection with the Spin-Off. Since 2016, Dr. Hochman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CEO of Providence, a Catholic not-for-profit health system. From 2013 to 2016, he served as the President and CEO of Providence Health &amp; Services, Inc., which merged with St. Joseph Health to form Providence St. Joseph Health (now Providence) in 2016. Before that, he served as the President and CEO of Swedish Medical Center from 2007 to 2012. From 1998 to 2007, Dr. Hochman held</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various leadership roles within the Sentara Health System. Dr. Hochman has served as a non-executive director of Diversey Holdings, Ltd. (Nasdaq:</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DSEY) since 2021. He served as a clinical fellow in internal medicine at Harvard Medical School and Dartmouth Medical School. In addition,</w:t>
      </w:r>
    </w:p>
    <w:p>
      <w:pPr>
        <w:spacing w:after="0" w:line="9"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Dr. Hochman is a Fellow of the American College of Physicians and a Fellow of the American College of Rheumatology. He is a past chair of both the American Hospital Association and Catholic Health Association boards of trustees. Dr. Hochman has a bachelor’s degree and an M.D. degree from Boston University. We believe Dr. Hochman is well-qualified to serve on our Board because of his extensive leadership experience and healthcare knowledge.</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Lloyd W. Howell, Jr. </w:t>
      </w:r>
      <w:r>
        <w:rPr>
          <w:rFonts w:ascii="Times New Roman" w:cs="Times New Roman" w:eastAsia="Times New Roman" w:hAnsi="Times New Roman"/>
          <w:sz w:val="18"/>
          <w:szCs w:val="18"/>
          <w:color w:val="auto"/>
        </w:rPr>
        <w:t>Mr. Howell will be appointed to our Board in connection with the Spin-Off. Since 2016, Mr. Howell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and Treasurer of Booz Allen Hamilton Holding Company (“Booz Allen”). During his more than 34 years at Booz Allen, Mr. Howell has held a variety of leadership roles. From 2013 to 2016, he led Booz Allen’s Civil Commercial Group. Prior to that, he held the position of EVP, Client Services Office from 2009 to 2013. Before Booz Allen became a public company, he served for two years on Booz Allen’s board. Mr. Howell has served on the board of directors of Moody’s Corporation (NYSE: MCO) since 2021, where he serves on the audit, governance and nominating committee, and human resources committee. Previously he served on the board of directors of Integra LifeSciences Holding Corporation (Nasdaq: IART) from 2013 until 2021, where he served on the audit and finance committees. Mr. Howell has a B.S. degree in Electrical Engineering from the University of Pennsylvania and an M.B.A. from Harvard Business School. We believe Mr. Howell is well-qualified to serve on our Board because of his significant leadership and business experience.</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Catherine Lesjak</w:t>
      </w:r>
      <w:r>
        <w:rPr>
          <w:rFonts w:ascii="Times New Roman" w:cs="Times New Roman" w:eastAsia="Times New Roman" w:hAnsi="Times New Roman"/>
          <w:sz w:val="18"/>
          <w:szCs w:val="18"/>
          <w:color w:val="auto"/>
        </w:rPr>
        <w:t>. Ms. Lesjak will be appointed to our Board in connection with the Spin-Off. Ms. Lesjak held a broad range of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roles over a 32-year career at HP Inc. (formerly Hewlett-Packard Company) (“HP”), from where she retired in 2019. Most recently, from July 2018 until March 2019, she was the interim chief operating officer of HP. From January 2007 to November 2015, Ms. Lesjak was executive vice president and chief financial officer of HP and from November 2015 to July 2018 she was chief financial officer. Ms. Lesjak served as interim chief executive officer of HP from August 2010 through November 2010. Before being named as chief financial officer, Ms. Lesjak served as senior vice president and treasurer of HP. Earlier in her career at HP, she managed financial operations for Enterprise Marketing and Solutions and the Software Global Business Unit. Ms. Lesjak serves on the board of directors of General Electric Company (NYSE: GE), where she serves on the audit and governance &amp; public affairs committees, SunPower Corporation (Nasdaq: SPWR), where she serves as chair of the audit committee and a member of the compensation committee, and PROS Holdings, Inc. (NYSE: PRO), where she serves as chair of the audit committee and as a member of the nominating and corporate governance committee. She has a bachelor’s degree in biology from Stanford University and an M.B.A. in finance from the University of California, Berkeley. We believe Ms. Lesjak is well-qualified to serve on our Board because of her significant leadership experience and financial expertise.</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Anne T. Madden</w:t>
      </w:r>
      <w:r>
        <w:rPr>
          <w:rFonts w:ascii="Times New Roman" w:cs="Times New Roman" w:eastAsia="Times New Roman" w:hAnsi="Times New Roman"/>
          <w:sz w:val="18"/>
          <w:szCs w:val="18"/>
          <w:color w:val="auto"/>
        </w:rPr>
        <w:t>. Ms. Madden will be appointed to our Board in connection with the Spin-Off. Since October 2017, Ms. Madden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and General Counsel at Honeywell International Inc. (“Honeywell”). Prior to that, Ms. Madden was Vice President, Corporate Development and Global Head of M&amp;A at Honeywell for sixteen years. During her tenure, Honeywell made approximately 100 acquisitions, representing approximately $15 billion in revenues and divested approximately 70 businesses, representing close to $9 billion of non-core revenues. Ms. Madden joined AlliedSignal, Honeywell’s predecessor, in 1996 as General Counsel of Flourine Products and, later that year, became Vice President and General Counsel of Specialty Chemicals and then Vice President and Deputy General Counsel of Performance Materials and Technologies. Earlier in her career, Ms. Madden worked at Shearman &amp; Sterling and KPMG. She serves on the board of directors of Quantinuum, a subsidiary of Honeywell. Ms. Madden has an A.B. in English and American Literature from Brown University, an M.S. in Accounting and M.B.A. in Finance from the NYU Stern School of Business, and a J.D. from the Fordham University School of Law. We believe Ms. Madden is well-qualified to serve on our Board because of her significant legal and business experience.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Tomislav Mihaljevic</w:t>
      </w:r>
      <w:r>
        <w:rPr>
          <w:rFonts w:ascii="Times New Roman" w:cs="Times New Roman" w:eastAsia="Times New Roman" w:hAnsi="Times New Roman"/>
          <w:sz w:val="18"/>
          <w:szCs w:val="18"/>
          <w:color w:val="auto"/>
        </w:rPr>
        <w:t>. Dr. Mihaljevic will be appointed to our Board in connection with the Spin-Off. Since January 2018, Dr. Mihaljevic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CEO and President of Cleveland Clinic, a global integrated healthcare system. From 2015 to 2017, Dr. Mihaljevic served as CEO of Cleveland Clinic Abu Dhabi (“CCAD”), the first U.S. multi-specialty hospital to be replicated outside of North America. From 2011 to 2015, he was Chief of Staff and Chairman of the Heart &amp; Vascular Institute at CCAD, leading the recruitment, hiring, and training of the new hospital’s workforce. Dr. Mihaljevic joined Cleveland Clinic in 2004 as a surgeon in the Department of Thoracic and Cardiovascular Surgery. He is the co-chairman of the board of directors of the U.S.-UAE Business Council, a member of the East Coast Executive Summit, a member of the board of trustees of the Musical Arts Association, and a director on the boards of OneTen, the Greater Cleveland Partnership, and the United Way of Greater Cleveland. Dr. Mihaljevic is a member of the board of directors of General Electric Company (NYSE: GE), where he serves on the governance &amp; public affairs committee.</w:t>
      </w:r>
    </w:p>
    <w:p>
      <w:pPr>
        <w:spacing w:after="0" w:line="5" w:lineRule="exact"/>
        <w:rPr>
          <w:sz w:val="20"/>
          <w:szCs w:val="20"/>
          <w:color w:val="auto"/>
        </w:rPr>
      </w:pPr>
    </w:p>
    <w:p>
      <w:pPr>
        <w:jc w:val="both"/>
        <w:ind w:left="120" w:right="200"/>
        <w:spacing w:after="0" w:line="255" w:lineRule="auto"/>
        <w:rPr>
          <w:sz w:val="20"/>
          <w:szCs w:val="20"/>
          <w:color w:val="auto"/>
        </w:rPr>
      </w:pPr>
      <w:r>
        <w:rPr>
          <w:rFonts w:ascii="Times New Roman" w:cs="Times New Roman" w:eastAsia="Times New Roman" w:hAnsi="Times New Roman"/>
          <w:sz w:val="18"/>
          <w:szCs w:val="18"/>
          <w:color w:val="auto"/>
        </w:rPr>
        <w:t>Dr. Mihaljevic has a medical degree from the Medical School, University of Zagreb, Croatia. He trained at the University of Zurich, Switzerland, and did residencies in general and cardiovascular surgery at Brigham and Women’s Hospital and Boston Children’s Hospital. We believe Dr. Mihaljevic is well-qualified to serve on our Board because of his significant leadership experience and healthcare knowledge.</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Risa Lavizzo-Mourey</w:t>
      </w:r>
      <w:r>
        <w:rPr>
          <w:rFonts w:ascii="Times New Roman" w:cs="Times New Roman" w:eastAsia="Times New Roman" w:hAnsi="Times New Roman"/>
          <w:sz w:val="18"/>
          <w:szCs w:val="18"/>
          <w:color w:val="auto"/>
        </w:rPr>
        <w:t>. Dr. Lavizzo-Mourey will be appointed to our Board in connection with the Spin-Off. Dr. Lavizzo-Mourey was a professor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University of Pennsylvania from 1986 until 2021, serving as the Robert Wood Johnson Foundation Professor of Health Equity and Health Policy from 2018 to 2021. From 2003 to 2017, Dr. Lavizzo-Mourey was the Chief Executive Officer of the Robert Wood Johnson Foundation, where she spearheaded initiatives to reverse the childhood obesity epidemic, create an affordable and inclusive healthcare system, and address social factors associated with adverse health impacts. She also has extensive government experience in a wide range of roles from 1985 to 1998, including as a Co-Chair of the White House Health Care Reform Task Force and as an Advisory Committee Member on the President’s Advisory Commission on Consumer Protection and Quality in the Health Care Industry. Dr. Lavizzo-Mourey has been on the board of directors of Better Therapeutics, Inc. (Nasdaq: BTTX) since 2021, where she serves on the compensation committee, on the board of directors of Intel (NYSE: INTC) since 2018, where she is chair of the corporate governance and nominating committee and a member of the audit and finance committee and the compensation committee, on the board of directors of Merck (NYSE: MRK) since 2020, where she is a member of the compensation and management development committee and the research committee, and on the board of directors of General Electric (NYSE: GE) since 2017, where she sits on the governance &amp; public affairs committee. Dr. Lavizzo-Mourey has a B.S. from the State University of New York, Stony Brook, an M.D. from Harvard University, and an M.B.A. from the University of Pennsylvania. We believe Dr. Lavizzo-Mourey is well-qualified to serve on our Board because of her extensive leadership experience and healthcare knowledge.</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William J. Stromberg</w:t>
      </w:r>
      <w:r>
        <w:rPr>
          <w:rFonts w:ascii="Times New Roman" w:cs="Times New Roman" w:eastAsia="Times New Roman" w:hAnsi="Times New Roman"/>
          <w:sz w:val="18"/>
          <w:szCs w:val="18"/>
          <w:color w:val="auto"/>
        </w:rPr>
        <w:t>. Mr. Stromberg will be appointed to our Board in connection with the Spin-Off. Since 2016, Mr. Stromberg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the T. Rowe Price Group, Inc. (“Price Group”) and has served as the non-executive chair of the Price Group board since 2021. He served as the chief executive officer of Price Group from 2016 to 2021, and was its president from 2016 to February 2021. Prior to that, Mr. Stromberg was the Price Group’s Head of Equity from 2009 to 2015, and the Head of U.S. Equity from 2006 to 2009. Earlier in his career at Price Group, he served as a Director of Equity Research and as a portfolio manager. Before joining the Price Group in 1987, he was employed by Westinghouse Defense as a systems engineer. Mr. Stromberg is a member of the board of trustees of Johns Hopkins University and the Whiting School of Engineering Advisory Council. He previously served nine years on the Catholic Charities Board of Trustees, with two years as board president. Mr. Stromberg has a B.A. from Johns Hopkins University and an M.B.A. from the Tuck School of Business at Dartmouth. He also has earned the Chartered Financial Analyst designation. We believe Mr. Stromberg is well-qualified to serve on our Board because of his extensive leadership and business experience.</w:t>
      </w:r>
    </w:p>
    <w:p>
      <w:pPr>
        <w:spacing w:after="0" w:line="188" w:lineRule="exact"/>
        <w:rPr>
          <w:sz w:val="20"/>
          <w:szCs w:val="20"/>
          <w:color w:val="auto"/>
        </w:rPr>
      </w:pPr>
    </w:p>
    <w:p>
      <w:pPr>
        <w:jc w:val="both"/>
        <w:ind w:left="120" w:right="10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Phoebe L. Yang</w:t>
      </w:r>
      <w:r>
        <w:rPr>
          <w:rFonts w:ascii="Times New Roman" w:cs="Times New Roman" w:eastAsia="Times New Roman" w:hAnsi="Times New Roman"/>
          <w:sz w:val="17"/>
          <w:szCs w:val="17"/>
          <w:color w:val="auto"/>
        </w:rPr>
        <w:t>. Ms. Yang will be appointed to our Board in connection with the Spin-Off. Ms. Yang was the General Manager at Amazon Web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Services, Healthcare between 2020 and 2022. Prior to this role, she was at Ascension, where she served as Chief Strategy Officer for Population Health from 2013-2016 and lead Managing Director of Ascension Holdings International from 2016 to 2018. She previously served as a public company</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executive at The Advisory Board Company, Discovery Inc., and AOL Time Warner and has been Managing Director of Rock Water Ventures, LLC. Ms. Yang has served since August 2022 as an independent director for Doximity, Inc. (NYSE: DOCS), a leading digital platform for U.S. medical professionals, where she sits on the compensation and nominating and governance committees. Ms. Yang is also a member of the board of directors for CommonSpirit Health, one of the largest U.S. health systems, and previously served on the board of directors of Providence St. Joseph Health. She is a long-time member of the Council on Foreign Relations and has served as an appointee in two U.S. presidential administrations in the U.S. Department of State and the Federal Communications Commission. Ms. Yang has a B.A. from the University of Virginia and a J.D. from Stanford Law School. We believe Ms. Yang is well-qualified to serve on our Board because of her extensive business experience and healthcare knowledge.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Following the Spin-Off and Director Independence</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we expect that our Board will be comprised of ten directors. A majority of our directors will meet the independence requirements set forth in the Exchange rules at the time of the Spin-Off.</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Spin-Off, our Board is expected to consist of such number of directors as shall be determined from time to time solely by resolution of the Board. Each director will be elected annually by the stockholders at each annual meeting of stockholders for a term expiring at the next annual meeting of stockholders. We have not yet set the date of the first annual meeting of stockholders to be held following the Spin-Off.</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expect that all directors except Peter J. Arduini and H. Lawrence Culp, Jr. will meet the independence requirements set forth in the listing standards of the Exchange at the time of the Spin-Off.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Effective upon the completion of the Spin-Off, our Board will have the following committees, each of which will operate under a written charter that will be posted on our website prior to the Spin-Off.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be responsible for overseeing reports of our financial results, audit reporting, internal controls, and adherence to our code of conduct in compliance with applicable laws and regulations. Concurrent with that responsibility, as set out more fully in the Audit Committee charter, the Audit Committee will perform other functions, including:</w:t>
      </w:r>
    </w:p>
    <w:p>
      <w:pPr>
        <w:spacing w:after="0" w:line="81" w:lineRule="exact"/>
        <w:rPr>
          <w:sz w:val="20"/>
          <w:szCs w:val="20"/>
          <w:color w:val="auto"/>
        </w:rPr>
      </w:pPr>
    </w:p>
    <w:p>
      <w:pPr>
        <w:ind w:left="1080" w:right="46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approving all related fees and compensation, overseeing the work of the independent accountant, and reviewing its selection with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preapproving the proposed services to be provided by the accounting firm during the year;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procedures of the independent registered public accounting firm for ensuring its independence and other qualifications with respect to the services performed for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transactions with related persons under our related person transactions policy;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significant changes in accounting principles or developments in accounting practices and the effects of those changes upon our financial reporting;</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effectiveness of our internal audit function, which is overseen by the Audit Committee, and overseeing the adequacy of internal controls and risk management processes;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5"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our cybersecurity and enterprise risk management practices at least annually and overseeing associated compliance monitoring;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management prior to each quarterly earnings release and periodically to discuss the appropriate approach to earnings press releases and the type of financial information and earnings guidance to be provided to analysts and rating agencies.</w:t>
      </w:r>
    </w:p>
    <w:p>
      <w:pPr>
        <w:spacing w:after="0" w:line="162"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The Audit Committee will have at least three members and will consist entirely of independent directors, each of whom will meet the independence requirements set forth in the listing standards of the Exchange, Rule 10A-3 under the Exchange Act and our Audit Committee charter. Each member of the Audit Committee will be financially literate, and at least one member of the Audit Committee will have accounting and related financial management expertise and satisfy the criteria to be an “audit committee financial expert” under the rules and regulations of the SEC, as those qualifications are interpreted by our Board in its business judgment. Upon completion of the Spin-Off, we expect our Audit Committee will consist of Rodney F. Hochman, Lloyd W. Howell, Jr., Catherine Lesjak, Anne T. Madden, and William J. Stromberg, with Catherine Lesjak serving as chair.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Talent, Culture, and Compensation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Talent, Culture, and Compensation Committee will have responsibility for defining and articulating our overall executive compensation philosophy and key compensation policies, and administering and approving all elements of compensation for corporate officers. Concurrent with that responsibility, as set out more fully in the Talent, Culture, and Compensation Committee charter, the Talent, Culture, and Compensation Committee will perform other functions, including:</w:t>
      </w:r>
    </w:p>
    <w:p>
      <w:pPr>
        <w:spacing w:after="0" w:line="85" w:lineRule="exact"/>
        <w:rPr>
          <w:sz w:val="20"/>
          <w:szCs w:val="20"/>
          <w:color w:val="auto"/>
        </w:rPr>
      </w:pPr>
    </w:p>
    <w:p>
      <w:pPr>
        <w:ind w:left="108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relevant to the Chief Executive Officer’s compensation, evaluating performance in light of those goals and objectives and, together with the other independent directors, determining and approving the Chief Executive Officer’s compensation based on this evaluation;</w:t>
      </w:r>
    </w:p>
    <w:p>
      <w:pPr>
        <w:spacing w:after="0" w:line="81"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management resources programs (including our human capital management and diversity and inclusion practices), succession planning, and recommending qualified candidates for election as officers;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by direct action or through delegation, participation in and all awards, grants, and related actions under our various equity plans;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non-management director compensation practices;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structure for our officers and providing oversight of management’s decisions regarding performance and compensation of other employees;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stock ownership and clawback guidelines.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Spin-Off, we expect our Talent, Culture, and Compensation Committee will consist of Lloyd W. Howell, Tomislav Mihaljevic, William J. Stromberg, and Phoebe L. Yang, with William J. Stromberg serving as chair.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will be devoted primarily to the continuing review, definition, and articulation of our governance structure and practices. Concurrent with that responsibility, as set out more fully in the Nominating and Governance Committee charter, the Nominating and Governance Committee will perform other functions, including:</w:t>
      </w:r>
    </w:p>
    <w:p>
      <w:pPr>
        <w:spacing w:after="0" w:line="81" w:lineRule="exact"/>
        <w:rPr>
          <w:sz w:val="20"/>
          <w:szCs w:val="20"/>
          <w:color w:val="auto"/>
        </w:rPr>
      </w:pPr>
    </w:p>
    <w:p>
      <w:pPr>
        <w:jc w:val="both"/>
        <w:ind w:left="1080" w:right="36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search for qualified individuals for election as our directors, including for inclusion in the slate of directors that the Board proposes for election by stockholders at the annual meeting; recommending qualified candidates to the Board for election as directors based on each such</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60"/>
          </w:cols>
          <w:pgMar w:left="320" w:top="455" w:right="5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60"/>
        <w:spacing w:after="0" w:line="266" w:lineRule="auto"/>
        <w:rPr>
          <w:sz w:val="20"/>
          <w:szCs w:val="20"/>
          <w:color w:val="auto"/>
        </w:rPr>
      </w:pPr>
      <w:r>
        <w:rPr>
          <w:rFonts w:ascii="Times New Roman" w:cs="Times New Roman" w:eastAsia="Times New Roman" w:hAnsi="Times New Roman"/>
          <w:sz w:val="18"/>
          <w:szCs w:val="18"/>
          <w:color w:val="auto"/>
        </w:rPr>
        <w:t>candidate’s business or professional experience, the diversity of their background (including gender and ethnic diversity), their talents and perspectives, and the needs of the Board for certain areas of expertise at any given time; reviewing and assessing the independence of each director nominee; and planning for future Board and committee refreshment actions;</w:t>
      </w:r>
    </w:p>
    <w:p>
      <w:pPr>
        <w:spacing w:after="0" w:line="81" w:lineRule="exact"/>
        <w:rPr>
          <w:sz w:val="20"/>
          <w:szCs w:val="20"/>
          <w:color w:val="auto"/>
        </w:rPr>
      </w:pPr>
    </w:p>
    <w:p>
      <w:pPr>
        <w:ind w:left="1080" w:right="2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and making recommendations to the Board on all matters concerning directorship practices, and on the function, composition, and duties of the committees of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a set of governance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our position and practices on significant issues of corporate social responsibility;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stockholder proposals and director nominees.</w:t>
      </w:r>
    </w:p>
    <w:p>
      <w:pPr>
        <w:spacing w:after="0" w:line="225" w:lineRule="exact"/>
        <w:rPr>
          <w:sz w:val="20"/>
          <w:szCs w:val="20"/>
          <w:color w:val="auto"/>
        </w:rPr>
      </w:pPr>
    </w:p>
    <w:p>
      <w:pPr>
        <w:ind w:left="120" w:right="112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Spin-Off, we expect our Nominating and Governance Committee will consist of Rodney F. Hochman, Risa Lavizzo-Mourey, Anne T. Madden, Tomislav Mihaljevic, and Phoebe L. Yang, with Risa Lavizzo-Mourey serving as chair.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adopted a written code of conduct for directors, executive officers, employees, and subsidiaries or controlled affiliates where we own more than 50% of voting rights in similar form and substance to that which GE has in place, which will continue to be named The Spirit &amp; The Letter. The code of conduct was designed to deter wrongdoing and to promote, among other things:</w:t>
      </w:r>
    </w:p>
    <w:p>
      <w:pPr>
        <w:spacing w:after="0" w:line="81" w:lineRule="exact"/>
        <w:rPr>
          <w:sz w:val="20"/>
          <w:szCs w:val="20"/>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the health and safety of our workforce;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 and working with suppliers based on lawful and fair practices;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client and third-party information in compliance with applicable privacy and data security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rules, regulations, and recordkeeping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filed with regulators and in other public communications;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conduct and prompt internal reporting of any possible violation of the code of conduct.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initial Board is being selected through a process involving both GE and us. The initial directors who will serve after the Spin-Off will begin their terms at the time of the Spin-Off, with the exception of one independent director who will begin his or her term prior to the date on which “when-issued” trading of our common stock commences and will serve on our Audit Committee, Talent, Culture, and Compensation Committee, and Nominating and Governance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Principles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Board has adopted a set of governance principles in connection with the Spin-Off to assist it in guiding our governance practices, which will be regularly reviewed by the Nominating and Governance Committee. These guidelines will cover a number of areas, including Board independence, leadership, composition (including director qualifications and diversity), responsibilities, and operations; director compensation; Chief Executive Officer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evaluation and succession planning; Board committees; director orientation and continuing education; director access to management and independent advisers; annual Board and committee evaluations; the Board’s communication policy; and other matters. A copy of our governance principles will be posted on our website.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Non-Management Members of the Board</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After the Spin-Off, stockholders and other interested parties may communicate with the Board, individual directors, the non-management directors as a group, or with the Chairman, by sending an email to directors@gehealthcare.com.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Talent, Culture, and Compensation Committee Interlocks and Insider Participation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None of our executive officers has served as a member of a compensation committee (or if no committee performs that function, a board) of any other entity that has an executive officer serving as a member of our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13, 2022, our Board approved an initial director compensation program, pursuant to which each of our non-employee directors will receive an annual director fee and an annual equity award in connection with their services. In addition, each director will be reimbursed for out-of-pocket expenses in connection with his or her services. Treatment of outstanding GE equity-based compensation awards held by GE HealthCare non-employee directors in connection with the Spin-Off is described under “The Spin-Off—Treatment of Equity Awards.”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60"/>
          </w:cols>
          <w:pgMar w:left="320" w:top="455" w:right="5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GE HealthCare is currently a subsidiary of GE and not an independent public company. Decisions regarding the past compensation of our current Chief Executive Officer, Peter J. Arduini, and our former Chief Executive Officer during all of 2021, Kieran P. Murphy, were made by the Management Development &amp; Compensation Committee of the GE Board of Directors (referred to in this section as the “GE Compensation Committee”) because each served as an executive officer of GE. For our other named executive officers, decisions regarding past compensation were made by GE management.</w:t>
      </w:r>
    </w:p>
    <w:p>
      <w:pPr>
        <w:spacing w:after="0" w:line="16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At the time of the distribution, GE HealthCare will have executive compensation programs, policies, and practices for its executive officers that are similar to those of GE. After the distribution, the executive compensation programs, policies, and practices for our executive officers will be subject to the review and approval of the Talent, Culture, and Compensation Committee of the GE HealthCare Board (the “GE HealthCare Compensation Committee”), which will be formed in connection with the distribution. We expect the executive compensation programs, policies, and practices for our executive officers will align incentives more closely with GE HealthCare’s performance, strategic initiatives, healthcare industry peers, and the long-term interests of our stockholders, which is expected to help us attract, retain, and motivate highly qualified personnel.</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the following individuals are referred to as our “named executive officers” based on their status as individuals who would have been considered executive officers of the GE HealthCare business during 2021:</w:t>
      </w:r>
    </w:p>
    <w:p>
      <w:pPr>
        <w:spacing w:after="0" w:line="65" w:lineRule="exact"/>
        <w:rPr>
          <w:sz w:val="20"/>
          <w:szCs w:val="20"/>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Kieran P. Murphy, </w:t>
      </w:r>
      <w:r>
        <w:rPr>
          <w:rFonts w:ascii="Times New Roman" w:cs="Times New Roman" w:eastAsia="Times New Roman" w:hAnsi="Times New Roman"/>
          <w:sz w:val="18"/>
          <w:szCs w:val="18"/>
          <w:i w:val="1"/>
          <w:iCs w:val="1"/>
          <w:color w:val="auto"/>
        </w:rPr>
        <w:t>Former Chief Executive Officer (in such role through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Helmut Zodl, </w:t>
      </w:r>
      <w:r>
        <w:rPr>
          <w:rFonts w:ascii="Times New Roman" w:cs="Times New Roman" w:eastAsia="Times New Roman" w:hAnsi="Times New Roman"/>
          <w:sz w:val="18"/>
          <w:szCs w:val="18"/>
          <w:i w:val="1"/>
          <w:iCs w:val="1"/>
          <w:color w:val="auto"/>
        </w:rPr>
        <w:t>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Jan Makela, </w:t>
      </w:r>
      <w:r>
        <w:rPr>
          <w:rFonts w:ascii="Times New Roman" w:cs="Times New Roman" w:eastAsia="Times New Roman" w:hAnsi="Times New Roman"/>
          <w:sz w:val="18"/>
          <w:szCs w:val="18"/>
          <w:i w:val="1"/>
          <w:iCs w:val="1"/>
          <w:color w:val="auto"/>
        </w:rPr>
        <w:t>Chief Executive Officer, Imaging</w:t>
      </w:r>
    </w:p>
    <w:p>
      <w:pPr>
        <w:spacing w:after="0" w:line="22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Although GE HealthCare’s current Chief Executive Officer, Peter J. Arduini, is not a named executive officer for 2021 because he was not an executive officer during 2021, his compensation under his offer letter described below was determined by the GE Compensation Committee under the compensation programs, policies, and practices described in this “Compensation Discussion and Analysis.”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Executive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Process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table below describes the key factors the GE Compensation Committee considers when designing pay programs and making compensation decisions. We expect that the GE HealthCare Compensation Committee will consider similar factors.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How the Compensation Program</w:t>
            </w:r>
          </w:p>
        </w:tc>
        <w:tc>
          <w:tcPr>
            <w:tcW w:w="0" w:type="dxa"/>
            <w:vAlign w:val="bottom"/>
          </w:tcPr>
          <w:p>
            <w:pPr>
              <w:spacing w:after="0"/>
              <w:rPr>
                <w:sz w:val="1"/>
                <w:szCs w:val="1"/>
                <w:color w:val="auto"/>
              </w:rPr>
            </w:pPr>
          </w:p>
        </w:tc>
      </w:tr>
      <w:tr>
        <w:trPr>
          <w:trHeight w:val="193"/>
        </w:trPr>
        <w:tc>
          <w:tcPr>
            <w:tcW w:w="408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Supports This Philosophy</w:t>
            </w:r>
          </w:p>
        </w:tc>
        <w:tc>
          <w:tcPr>
            <w:tcW w:w="0" w:type="dxa"/>
            <w:vAlign w:val="bottom"/>
          </w:tcPr>
          <w:p>
            <w:pPr>
              <w:spacing w:after="0"/>
              <w:rPr>
                <w:sz w:val="1"/>
                <w:szCs w:val="1"/>
                <w:color w:val="auto"/>
              </w:rPr>
            </w:pPr>
          </w:p>
        </w:tc>
      </w:tr>
      <w:tr>
        <w:trPr>
          <w:trHeight w:val="185"/>
        </w:trPr>
        <w:tc>
          <w:tcPr>
            <w:tcW w:w="5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Drive</w:t>
            </w:r>
          </w:p>
        </w:tc>
        <w:tc>
          <w:tcPr>
            <w:tcW w:w="35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Accountability and Performance</w:t>
            </w:r>
          </w:p>
        </w:tc>
        <w:tc>
          <w:tcPr>
            <w:tcW w:w="176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Borders>
              <w:top w:val="single" w:sz="8" w:color="auto"/>
            </w:tcBorders>
          </w:tcPr>
          <w:p>
            <w:pPr>
              <w:jc w:val="center"/>
              <w:ind w:right="115"/>
              <w:spacing w:after="0" w:line="185" w:lineRule="exact"/>
              <w:rPr>
                <w:sz w:val="20"/>
                <w:szCs w:val="20"/>
                <w:color w:val="auto"/>
              </w:rPr>
            </w:pPr>
            <w:r>
              <w:rPr>
                <w:rFonts w:ascii="Times New Roman" w:cs="Times New Roman" w:eastAsia="Times New Roman" w:hAnsi="Times New Roman"/>
                <w:sz w:val="18"/>
                <w:szCs w:val="18"/>
                <w:color w:val="auto"/>
                <w:w w:val="98"/>
              </w:rPr>
              <w:t>   Our incentive programs are designed to drive accountability 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executing our strategy.</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40" w:type="dxa"/>
            <w:vAlign w:val="bottom"/>
            <w:gridSpan w:val="2"/>
          </w:tcPr>
          <w:p>
            <w:pPr>
              <w:ind w:left="176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 Annual bonuses are tied to business unit results for business unit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executives or to total company performance for corporate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executives; annual equity awards for all executives are based 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overall company performance.</w:t>
            </w: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How the Compensation Program</w:t>
            </w:r>
          </w:p>
        </w:tc>
        <w:tc>
          <w:tcPr>
            <w:tcW w:w="0" w:type="dxa"/>
            <w:vAlign w:val="bottom"/>
          </w:tcPr>
          <w:p>
            <w:pPr>
              <w:spacing w:after="0"/>
              <w:rPr>
                <w:sz w:val="1"/>
                <w:szCs w:val="1"/>
                <w:color w:val="auto"/>
              </w:rPr>
            </w:pPr>
          </w:p>
        </w:tc>
      </w:tr>
      <w:tr>
        <w:trPr>
          <w:trHeight w:val="180"/>
        </w:trPr>
        <w:tc>
          <w:tcPr>
            <w:tcW w:w="440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Supports This Philosophy</w:t>
            </w:r>
          </w:p>
        </w:tc>
        <w:tc>
          <w:tcPr>
            <w:tcW w:w="0" w:type="dxa"/>
            <w:vAlign w:val="bottom"/>
          </w:tcPr>
          <w:p>
            <w:pPr>
              <w:spacing w:after="0"/>
              <w:rPr>
                <w:sz w:val="1"/>
                <w:szCs w:val="1"/>
                <w:color w:val="auto"/>
              </w:rPr>
            </w:pPr>
          </w:p>
        </w:tc>
      </w:tr>
      <w:tr>
        <w:trPr>
          <w:trHeight w:val="292"/>
        </w:trPr>
        <w:tc>
          <w:tcPr>
            <w:tcW w:w="58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 We set target performance levels that are challenging and aligned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stockholder interests.</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 We set commensurately more challenging goals in association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above-target payout levels.</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GE Compensation Committee and the GE Board consider the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results of GE’s annual, advisory say-on-pay proposal.</w:t>
            </w:r>
          </w:p>
        </w:tc>
        <w:tc>
          <w:tcPr>
            <w:tcW w:w="0" w:type="dxa"/>
            <w:vAlign w:val="bottom"/>
          </w:tcPr>
          <w:p>
            <w:pPr>
              <w:spacing w:after="0"/>
              <w:rPr>
                <w:sz w:val="1"/>
                <w:szCs w:val="1"/>
                <w:color w:val="auto"/>
              </w:rPr>
            </w:pPr>
          </w:p>
        </w:tc>
      </w:tr>
      <w:tr>
        <w:trPr>
          <w:trHeight w:val="31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Incentivize Short- and Long-Term Performance</w:t>
            </w: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 Our program provides an appropriate mix of compensation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elements.</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 Cash payments reward achievement of short-term goals, while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 encourage our executives to deliver sustained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strong results over multi-year performance periods.</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 The GE Compensation Committee has increased the portion of our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compensation delivered in the form of long-term equity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compensation, rather than cash, to further align our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executives with investors’ interests.</w:t>
            </w:r>
          </w:p>
        </w:tc>
        <w:tc>
          <w:tcPr>
            <w:tcW w:w="0" w:type="dxa"/>
            <w:vAlign w:val="bottom"/>
          </w:tcPr>
          <w:p>
            <w:pPr>
              <w:spacing w:after="0"/>
              <w:rPr>
                <w:sz w:val="1"/>
                <w:szCs w:val="1"/>
                <w:color w:val="auto"/>
              </w:rPr>
            </w:pPr>
          </w:p>
        </w:tc>
      </w:tr>
      <w:tr>
        <w:trPr>
          <w:trHeight w:val="31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Attract and Retain Top Talent</w:t>
            </w: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 Our program provides competitive compensation programs that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attract and retain talented executives with a strong track record of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 assuring a high performing and stable leadership team to</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lead our businesses.</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GE Compensation Committee continues to monitor market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trends and align compensation programs with market where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relevant.</w:t>
            </w:r>
          </w:p>
        </w:tc>
        <w:tc>
          <w:tcPr>
            <w:tcW w:w="0" w:type="dxa"/>
            <w:vAlign w:val="bottom"/>
          </w:tcPr>
          <w:p>
            <w:pPr>
              <w:spacing w:after="0"/>
              <w:rPr>
                <w:sz w:val="1"/>
                <w:szCs w:val="1"/>
                <w:color w:val="auto"/>
              </w:rPr>
            </w:pPr>
          </w:p>
        </w:tc>
      </w:tr>
      <w:tr>
        <w:trPr>
          <w:trHeight w:val="31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Excessive Risk-Taking</w:t>
            </w: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 Equity awards have specific holding and retention requirements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senior executives, which discourage excessive risk taking by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keeping long-term compensation aligned with our share price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even after it is earned.</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GE Compensation Committee retains discretion to adjust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for quality of performance and adherence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values, and, in cases of detrimental misconduct,</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GE’s clawback policy.</w:t>
            </w: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4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Compensation Program Components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29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16"/>
                <w:szCs w:val="16"/>
                <w:color w:val="auto"/>
              </w:rPr>
            </w:pPr>
          </w:p>
        </w:tc>
        <w:tc>
          <w:tcPr>
            <w:tcW w:w="3940" w:type="dxa"/>
            <w:vAlign w:val="bottom"/>
            <w:tcBorders>
              <w:bottom w:val="single" w:sz="8" w:color="auto"/>
            </w:tcBorders>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Performance-Based/At-Risk</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2980" w:type="dxa"/>
            <w:vAlign w:val="bottom"/>
            <w:tcBorders>
              <w:bottom w:val="single" w:sz="8" w:color="auto"/>
            </w:tcBorders>
            <w:gridSpan w:val="3"/>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Short-Term Incentive</w:t>
            </w:r>
          </w:p>
        </w:tc>
        <w:tc>
          <w:tcPr>
            <w:tcW w:w="120" w:type="dxa"/>
            <w:vAlign w:val="bottom"/>
          </w:tcPr>
          <w:p>
            <w:pPr>
              <w:spacing w:after="0"/>
              <w:rPr>
                <w:sz w:val="13"/>
                <w:szCs w:val="13"/>
                <w:color w:val="auto"/>
              </w:rPr>
            </w:pPr>
          </w:p>
        </w:tc>
        <w:tc>
          <w:tcPr>
            <w:tcW w:w="5040" w:type="dxa"/>
            <w:vAlign w:val="bottom"/>
            <w:tcBorders>
              <w:bottom w:val="single" w:sz="8" w:color="auto"/>
            </w:tcBorders>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Long-Term Equity-Based Incentive (generally 3-year vesting)</w:t>
            </w:r>
          </w:p>
        </w:tc>
        <w:tc>
          <w:tcPr>
            <w:tcW w:w="0" w:type="dxa"/>
            <w:vAlign w:val="bottom"/>
          </w:tcPr>
          <w:p>
            <w:pPr>
              <w:spacing w:after="0"/>
              <w:rPr>
                <w:sz w:val="1"/>
                <w:szCs w:val="1"/>
                <w:color w:val="auto"/>
              </w:rPr>
            </w:pPr>
          </w:p>
        </w:tc>
      </w:tr>
      <w:tr>
        <w:trPr>
          <w:trHeight w:val="156"/>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Link to Stockholder Value</w:t>
            </w:r>
          </w:p>
        </w:tc>
        <w:tc>
          <w:tcPr>
            <w:tcW w:w="144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142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3"/>
                <w:szCs w:val="13"/>
                <w:color w:val="auto"/>
              </w:rPr>
            </w:pPr>
          </w:p>
        </w:tc>
        <w:tc>
          <w:tcPr>
            <w:tcW w:w="2740" w:type="dxa"/>
            <w:vAlign w:val="bottom"/>
            <w:gridSpan w:val="2"/>
          </w:tcPr>
          <w:p>
            <w:pPr>
              <w:ind w:left="1140"/>
              <w:spacing w:after="0" w:line="155" w:lineRule="exact"/>
              <w:rPr>
                <w:sz w:val="20"/>
                <w:szCs w:val="20"/>
                <w:color w:val="auto"/>
              </w:rPr>
            </w:pPr>
            <w:r>
              <w:rPr>
                <w:rFonts w:ascii="Times New Roman" w:cs="Times New Roman" w:eastAsia="Times New Roman" w:hAnsi="Times New Roman"/>
                <w:sz w:val="14"/>
                <w:szCs w:val="14"/>
                <w:b w:val="1"/>
                <w:bCs w:val="1"/>
                <w:color w:val="auto"/>
              </w:rPr>
              <w:t>PSUs</w:t>
            </w:r>
          </w:p>
        </w:tc>
        <w:tc>
          <w:tcPr>
            <w:tcW w:w="1200" w:type="dxa"/>
            <w:vAlign w:val="bottom"/>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3"/>
                <w:szCs w:val="13"/>
                <w:color w:val="auto"/>
              </w:rPr>
            </w:pPr>
          </w:p>
        </w:tc>
        <w:tc>
          <w:tcPr>
            <w:tcW w:w="100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91"/>
        </w:trPr>
        <w:tc>
          <w:tcPr>
            <w:tcW w:w="2880" w:type="dxa"/>
            <w:vAlign w:val="bottom"/>
            <w:vMerge w:val="continue"/>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Provide base pay</w:t>
            </w: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Deliver on annual</w:t>
            </w:r>
          </w:p>
        </w:tc>
        <w:tc>
          <w:tcPr>
            <w:tcW w:w="120" w:type="dxa"/>
            <w:vAlign w:val="bottom"/>
          </w:tcPr>
          <w:p>
            <w:pPr>
              <w:spacing w:after="0"/>
              <w:rPr>
                <w:sz w:val="16"/>
                <w:szCs w:val="16"/>
                <w:color w:val="auto"/>
              </w:rPr>
            </w:pPr>
          </w:p>
        </w:tc>
        <w:tc>
          <w:tcPr>
            <w:tcW w:w="2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Focus executives on the</w:t>
            </w:r>
          </w:p>
        </w:tc>
        <w:tc>
          <w:tcPr>
            <w:tcW w:w="120" w:type="dxa"/>
            <w:vAlign w:val="bottom"/>
          </w:tcPr>
          <w:p>
            <w:pPr>
              <w:spacing w:after="0"/>
              <w:rPr>
                <w:sz w:val="16"/>
                <w:szCs w:val="16"/>
                <w:color w:val="auto"/>
              </w:rPr>
            </w:pPr>
          </w:p>
        </w:tc>
        <w:tc>
          <w:tcPr>
            <w:tcW w:w="1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Reward stock</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Provide for</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level aligned with</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investor framework</w:t>
            </w: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achievement of specific financial</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price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roles,</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Serves as key</w:t>
            </w: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goals directly aligned</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performance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employee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responsibilities and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with operating and strategic plans,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retention</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individual</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vehicle for</w:t>
            </w: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with a relative total shareholder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to</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differentiating</w:t>
            </w: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return (“TSR”) modifier based 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attract and retain</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each</w:t>
            </w: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three-year return from stock price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top talent</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appreciation and dividends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PSUs provide a significant stake in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long-term financial success that is</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aligned with stockholder interests</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 promote employee retention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2021 Incentive Compensation Plans</w:t>
      </w:r>
    </w:p>
    <w:p>
      <w:pPr>
        <w:spacing w:after="0" w:line="121"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This section provides an overview of GE’s incentive compensation plans for 2021 in which our named executive officers participated. We expect GE HealthCare to provide similar incentive compensation plans, with such changes as determined by the GE HealthCare Compensation Committee to align incentives more closely with our performance, strategic initiatives, healthcare industry peers, and the long-term interests of our stockholders.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Salary</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GE sets base salaries for its executive officers and other employees, including the GE HealthCare named executive officers, considering a number of factors, including the scope of responsibilities, the market for talent, leadership skills and values, performance, and length of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GE provides annual cash incentive opportunities to its executive officers and other employees, including all of the GE HealthCare named executive officers, under GE’s Annual Executive Incentive Plan (“AEIP”). The targets for awards under the AEIP are designed to drive company and business unit performance, based on financial and operational priorities and, in some cases, individual performance. When determining the annual incentive award payable to Mr. Murphy for 2021, the GE Compensation Committee considered performance achieved relative to pre-established targets to determine the AEIP pool funding and did not apply discretion. Our other named executive officers received bonus payouts for 2021 based on performance goals as described below.</w:t>
      </w:r>
    </w:p>
    <w:p>
      <w:pPr>
        <w:spacing w:after="0" w:line="185" w:lineRule="exact"/>
        <w:rPr>
          <w:sz w:val="20"/>
          <w:szCs w:val="20"/>
          <w:color w:val="auto"/>
        </w:rPr>
      </w:pPr>
    </w:p>
    <w:p>
      <w:pPr>
        <w:ind w:left="120" w:right="40" w:firstLine="440"/>
        <w:spacing w:after="0" w:line="234" w:lineRule="auto"/>
        <w:rPr>
          <w:sz w:val="20"/>
          <w:szCs w:val="20"/>
          <w:color w:val="auto"/>
        </w:rPr>
      </w:pPr>
      <w:r>
        <w:rPr>
          <w:rFonts w:ascii="Times New Roman" w:cs="Times New Roman" w:eastAsia="Times New Roman" w:hAnsi="Times New Roman"/>
          <w:sz w:val="18"/>
          <w:szCs w:val="18"/>
          <w:i w:val="1"/>
          <w:iCs w:val="1"/>
          <w:color w:val="auto"/>
        </w:rPr>
        <w:t>Metrics for the GE Annual Bonus Pool</w:t>
      </w:r>
      <w:r>
        <w:rPr>
          <w:rFonts w:ascii="Times New Roman" w:cs="Times New Roman" w:eastAsia="Times New Roman" w:hAnsi="Times New Roman"/>
          <w:sz w:val="18"/>
          <w:szCs w:val="18"/>
          <w:color w:val="auto"/>
        </w:rPr>
        <w:t>. The GE Compensation Committee sets the performance goals for the corporate and business unit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pools for its executive officers, including Mr. Murphy (whose metrics were based upon results of the GE Healthcare business). For 2021, financial metrics for the annual bonus program were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Organic margin expansion, and Organic revenue growth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GE Compensation Committee selected these metrics and weighted them to incentivize strong performance across key drivers of long-term value creation, and these metrics also reflect how the businesses are managed internally. 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0" w:lineRule="exact"/>
        <w:rPr>
          <w:sz w:val="20"/>
          <w:szCs w:val="20"/>
          <w:color w:val="auto"/>
        </w:rPr>
      </w:pPr>
    </w:p>
    <w:p>
      <w:pPr>
        <w:ind w:left="340" w:hanging="224"/>
        <w:spacing w:after="0"/>
        <w:tabs>
          <w:tab w:leader="none" w:pos="340" w:val="left"/>
        </w:tabs>
        <w:numPr>
          <w:ilvl w:val="0"/>
          <w:numId w:val="1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further align the AEIP with GE’s overarching operational priority of safety, the GE Compensation Committee in 2021 applied a performance modifier to increase or decrease awards by up to 10% based on achievement of defined safety metrics. The safety performance modifier was determined based on an assessment for each business of the following safety metrics relative to targets set at the beginning of the performance year: injury and illness rates; serious incidents; fatalities; and overall safety culture and progress since the prior year.</w:t>
      </w:r>
    </w:p>
    <w:p>
      <w:pPr>
        <w:spacing w:after="0" w:line="178"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How the Bonus Program Works</w:t>
      </w:r>
      <w:r>
        <w:rPr>
          <w:rFonts w:ascii="Times New Roman" w:cs="Times New Roman" w:eastAsia="Times New Roman" w:hAnsi="Times New Roman"/>
          <w:sz w:val="18"/>
          <w:szCs w:val="18"/>
          <w:color w:val="auto"/>
        </w:rPr>
        <w:t>. GE pays cash bonuses each February or March for the prior performance year and accrues such bonuses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performance year. All employees at the executive-band level and above within GE are eligible to participate in the annual bonus program, and so all of our named executive officers participated in the program.</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February following the performance period, performance is assessed against the financial metrics for the prior year to determine the payout level for each bonus pool. GE’s CEO also leads an assessment of each GE named executive officer’s performance against relevant business and personal priorities and makes recommendations to the GE Compensation Committee related to compensation for each executive. In doing so, he receives input and data from GE’s Chief Human Resources Officer. These assessments inform the GE Compensation Committee’s compensation decisions for GE’s named executive officers (including Mr. Murphy for 2021 compensation decisions) and provide a basis for the GE Compensation Committee to consider whether factors such as the quality of financial or operating results or the impact of extraordinary or usual events should be considered in those compensation decisions. For our other named executive officers, while we were a part of GE, our CEO led similar assessments of individual executives’ performance against strategic and individual priorities and made recommendations to GE’s CEO regarding their compensation.</w:t>
      </w:r>
    </w:p>
    <w:p>
      <w:pPr>
        <w:spacing w:after="0" w:line="190"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Mr. Murphy’s Annual Bonus</w:t>
      </w:r>
      <w:r>
        <w:rPr>
          <w:rFonts w:ascii="Times New Roman" w:cs="Times New Roman" w:eastAsia="Times New Roman" w:hAnsi="Times New Roman"/>
          <w:sz w:val="18"/>
          <w:szCs w:val="18"/>
          <w:color w:val="auto"/>
        </w:rPr>
        <w:t>. Mr. Murphy’s bonus was based upon the achievement of the following performance goals for the GE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for which he was the CEO until the end of 2021. Individual performance factors were not considered for his bonus determination. His target bonus was 100% of salary.</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40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AEIP POOL FINANCIAL </w:t>
      </w:r>
      <w:r>
        <w:rPr>
          <w:rFonts w:ascii="Times New Roman" w:cs="Times New Roman" w:eastAsia="Times New Roman" w:hAnsi="Times New Roman"/>
          <w:sz w:val="14"/>
          <w:szCs w:val="14"/>
          <w:b w:val="1"/>
          <w:bCs w:val="1"/>
          <w:u w:val="single" w:color="auto"/>
          <w:color w:val="auto"/>
        </w:rPr>
        <w:t>PERFORMANCE METRICS</w:t>
      </w:r>
      <w:r>
        <w:rPr>
          <w:rFonts w:ascii="Times New Roman" w:cs="Times New Roman" w:eastAsia="Times New Roman" w:hAnsi="Times New Roman"/>
          <w:sz w:val="10"/>
          <w:szCs w:val="10"/>
          <w:b w:val="1"/>
          <w:bCs w:val="1"/>
          <w:u w:val="single" w:color="auto"/>
          <w:color w:val="auto"/>
        </w:rPr>
        <w:t>(1)</w:t>
      </w:r>
    </w:p>
    <w:p>
      <w:pPr>
        <w:ind w:left="120"/>
        <w:spacing w:after="0"/>
        <w:rPr>
          <w:sz w:val="20"/>
          <w:szCs w:val="20"/>
          <w:color w:val="auto"/>
        </w:rPr>
      </w:pPr>
      <w:r>
        <w:rPr>
          <w:rFonts w:ascii="Times New Roman" w:cs="Times New Roman" w:eastAsia="Times New Roman" w:hAnsi="Times New Roman"/>
          <w:sz w:val="18"/>
          <w:szCs w:val="18"/>
          <w:color w:val="auto"/>
        </w:rPr>
        <w:t>Free cash flow ($M)</w:t>
      </w:r>
    </w:p>
    <w:p>
      <w:pPr>
        <w:spacing w:after="0" w:line="7" w:lineRule="exact"/>
        <w:rPr>
          <w:sz w:val="20"/>
          <w:szCs w:val="20"/>
          <w:color w:val="auto"/>
        </w:rPr>
      </w:pPr>
    </w:p>
    <w:p>
      <w:pPr>
        <w:ind w:left="300" w:hanging="179"/>
        <w:spacing w:after="0" w:line="212" w:lineRule="auto"/>
        <w:rPr>
          <w:sz w:val="20"/>
          <w:szCs w:val="20"/>
          <w:color w:val="auto"/>
        </w:rPr>
      </w:pPr>
      <w:r>
        <w:rPr>
          <w:rFonts w:ascii="Times New Roman" w:cs="Times New Roman" w:eastAsia="Times New Roman" w:hAnsi="Times New Roman"/>
          <w:sz w:val="18"/>
          <w:szCs w:val="18"/>
          <w:color w:val="auto"/>
        </w:rPr>
        <w:t>Organic margin expansion (basis points)</w:t>
      </w:r>
      <w:r>
        <w:rPr>
          <w:rFonts w:ascii="Times New Roman" w:cs="Times New Roman" w:eastAsia="Times New Roman" w:hAnsi="Times New Roman"/>
          <w:sz w:val="26"/>
          <w:szCs w:val="26"/>
          <w:color w:val="auto"/>
          <w:vertAlign w:val="superscript"/>
        </w:rPr>
        <w:t>(2)</w:t>
      </w:r>
    </w:p>
    <w:p>
      <w:pPr>
        <w:ind w:left="120"/>
        <w:spacing w:after="0"/>
        <w:rPr>
          <w:sz w:val="20"/>
          <w:szCs w:val="20"/>
          <w:color w:val="auto"/>
        </w:rPr>
      </w:pPr>
      <w:r>
        <w:rPr>
          <w:rFonts w:ascii="Times New Roman" w:cs="Times New Roman" w:eastAsia="Times New Roman" w:hAnsi="Times New Roman"/>
          <w:sz w:val="18"/>
          <w:szCs w:val="18"/>
          <w:color w:val="auto"/>
        </w:rPr>
        <w:t>Organic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7715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SAFETY</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POOL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PAYOUT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5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w:t>
            </w:r>
          </w:p>
        </w:tc>
        <w:tc>
          <w:tcPr>
            <w:tcW w:w="44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440" w:type="dxa"/>
            <w:vAlign w:val="bottom"/>
            <w:vMerge w:val="restart"/>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RESULT</w:t>
            </w:r>
          </w:p>
        </w:tc>
        <w:tc>
          <w:tcPr>
            <w:tcW w:w="1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MODIFIER</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5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4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PAYOUT)</w:t>
            </w:r>
          </w:p>
        </w:tc>
        <w:tc>
          <w:tcPr>
            <w:tcW w:w="4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(+/- 10%)</w:t>
            </w:r>
          </w:p>
        </w:tc>
        <w:tc>
          <w:tcPr>
            <w:tcW w:w="4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5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2,650</w:t>
            </w:r>
          </w:p>
        </w:tc>
        <w:tc>
          <w:tcPr>
            <w:tcW w:w="4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2,850</w:t>
            </w:r>
          </w:p>
        </w:tc>
        <w:tc>
          <w:tcPr>
            <w:tcW w:w="44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-556895</wp:posOffset>
            </wp:positionV>
            <wp:extent cx="6995160" cy="145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-136525</wp:posOffset>
            </wp:positionV>
            <wp:extent cx="699516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480" w:space="400"/>
            <w:col w:w="8240"/>
          </w:cols>
          <w:pgMar w:left="320" w:top="455" w:right="459" w:bottom="1440" w:gutter="0" w:footer="0" w:header="0"/>
          <w:type w:val="continuous"/>
        </w:sectPr>
      </w:pPr>
    </w:p>
    <w:p>
      <w:pPr>
        <w:ind w:left="540" w:right="140" w:hanging="424"/>
        <w:spacing w:after="0" w:line="257"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metrics are non-GAAP financial measures. See “Non-GAAP Financial Data” and “Management’s Discussion and Analysis of Financial Condition and Results of Operations—Non-GAAP Financial Measures” in this prospectus for further information regarding the determination of our non-GAAP financial measures.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margin expansion generally means the increase in organic profit over organic revenue as compared to the prior year.</w:t>
      </w:r>
    </w:p>
    <w:p>
      <w:pPr>
        <w:spacing w:after="0" w:line="205"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Other NEOs’ Annual Bonuses</w:t>
      </w:r>
      <w:r>
        <w:rPr>
          <w:rFonts w:ascii="Times New Roman" w:cs="Times New Roman" w:eastAsia="Times New Roman" w:hAnsi="Times New Roman"/>
          <w:sz w:val="18"/>
          <w:szCs w:val="18"/>
          <w:color w:val="auto"/>
        </w:rPr>
        <w:t>. Mr. Zodl was eligible to receive a bonus under the AEIP with a target bonus of 100% of salary,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the GE HealthCare financial goals shown above for Mr. Murphy, together with an assessment of individual leadership performance. Mr. Makela was eligible to receive a bonus under the AEIP with a target bonus of 100% of salary, based on achievement of a combination of the GE Healthcare financial goals shown above for Mr. Murphy and financial performance and strategic priorities of the Imaging business for which he is the CEO, as well as an assessment of individual leadership performance. Individual performance and total payouts were recommended by the CEO of the GE HealthCare business to GE’s CEO for approval. The AEIP payout for Mr. Zodl was 115% of target and for Mr. Makela was 96.8% of target, in the amounts set forth under “Compensation Tables—Summary Compensation Table” below.</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 Long-Term Incentive Compensation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part of GE’s annual compensation program, GE uses a mix of long-term incentive compensation awards: Performance Stock Units (“PSUs”), Restricted Stock Units (“RSUs”), and stock options.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How Equity Award Amounts Are Determined</w:t>
      </w:r>
      <w:r>
        <w:rPr>
          <w:rFonts w:ascii="Times New Roman" w:cs="Times New Roman" w:eastAsia="Times New Roman" w:hAnsi="Times New Roman"/>
          <w:sz w:val="18"/>
          <w:szCs w:val="18"/>
          <w:color w:val="auto"/>
        </w:rPr>
        <w:t>. In determining award amounts, factors considered include each executive’s overall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the market for similar talent, the mix of cash versus equity as a percentage of the executive’s overall compensation, the executive’s expected future contribution to the success of the company, and the retentive value of such awards. In 2021, Mr. Murphy’s annual equity incentive awards were weighted approximately 50% as PSUs, 30% as stock options, and 20% as RSUs. In 2021, our other named executive officers received annual equity incentive awards in the form of PSUs and RSUs, weighted approximately 50% as PSUs and 50% as RSUs consistent with their level within the GE organization. In July 2021, Mr. Makela also received a retention award in the form of stock options and additional RSUs in recognition of his critical role in leading the Imaging business, and the importance of retaining his critical talent and experience needed to lead the Imaging business. As part of this retention award, stock options were considered an important element to focus on aligning with the interests of stockholders by tying a significant portion of the retention award directly to an increase in stock price over the term of the option. Mr. Zodl received additional RSUs as part of his new hire package in recognition of the need to provide additional incentives to encourage high-level executives to join us and give up awards from a prior employer, while still emphasizing alignment with our stockholders. The individual grants during 2021 are set forth under “Compensation Tables— Grants of Plan-Based Awards” below.</w:t>
      </w:r>
    </w:p>
    <w:p>
      <w:pPr>
        <w:spacing w:after="0" w:line="190"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PSUs Align Pay With Performance</w:t>
      </w:r>
      <w:r>
        <w:rPr>
          <w:rFonts w:ascii="Times New Roman" w:cs="Times New Roman" w:eastAsia="Times New Roman" w:hAnsi="Times New Roman"/>
          <w:sz w:val="18"/>
          <w:szCs w:val="18"/>
          <w:color w:val="auto"/>
        </w:rPr>
        <w:t>. GE sees PSUs as a means to focus recipients on particular goals, including long-term operating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this philosophy, in recent years GE has expanded the number of senior leaders receiving PSU awards, including the GE HealthCare named executive officers, to drive greater alignment between these executives and stockholders. PSUs have formulaically determined payouts that are earned only if the specified performance goals are achieved. PSUs reward and retain the recipients by offering them the opportunity to receive stock if the performance goals are achieved and if they are still employed by GE on the date the restrictions lapse. All of our named executive officers received PSUs during 2021.</w:t>
      </w:r>
    </w:p>
    <w:p>
      <w:pPr>
        <w:spacing w:after="0" w:line="18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 and RSUs Align Pay With Stockholder Interests</w:t>
      </w:r>
      <w:r>
        <w:rPr>
          <w:rFonts w:ascii="Times New Roman" w:cs="Times New Roman" w:eastAsia="Times New Roman" w:hAnsi="Times New Roman"/>
          <w:sz w:val="18"/>
          <w:szCs w:val="18"/>
          <w:color w:val="auto"/>
        </w:rPr>
        <w:t>. GE believes that stock options and RSUs effectively focus recipients on delivering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value to our stockholders. Options have value only to the extent that the price of GE stock rises between the grant date and the exercise date. RSUs reward and retain the named executives by offering them the opportunity to receive GE stock if they are still employed by GE on the date the restrictions lapse. All of our named executive officers received RSUs (together with PSUs as described above) in 2021. Stock options are not granted by GE to all long-term incentive award recipients, but Mr. Murphy received stock options in his capacity as a GE named executive officer, and Mr. Makela received stock options as part of a retention award in 2021 as described above.</w:t>
      </w:r>
    </w:p>
    <w:p>
      <w:pPr>
        <w:spacing w:after="0" w:line="182"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Unearned Dividend Equivalents</w:t>
      </w:r>
      <w:r>
        <w:rPr>
          <w:rFonts w:ascii="Times New Roman" w:cs="Times New Roman" w:eastAsia="Times New Roman" w:hAnsi="Times New Roman"/>
          <w:sz w:val="18"/>
          <w:szCs w:val="18"/>
          <w:color w:val="auto"/>
        </w:rPr>
        <w:t>. With respect to PSUs and RSUs, dividend equivalents are accrued during the vesting or performance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paid out only on shares actually received.</w:t>
      </w:r>
    </w:p>
    <w:p>
      <w:pPr>
        <w:spacing w:after="0" w:line="158" w:lineRule="exact"/>
        <w:rPr>
          <w:sz w:val="20"/>
          <w:szCs w:val="20"/>
          <w:color w:val="auto"/>
        </w:rPr>
      </w:pPr>
    </w:p>
    <w:p>
      <w:pPr>
        <w:ind w:left="120" w:firstLine="440"/>
        <w:spacing w:after="0" w:line="228" w:lineRule="auto"/>
        <w:rPr>
          <w:sz w:val="20"/>
          <w:szCs w:val="20"/>
          <w:color w:val="auto"/>
        </w:rPr>
      </w:pPr>
      <w:r>
        <w:rPr>
          <w:rFonts w:ascii="Times New Roman" w:cs="Times New Roman" w:eastAsia="Times New Roman" w:hAnsi="Times New Roman"/>
          <w:sz w:val="18"/>
          <w:szCs w:val="18"/>
          <w:i w:val="1"/>
          <w:iCs w:val="1"/>
          <w:color w:val="auto"/>
        </w:rPr>
        <w:t>Metrics for 2021 PSUs</w:t>
      </w:r>
      <w:r>
        <w:rPr>
          <w:rFonts w:ascii="Times New Roman" w:cs="Times New Roman" w:eastAsia="Times New Roman" w:hAnsi="Times New Roman"/>
          <w:sz w:val="18"/>
          <w:szCs w:val="18"/>
          <w:color w:val="auto"/>
        </w:rPr>
        <w:t>. The annual PSUs granted in 2021 are eligible to convert into shares of GE stock in early 2024 based on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GE’s one-year 2021 Adjusted earnings per share (50% weighting) and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(50% weighting) targets and modification of +/- 20% based on three-year relative TSR versus the S&amp;P 500 Industrials Index, with proportional adjustment for performance between threshold, target, and maximum. Performance below threshold against the one-year Adjusted earnings per share and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results in no PSUs being earned. The PSUs granted to our named executive officers provide that the final amount eligible for vesting may be between 0% and 175% of the target number of PSUs granted, depending on performance against the goals. The GE Compensation Committee chose these operating metrics to incentivize and focus management on both profitability and cash generation, and these continue to be important financial priorities for GE as it executes on its plan to form three independent companies. The use of a one-year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9" w:lineRule="exact"/>
        <w:rPr>
          <w:sz w:val="20"/>
          <w:szCs w:val="20"/>
          <w:color w:val="auto"/>
        </w:rPr>
      </w:pPr>
    </w:p>
    <w:p>
      <w:pPr>
        <w:ind w:left="340" w:hanging="224"/>
        <w:spacing w:after="0"/>
        <w:tabs>
          <w:tab w:leader="none" w:pos="340" w:val="left"/>
        </w:tabs>
        <w:numPr>
          <w:ilvl w:val="0"/>
          <w:numId w:val="1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financial measure.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13" w:lineRule="auto"/>
        <w:rPr>
          <w:sz w:val="20"/>
          <w:szCs w:val="20"/>
          <w:color w:val="auto"/>
        </w:rPr>
      </w:pPr>
      <w:r>
        <w:rPr>
          <w:rFonts w:ascii="Times New Roman" w:cs="Times New Roman" w:eastAsia="Times New Roman" w:hAnsi="Times New Roman"/>
          <w:sz w:val="18"/>
          <w:szCs w:val="18"/>
          <w:color w:val="auto"/>
        </w:rPr>
        <w:t>performance period for adjusted earnings per share and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reflects variability in these metrics and the challenges of setting long-term financial targets in the face of difficult macroeconomic conditions, including those precipitated by the global COVID-19 pandemic.</w:t>
      </w:r>
    </w:p>
    <w:p>
      <w:pPr>
        <w:spacing w:after="0" w:line="19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Vesting of 2021 RSUs and Stock Options</w:t>
      </w:r>
      <w:r>
        <w:rPr>
          <w:rFonts w:ascii="Times New Roman" w:cs="Times New Roman" w:eastAsia="Times New Roman" w:hAnsi="Times New Roman"/>
          <w:sz w:val="18"/>
          <w:szCs w:val="18"/>
          <w:color w:val="auto"/>
        </w:rPr>
        <w:t>. The RSUs and stock options granted to the GE HealthCare named executive officers in 2021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eligible to vest in two equal installments on the second and third anniversary of the grant date.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NEOs’ Long-Term Incentive Compensation Awards in Connection with the Distribution</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Equity awards held by our named executive officers who will continue with GE HealthCare will be treated the same as equity awards held by other employees who will continue with GE HealthCare, as described under “The Spin-Off—Treatment of Equity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GE HealthCare CEO’s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3, 2022, Peter J. Arduini became President and Chief Executive Officer of GE HealthCare, after joining GE as an employee in December 2021. His offer letter provided for a base salary of $1,250,000, an annual target bonus of 125% of base salary, and an annual long-term incentive target of $7,000,000. In 2022 (the timing for his first GE equity grants), his long-term incentive was granted in the form of approximately 50% PSUs, eligible for vesting in 2025 subject to meeting performance goals, 30% stock options, and 20% RSUs, each eligible for vesting 50% on each of the second and third anniversary of the grant date. In addition, he received a sign-on equity grant of 51,948 PSUs (at target), which will be eligible for vesting on March 1, 2025 (except for earlier specified termination events), in an amount between 0% and 150% of target, based on the final average achievement of objectives set for each of 2022, 2023 and 2024. Pursuant to his offer letter, Mr. Arduini is eligible for severance at the level of 18 months of salary and, under some circumstances, a pro-rated bonus, in the event of a termination without cause, resignation for good reason (as defined in his offer letter), death or disability, or upon a change in control of GE or the GE HealthCare business as a result of which he does not receive a comparable offer. His offer letter includes covenants not to compete or solicit employees for 12 months following termination of his employment.</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November 16, 2022, Mr. Arduini entered into an amendment to his offer letter, which will be assumed by GE HealthCare and will be effective immediately following the Spin-Off. The amended offer letter provides for a base salary of $1,250,000, an annual target bonus of 150% of base salary, and an annual long-term incentive grant target of $11,875,000 starting in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Go-Forward GE HealthCare Compensation Arrangements</w:t>
      </w:r>
    </w:p>
    <w:p>
      <w:pPr>
        <w:spacing w:after="0" w:line="12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GE HealthCare Compensation Committee has not yet been established and therefore has not established a specific set of objectives or principles for our executive compensation program. It is anticipated that after the distribution, the GE HealthCare Compensation Committee will establish objectives and principles similar to the objectives and principles that GE maintained for its compensation program in 2021, as described above.</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Immediately after the distribution, we expect that the structure of our executive compensation program will be similar to GE’s executive compensation program with such changes as determined by the GE HealthCare Compensation Committee. The components of pay for GE HealthCare’s executives will include a base salary, an annual performance-based cash bonus opportunity, equity-based awards, and participation in other executive compensation and retirement programs.</w:t>
      </w:r>
    </w:p>
    <w:p>
      <w:pPr>
        <w:spacing w:after="0" w:line="180"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GE HealthCare generally expects to adopt executive compensation and benefit plans that are similar to those in effect at GE before the distribution. For eligible executives, these will include an annual bonus plan and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executive severance plan, as well as defined contribution and frozen defined benefit retirement plans and supplemental retirement plans. In addition, GE HealthCare has adopted the GE HealthCare 2023 Long-Term Incentive Plan, as described below. The eligible participants under these compensation and benefits plans will include our named executive officers who will continue with GE HealthCare. We expect the executive compensation programs, policies and practices for our executive officers will align incentives more closely with GE HealthCare’s performance, strategic initiatives, healthcare industry peers, and the long-term interests of our stockholders, which is expected to help us attract, retain, and motivate highly-qualified personnel.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 HealthCare 2023 Long-Term Incentive Plan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December 13, 2022, GE HealthCare adopted the GE HealthCare 2023 Long-Term Incentive Plan (the “GE HealthCare LTIP”), with terms substantially as set forth below. The following discussion is qualified in its entirety by reference to the GE HealthCare LTIP.</w:t>
      </w:r>
    </w:p>
    <w:p>
      <w:pPr>
        <w:spacing w:after="0" w:line="16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aggregate number of shares of our common stock issuable under the GE HealthCare LTIP will be equal to (i) 9%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outstanding as of the Spin-Off plus (ii) any shares of our common stock subject to awards previously granted under each of the GE HealthCare Mirror LTIPs that are canceled, terminated, expire unexercised, forfeited or settled in cash following the effective date of the GE HealthCare LTIP (excluding such shares that have been retained or withheld by GE HealthCare in payment or satisfaction of the exercise price, purchase price or tax withholding obligation of such awards). The number of shares described in this paragraph are subject to adjustment in the event of certain capitalization events.</w:t>
      </w:r>
    </w:p>
    <w:p>
      <w:pPr>
        <w:spacing w:after="0" w:line="18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aggregate number of shares of our common stock issued under the GE HealthCare LTIP, the following share counting rules will apply:</w:t>
      </w:r>
    </w:p>
    <w:p>
      <w:pPr>
        <w:spacing w:after="0" w:line="67" w:lineRule="exact"/>
        <w:rPr>
          <w:sz w:val="20"/>
          <w:szCs w:val="20"/>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issued pursuant to awards will be counted against the limit described above as one share;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that have been canceled, terminated, expire unexercised, forfeited or settled in cash will not be counted against the limit described above; however, shares subject to awards that have been retained or withheld by us in payment or satisfaction of the exercise price, purchase price or tax withholding obligation of an award and shares repurchased on the open market with the proceeds of a stock option exercise will be counted against the limit described above.</w:t>
      </w:r>
    </w:p>
    <w:p>
      <w:pPr>
        <w:spacing w:after="0" w:line="180"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addition, shares subject to awards granted in assumption of, or in substitution or exchange for, awards previously granted by an acquired company (“Substitute Awards”) will not be counted against the limit described above. Shares of our common stock issued under the GE HealthCare LTIP may be authorized and unissued shares or shares that were reacquired by us, including shares purchased in the open market or in private transactions.</w:t>
      </w:r>
    </w:p>
    <w:p>
      <w:pPr>
        <w:spacing w:after="0" w:line="178" w:lineRule="exact"/>
        <w:rPr>
          <w:sz w:val="20"/>
          <w:szCs w:val="20"/>
          <w:color w:val="auto"/>
        </w:rPr>
      </w:pPr>
    </w:p>
    <w:p>
      <w:pPr>
        <w:ind w:left="120" w:right="4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The aggregate dollar value of equity-based and cash compensation granted under the GE HealthCare LTIP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(excluding awards granted under the GE HealthCare Mirror LTIPs) to any non-employee director will not exceed $750,000 during any calendar year.</w:t>
      </w:r>
    </w:p>
    <w:p>
      <w:pPr>
        <w:spacing w:after="0" w:line="17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GE HealthCare Talent, Culture, and Compensation Committee will administer the GE HealthCare LTIP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The Administrator may delegate its authority under the GE HealthCare LTIP in accordance with applicable laws. The Administrator will be authorized and empowered under the GE HealthCare LTIP to do all things that it determines to be necessary or appropriate in connection with the administration of the GE HealthCare LTIP. All decisions, determinations and interpretations by the Administrator regarding the GE HealthCare LTIP will be final and binding on all participants and others with rights under the GE HealthCare LTIP or any award thereunder.</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officers, non-employee directors and other service providers of GE HealthCare or any of its affiliates will be eligible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awards under the GE HealthCare LTIP, as determined by the Administrator.</w:t>
      </w:r>
    </w:p>
    <w:p>
      <w:pPr>
        <w:spacing w:after="0" w:line="158"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Award Types</w:t>
      </w:r>
      <w:r>
        <w:rPr>
          <w:rFonts w:ascii="Times New Roman" w:cs="Times New Roman" w:eastAsia="Times New Roman" w:hAnsi="Times New Roman"/>
          <w:sz w:val="18"/>
          <w:szCs w:val="18"/>
          <w:color w:val="auto"/>
        </w:rPr>
        <w:t>. The GE HealthCare LTIP will permit the grant of stock options, stock appreciation rights (“SAR” or “SARs”),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(“RSUs”), performance awards and other stock-based awards.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Administrator may grant options to purchase our common stock that qualify as “incentive stock options” within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Section 422 of the Code (“ISO” or “ISOs”), options that do not qualify as ISOs or a combination thereof. The terms and conditions of stock option grants, including the quantity, exercise price, vesting periods, exercise periods and other conditions on exercise, will be determined by the Administrator. Subject to limited exceptions for Substitute Awards, the exercise price may not be less than 100% of the fair market value of a share of our common stock on the date of grant, and the exercise period may not exceed 10 years. In the case of ISOs granted to a holder of more than 10% of the total voting power of GE HealthCare on the date of grant, the exercise price may not be less than 110% of the fair market value of a share of our common stock on the date of grant, and the exercise period may not exceed five years. The exercise period of a stock option (other than an ISO) will be automatically extended if the holder is prohibited by law or GE HealthCare’s insider trading policy from exercising the stock option at the time of its scheduled expiration until the date that is 30 days following the lapse of such prohibition. No dividends or dividend equivalent rights may be paid or granted with respect to stock options. The exercise price of a stock option may be paid by such methods as determined by the Administrator, including by cash in U.S. dollars, an irrevocable commitment to use the proceeds from a sale of shares issuable under the stock option, delivery of previously owned shares of our common stock or withholding of shares otherwise deliverable upon exercise of the stock option.</w:t>
      </w:r>
    </w:p>
    <w:p>
      <w:pPr>
        <w:spacing w:after="0" w:line="19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Administrator may grant SARs, which entitle the participant to receive, upon exercise, a payment equal to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of the fair market value of a share of our common stock on the exercise date over the exercise price, times (ii) the number of shares of our common stock with respect to which the SAR is exercised. Subject to limited exceptions for Substitute Awards, the exercise price for a SAR will be determined by the Administrator in its discretion on the date of grant, but may not be less than 100% of the fair market value of a share of our common stock on the date of grant. Upon exercise of a SAR, payment may be made in cash, shares of our common stock or a combination of cash and shares. SARs must be exercised within a period fixed by the Administrator that may not exceed ten years from the date of grant. No dividends or dividend equivalent rights may be paid or granted with respect to SARs.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The Administrator may award restricted stock—shares of our common stock subject 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Restricted stock is subject to forfeiture if the participant does not meet certain conditions such as continued employment and/or satisfaction of performance conditions. The Administrator also may grant RSUs representing the right to receive shares of our common stock (or a cash payment in lieu thereof) following the satisfaction of certain conditions, such as continued employment and/or satisfaction of performance conditions. The terms and conditions of restricted stock and RSUs are determined by the Administrator. Any dividends or other distributions paid with respect to restricted stock will be subject to the same restrictions on transferability and vesting conditions as the underlying restricted stock. Shares underlying RSUs may be entitled to dividend equivalents only to the extent provided by the Administrator, and any such dividend equivalents will be subject to the same vesting conditions as the underlying RSUs.</w:t>
      </w:r>
    </w:p>
    <w:p>
      <w:pPr>
        <w:spacing w:after="0" w:line="185"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Administrator may establish performance criteria and the level of achievement versus such criteria that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cash or the number of shares of our common stock, stock options, SARs, restricted stock or RSUs to be granted, retained, vested, issued or paid pursuant to a performance award.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Administrator may grant other awards that may be denominated or payable in, valued in whole or in part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or otherwise based on or related to, the value of our common stock. The terms and conditions of such other stock-based awards are determined by the Administrator. Shares underlying other stock-based awards may be entitled to dividend equivalents only to the extent provided by the Administrator, and any such dividend equivalents will be subject to the same vesting conditions as the underlying other stock-based award.</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No Repricing</w:t>
      </w:r>
      <w:r>
        <w:rPr>
          <w:rFonts w:ascii="Times New Roman" w:cs="Times New Roman" w:eastAsia="Times New Roman" w:hAnsi="Times New Roman"/>
          <w:sz w:val="18"/>
          <w:szCs w:val="18"/>
          <w:color w:val="auto"/>
        </w:rPr>
        <w:t>. Other than in connection with a change in our capitalization, as described below, the Administrator may not, without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reduce the exercise price of any previously awarded stock option or SAR, cancel and re-grant or exchange any underwater stock option or SAR for cash or a new award with a lower (or no) exercise price or take any other action that is treated as a repricing under generally accepted accounting principles.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Transferability of Awards</w:t>
      </w:r>
      <w:r>
        <w:rPr>
          <w:rFonts w:ascii="Times New Roman" w:cs="Times New Roman" w:eastAsia="Times New Roman" w:hAnsi="Times New Roman"/>
          <w:sz w:val="18"/>
          <w:szCs w:val="18"/>
          <w:color w:val="auto"/>
        </w:rPr>
        <w:t>. Awards under the GE HealthCare LTIP may not be sold, transferred for value, pledged, assigned or otherwise alienated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hypothecated by a participant, and each option and SAR will be exercisable only by the participant during his or her lifetime. However, if permitted by the Administrator, a participant may transfer or assign an award as a gift to a family member (as such term is defined for purposes of the Registration Statement on Form S-8) or designate a beneficiary with respect to an award in the event of the participant’s death.</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in the GE HealthCare LTIP), the Administrator will have discretion to take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actions with respect to outstanding awards, including to accelerate vesting or exercisability of awards, to redeem or cash-out awards based on the change in control price (less any applicable exercise price), to cash-out any dividend equivalents, and to make adjustments to awards as it deems appropriate, such as providing for the substitution, assumption or continuation of such awards by any successor or parent company. However, in the event awards are not assumed, continued or substituted in connection with a change in control, such awards will become fully vested and exercisable.</w:t>
      </w:r>
    </w:p>
    <w:p>
      <w:pPr>
        <w:spacing w:after="0" w:line="18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Non-US Awards</w:t>
      </w:r>
      <w:r>
        <w:rPr>
          <w:rFonts w:ascii="Times New Roman" w:cs="Times New Roman" w:eastAsia="Times New Roman" w:hAnsi="Times New Roman"/>
          <w:sz w:val="18"/>
          <w:szCs w:val="18"/>
          <w:color w:val="auto"/>
        </w:rPr>
        <w:t>. For Participants employed or performing services outside the United States, the GE HealthCare Talent, Culture,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may modify the provisions of the GE HealthCare LTIP or an award (or create sub-plans) as they pertain to such individual to comply with applicable foreign law or to recognize differences in local law, currency or tax policy.</w:t>
      </w:r>
    </w:p>
    <w:p>
      <w:pPr>
        <w:spacing w:after="0" w:line="17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any corporate event or transaction that results in a change in our capital structure, such as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liquidation, stock dividend, stock split, reverse stock split or other distribution of stock or property of GE HealthCare, the Administrator will make such equitable adjustments with respect to awards and the GE HealthCare LTIP, including any adjustments in the maximum number of shares of our common stock subject to the GE HealthCare LTIP, the number of shares subject to awards, and the purchase price or exercise price of outstanding awards, without any requirement that adjustments need to be uniform between different awards.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or its designee may amend, alter, suspend or terminate the GE HealthCare LTIP at any time;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such amendment may not increase the number of shares of our common stock that may be granted under the GE HealthCare LTIP, reprice outstanding options or SARs or permit the grant of such awards with exercise prices below 100% of the fair market value of a share of our common stock on the date of grant, extend the term of the GE HealthCare LTIP, change the class of eligible participants, increase the non-employee director compensation limit or otherwise include any amendment requiring stockholder approval by laws or the rules of any applicable stock exchange. Unless earlier terminated, the GE HealthCare LTIP will remain available for the grant of awards until the 10th anniversary of the date of adoption of the GE HealthCare LTIP.</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Clawback and Recoupment</w:t>
      </w:r>
      <w:r>
        <w:rPr>
          <w:rFonts w:ascii="Times New Roman" w:cs="Times New Roman" w:eastAsia="Times New Roman" w:hAnsi="Times New Roman"/>
          <w:sz w:val="18"/>
          <w:szCs w:val="18"/>
          <w:color w:val="auto"/>
        </w:rPr>
        <w:t>. If a participant is terminated for cause or has engaged in conduct that breaches an agreement with GE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(or has the potential to cause) material harm financially, reputationally, or otherwise to GE HealthCare or would have given rise to a termination for cause, as determined by the GE HealthCare Talent, Culture, and Compensation Committee, such participant will forfeit their right to any unvested or unexercised awards under the GE HealthCare LTIP and may be required to repay any cash, shares or other property received pursuant to vested and exercised awards under the GE HealthCare LTIP, to the extent recovery is permitted by law.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 HealthCare Mirror Long-Term Incentive Plans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13, 2022, GE HealthCare adopted the GE HealthCare Mirror LTIPs to assume the converted stock options and RSUs (including performance stock units) held by employees of GE HealthCare or one of its subsidiaries and corporate and former employees of GE or one of its subsidiaries, as described under “The Spin-Off—Treatment of Equity Awards—Stock Option and Restricted Stock Unit Awards Held by GE HealthCare Employees and Restricted Stock Unit Awards Held by GE Corporate Employees and GE Former Employees.” The aggregate number of shares of our common stock issuable under the GE HealthCare Mirror LTIPs will be equal to an amount of our shares sufficient to satisfy the exercise and settlement of such converted stock options and RSUs (including performance stock units) held by employees of GE HealthCare or one of its subsidiaries and corporate and former employees of GE or one of its subsidiaries, and no additional awards may be issued under the GE HealthCare Mirror LTIPs. The GE HealthCare Mirror LTIPs will otherwise contain the same terms and conditions that applied to the original GE award immediately before the Spin-Off, except that performance-vesting conditions, as applicable, will be adjusted to reflect the Spin-Off.</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Peer Group and Benchmarking</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GE Compensation Committee uses a peer group for compensation benchmarking purposes for its named executive officers. Based on the criteria set forth below, the GE Compensation Committee reviews the peer group each year and made no changes to the peer group for 2021.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determining the peer group, the GE Compensation Committee considered the following factors:</w:t>
      </w:r>
    </w:p>
    <w:p>
      <w:pPr>
        <w:spacing w:after="0" w:line="129" w:lineRule="exact"/>
        <w:rPr>
          <w:sz w:val="20"/>
          <w:szCs w:val="20"/>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companies operating in similar or comparable industry spaces and with comparable operational scope.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Size</w:t>
      </w:r>
      <w:r>
        <w:rPr>
          <w:rFonts w:ascii="Times New Roman" w:cs="Times New Roman" w:eastAsia="Times New Roman" w:hAnsi="Times New Roman"/>
          <w:sz w:val="18"/>
          <w:szCs w:val="18"/>
          <w:color w:val="auto"/>
        </w:rPr>
        <w:t>: companies that are comparable to GE in terms of revenues, market capitalization and number of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Peers</w:t>
      </w:r>
      <w:r>
        <w:rPr>
          <w:rFonts w:ascii="Times New Roman" w:cs="Times New Roman" w:eastAsia="Times New Roman" w:hAnsi="Times New Roman"/>
          <w:sz w:val="18"/>
          <w:szCs w:val="18"/>
          <w:color w:val="auto"/>
        </w:rPr>
        <w:t>: U.S. public companies whose performance is monitored regularly by the same market analysts who monitor GE.</w:t>
      </w:r>
    </w:p>
    <w:p>
      <w:pPr>
        <w:spacing w:after="0" w:line="22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GE Compensation Committee uses the peer group to assess the pay level of GE executives, pay mix, compensation program design, and pay practices. The peer group is also used as a reference point when assessing individual pay, with pay decisions also supplemented by input from GE’s independent compensation consultant and impacted by internal equity, retention considerations, succession planning, and internal GE dynamics.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expect that the GE HealthCare Compensation Committee will similarly establish a peer group for compensation benchmarking purposes. The GE HealthCare peer group is expected to be designed to include companies of comparable size, considering revenue, market capitalization, number of employees, and similar factors. Peers are also expected to include companies which operate in similar or comparable industries and with which GE HealthCare is expected to compete for executive talent and investor capital.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Clawbacks and Other Remedies for Potential Misconduct</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clawback policies on recoupment, whether under the terms of our annual and long-term incentive plans or otherwise, that will allow us to clawback compensation following financial restatements and upon other similar events, as determined by the GE HealthCare Compensation Committee as it develops the programs, policies, and practices for our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Guidelines and Hedging and Pledging Restrictions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expect to adopt stock ownership guidelines for our executive officers in connection with the distribution, together with governance principles relating to hedging and pledging restrictions for our executive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Deductibility of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Code generally imposes a $1 million limit on the amount that a public company may deduct for compensation paid to the company’s applicable named executive officers. As a result, we generally expect that compensation paid to our named executive officers in excess of $1 million per year will not be deductible.</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1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&amp; Principal Position</w:t>
            </w:r>
          </w:p>
        </w:tc>
        <w:tc>
          <w:tcPr>
            <w:tcW w:w="1620" w:type="dxa"/>
            <w:vAlign w:val="bottom"/>
            <w:vMerge w:val="restart"/>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tcPr>
          <w:p>
            <w:pPr>
              <w:jc w:val="right"/>
              <w:ind w:right="2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80" w:type="dxa"/>
            <w:vAlign w:val="bottom"/>
          </w:tcPr>
          <w:p>
            <w:pPr>
              <w:jc w:val="right"/>
              <w:ind w:right="219"/>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(4)</w:t>
            </w:r>
          </w:p>
        </w:tc>
        <w:tc>
          <w:tcPr>
            <w:tcW w:w="160" w:type="dxa"/>
            <w:vAlign w:val="bottom"/>
          </w:tcPr>
          <w:p>
            <w:pPr>
              <w:spacing w:after="0"/>
              <w:rPr>
                <w:sz w:val="15"/>
                <w:szCs w:val="15"/>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(5)</w:t>
            </w:r>
          </w:p>
        </w:tc>
        <w:tc>
          <w:tcPr>
            <w:tcW w:w="16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(6)</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Kieran P. Murphy, Former CEO</w:t>
            </w:r>
            <w:r>
              <w:rPr>
                <w:rFonts w:ascii="Times New Roman" w:cs="Times New Roman" w:eastAsia="Times New Roman" w:hAnsi="Times New Roman"/>
                <w:sz w:val="23"/>
                <w:szCs w:val="23"/>
                <w:color w:val="auto"/>
                <w:vertAlign w:val="superscript"/>
              </w:rPr>
              <w:t>(1)</w:t>
            </w:r>
          </w:p>
        </w:tc>
        <w:tc>
          <w:tcPr>
            <w:tcW w:w="46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1,273,148</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1,273,148</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3,602,609</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1,499,998</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166,364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79,081</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7,894,348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Helmut Zodl, CFO</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687,500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1,812,500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3,150,427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169,881</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5,820,308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Jan Makela, CEO, Imaging</w:t>
            </w:r>
            <w:r>
              <w:rPr>
                <w:rFonts w:ascii="Times New Roman" w:cs="Times New Roman" w:eastAsia="Times New Roman" w:hAnsi="Times New Roman"/>
                <w:sz w:val="25"/>
                <w:szCs w:val="25"/>
                <w:color w:val="auto"/>
                <w:vertAlign w:val="superscript"/>
              </w:rPr>
              <w:t>(1)</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688,188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666,166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2,729,463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1,875,000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774,038</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16,517</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6,749,372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40" w:hanging="424"/>
        <w:spacing w:after="0" w:line="255"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Murphy served as our principal executive officer for all of 2021. For Mr. Murphy and Mr. Makela, all cash amounts (including salary and bonus) were originally paid in British pounds and converted for purposes of this presentation at an exchange rate of $1.3764 per £1.00, the 2021 average noon buying rate certified for customs purposes by the U.S. Federal Reserve Bank of New York set forth in the H.10 statistical release of the Federal Reserve Board.</w:t>
      </w:r>
    </w:p>
    <w:p>
      <w:pPr>
        <w:spacing w:after="0" w:line="2"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w:t>
      </w:r>
      <w:r>
        <w:rPr>
          <w:rFonts w:ascii="Times New Roman" w:cs="Times New Roman" w:eastAsia="Times New Roman" w:hAnsi="Times New Roman"/>
          <w:sz w:val="18"/>
          <w:szCs w:val="18"/>
          <w:color w:val="auto"/>
        </w:rPr>
        <w:t>Amounts earned under our annual cash bonus program. See “Overview of 2021 Incentive Compensation Plans” above for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on the bonus program. In addition, for Mr. Zodl, includes $950,000 paid as a signing bonus in 2021.</w:t>
      </w:r>
    </w:p>
    <w:p>
      <w:pPr>
        <w:ind w:left="540" w:right="100" w:hanging="424"/>
        <w:spacing w:after="0" w:line="251"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18"/>
          <w:szCs w:val="18"/>
          <w:color w:val="auto"/>
        </w:rPr>
        <w:t>Aggregate grant date fair value of stock awards in the form of PSUs and RSUs granted in 2021. Generally GE valued RSUs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 on grant date, and PSUs and performance shares using market price on grant date and a Monte Carlo simulation as needed based on performance metrics. Generally, the aggregate grant date fair value is the amount that GE expects to expense for accounting purposes over the vesting schedule of the award and does not correspond to the actual value that the named executive officers will realize from the award. In particular, the actual value of PSUs received are different from the accounting expense because it depends on performance. In accordance with SEC rules, the aggregate grant date fair value of the 2021 PSUs is calculated based on the most probable outcome of the performance conditions as of the grant date, which was less than maximum performance. If the most probable outcome of the performance conditions on the grant date had been maximum performance, then the grant date fair value of the 2021 PSUs would have been as follows: Murphy ($3,853,348), Zodl, ($1,233,119), Makela ($1,541,374). See the “2021 Grants of Plan-Based Awards Table” below for additional information for PSUs and RSUs granted in 2021.</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right="40" w:hanging="424"/>
        <w:spacing w:after="0" w:line="255"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Awards. </w:t>
      </w:r>
      <w:r>
        <w:rPr>
          <w:rFonts w:ascii="Times New Roman" w:cs="Times New Roman" w:eastAsia="Times New Roman" w:hAnsi="Times New Roman"/>
          <w:sz w:val="18"/>
          <w:szCs w:val="18"/>
          <w:color w:val="auto"/>
        </w:rPr>
        <w:t>Aggregate grant date fair value of option awards granted in 2021. These amounts reflect the accounting expense and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 to the actual value that the named executive officers will realize. Generally, GE valued stock options using a Black-Scholes option pricing model. Key assumptions used in the Black-Scholes valuation for stock options granted overall during 2021 generally include: risk free rate of 1.1%, dividend yield of 0.3%, expected volatility of 40%, and expected lives of 6.2 years. See the “2021 Grants of Plan-Based Awards Table” below for additional information on 2021 grants.</w:t>
      </w:r>
    </w:p>
    <w:p>
      <w:pPr>
        <w:spacing w:after="0" w:line="2"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Pension Value. </w:t>
      </w:r>
      <w:r>
        <w:rPr>
          <w:rFonts w:ascii="Times New Roman" w:cs="Times New Roman" w:eastAsia="Times New Roman" w:hAnsi="Times New Roman"/>
          <w:sz w:val="18"/>
          <w:szCs w:val="18"/>
          <w:color w:val="auto"/>
        </w:rPr>
        <w:t>Year-over-year changes in pension value generally are driven by changes in actuarial pension assumptions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in service, age, and compensation. See “Pension Benefits” below for additional information, including the present value assumptions used in this calculation.</w:t>
      </w:r>
    </w:p>
    <w:p>
      <w:pPr>
        <w:spacing w:after="0" w:line="1" w:lineRule="exact"/>
        <w:rPr>
          <w:rFonts w:ascii="Times New Roman" w:cs="Times New Roman" w:eastAsia="Times New Roman" w:hAnsi="Times New Roman"/>
          <w:sz w:val="18"/>
          <w:szCs w:val="18"/>
          <w:color w:val="auto"/>
        </w:rPr>
      </w:pPr>
    </w:p>
    <w:p>
      <w:pPr>
        <w:ind w:left="540" w:right="540" w:hanging="424"/>
        <w:spacing w:after="0" w:line="255"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 Other Compensation. </w:t>
      </w:r>
      <w:r>
        <w:rPr>
          <w:rFonts w:ascii="Times New Roman" w:cs="Times New Roman" w:eastAsia="Times New Roman" w:hAnsi="Times New Roman"/>
          <w:sz w:val="18"/>
          <w:szCs w:val="18"/>
          <w:color w:val="auto"/>
        </w:rPr>
        <w:t>We provide our named executive officers with other benefits that we believe are reasonable, competitive,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our overall executive compensation program. The costs of these benefits for 2021, minus any reimbursements by the named executive officers, are shown in the table below.</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 GE</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GE</w:t>
            </w:r>
          </w:p>
        </w:tc>
        <w:tc>
          <w:tcPr>
            <w:tcW w:w="90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Restoration</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 Tax</w:t>
            </w:r>
          </w:p>
        </w:tc>
        <w:tc>
          <w:tcPr>
            <w:tcW w:w="980" w:type="dxa"/>
            <w:vAlign w:val="bottom"/>
            <w:gridSpan w:val="2"/>
            <w:vMerge w:val="continue"/>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00" w:type="dxa"/>
            <w:vAlign w:val="bottom"/>
            <w:vMerge w:val="restart"/>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Savings Plans</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Planning</w:t>
            </w: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600" w:type="dxa"/>
            <w:vAlign w:val="bottom"/>
          </w:tcPr>
          <w:p>
            <w:pPr>
              <w:jc w:val="right"/>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720" w:type="dxa"/>
            <w:vAlign w:val="bottom"/>
          </w:tcPr>
          <w:p>
            <w:pPr>
              <w:jc w:val="right"/>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Murphy</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54,632</w:t>
            </w: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24,449</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79,081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Zodl</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20,300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27,000</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9,287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112,844</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169,881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16,517</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16,517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Life Insurance Premiums</w:t>
      </w:r>
      <w:r>
        <w:rPr>
          <w:rFonts w:ascii="Times New Roman" w:cs="Times New Roman" w:eastAsia="Times New Roman" w:hAnsi="Times New Roman"/>
          <w:sz w:val="18"/>
          <w:szCs w:val="18"/>
          <w:color w:val="auto"/>
        </w:rPr>
        <w:t>. Taxable payments to cover premiums for universal life insurance policies the named executive officers own.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include: (1) Executive Life, which provides universal life insurance policies for the indicated named executive officers totaling up to $3 million in coverage at the time of enrollment and increased 4% annually thereafter; and (2) Leadership Life, which provides universal life insurance policies for the indicated named executive officers with coverage of 2X their annual pay (salary plus most recent bonus). As of January 1, 2018, these plans were closed to new employees and employees who were not already employed at the relevant band level.</w:t>
      </w:r>
    </w:p>
    <w:p>
      <w:pPr>
        <w:spacing w:after="0" w:line="18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Company Contributions to GE Retirement Savings Plans. </w:t>
      </w:r>
      <w:r>
        <w:rPr>
          <w:rFonts w:ascii="Times New Roman" w:cs="Times New Roman" w:eastAsia="Times New Roman" w:hAnsi="Times New Roman"/>
          <w:sz w:val="18"/>
          <w:szCs w:val="18"/>
          <w:color w:val="auto"/>
        </w:rPr>
        <w:t>Represents contributions under the GE Retirement Savings Plan for U.S.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matching contributions equaling up to 4% of eligible pay and automatic contributions equaling 3% of eligible pay, up to the caps imposed under IRS rules.</w:t>
      </w:r>
    </w:p>
    <w:p>
      <w:pPr>
        <w:spacing w:after="0" w:line="17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Company Contributions to GE Restoration Plans. </w:t>
      </w:r>
      <w:r>
        <w:rPr>
          <w:rFonts w:ascii="Times New Roman" w:cs="Times New Roman" w:eastAsia="Times New Roman" w:hAnsi="Times New Roman"/>
          <w:sz w:val="18"/>
          <w:szCs w:val="18"/>
          <w:color w:val="auto"/>
        </w:rPr>
        <w:t>Represents contributions under the GE Restoration Plan for U.S. participants, consisting of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their annual earnings, which include base salary and up to one-half of eligible bonus payments, that exceed the IRS-prescribed limit applicable to tax-qualified plans ($290,000 for 2021). The contributions to Mr. Zodl’s account under the GE Restoration Plan were accrued on December 15, 2021 and credited to his account in January 2022. See “—Nonqualified Deferred Compensation” below for additional information.</w:t>
      </w:r>
    </w:p>
    <w:p>
      <w:pPr>
        <w:spacing w:after="0" w:line="180"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Financial and Tax Planning</w:t>
      </w:r>
      <w:r>
        <w:rPr>
          <w:rFonts w:ascii="Times New Roman" w:cs="Times New Roman" w:eastAsia="Times New Roman" w:hAnsi="Times New Roman"/>
          <w:sz w:val="18"/>
          <w:szCs w:val="18"/>
          <w:color w:val="auto"/>
        </w:rPr>
        <w:t>. Expenses for the use of advisors for financial, estate and tax preparation and planning, and investment analysis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advice.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Relocation Benefits</w:t>
      </w:r>
      <w:r>
        <w:rPr>
          <w:rFonts w:ascii="Times New Roman" w:cs="Times New Roman" w:eastAsia="Times New Roman" w:hAnsi="Times New Roman"/>
          <w:sz w:val="18"/>
          <w:szCs w:val="18"/>
          <w:color w:val="auto"/>
        </w:rPr>
        <w:t>. Expenses for relocating the named executive officers and their families in connection with their hiring from outside GE.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benefits allow us to recruit the best executives from all over the world, regardless of where they are based.</w:t>
      </w:r>
    </w:p>
    <w:p>
      <w:pPr>
        <w:spacing w:after="0" w:line="205"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Total amount of other benefits provided, none of which individually exceeded the greater of $25,000 or 10% of the total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benefits for the named executive (except as otherwise described in this section). These other benefits may include items such as an annual physical examination and work equipment allowances. In addition, GE engages in certain sponsorships and purchases tickets to sporting events in advance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for the purposes of customer entertainment. Occasionally, tickets from sponsorship agreements or unused tickets purchased for customer entertainment are made available for personal use by the named executive officers or other employees. These tickets typically result in no incremental cost to GE. For Mr. Murphy, this amount includes a monthly car allowance, totaling $18,168 in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Grants of Plan-Based Awards Table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shows GE PSUs, RSUs, and stock options granted to our named executive officers in 2021. Each of these awards was approved under GE’s 2007 Long-Term Incentive Plan, a plan approved by GE stockholders. For more information on each of the award types, see the “Compensation Discussion and Analysis” above. Where applicable, the number of securities and option exercise prices reported in this table have been adjusted to reflect the one-for-eight reverse stock split of GE’s shares of common stock effective on July 30, 2021.</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2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7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0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700" w:type="dxa"/>
            <w:vAlign w:val="bottom"/>
          </w:tcPr>
          <w:p>
            <w:pPr>
              <w:jc w:val="right"/>
              <w:ind w:right="17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Murphy</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6"/>
              </w:rPr>
              <w:t>3/1/2021</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PSU</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2,442</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24,422</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42,739</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3/1/2021</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RSU</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10,513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1,102,603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3/1/2021</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Option</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36,266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104.88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36,266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104.88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1,499,998</w:t>
            </w:r>
          </w:p>
        </w:tc>
        <w:tc>
          <w:tcPr>
            <w:tcW w:w="0" w:type="dxa"/>
            <w:vAlign w:val="bottom"/>
          </w:tcPr>
          <w:p>
            <w:pPr>
              <w:spacing w:after="0"/>
              <w:rPr>
                <w:sz w:val="1"/>
                <w:szCs w:val="1"/>
                <w:color w:val="auto"/>
              </w:rPr>
            </w:pPr>
          </w:p>
        </w:tc>
      </w:tr>
      <w:tr>
        <w:trPr>
          <w:trHeight w:val="198"/>
        </w:trPr>
        <w:tc>
          <w:tcPr>
            <w:tcW w:w="2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Zodl</w:t>
            </w:r>
          </w:p>
        </w:tc>
        <w:tc>
          <w:tcPr>
            <w:tcW w:w="220" w:type="dxa"/>
            <w:vAlign w:val="bottom"/>
          </w:tcPr>
          <w:p>
            <w:pPr>
              <w:spacing w:after="0"/>
              <w:rPr>
                <w:sz w:val="17"/>
                <w:szCs w:val="17"/>
                <w:color w:val="auto"/>
              </w:rPr>
            </w:pPr>
          </w:p>
        </w:tc>
        <w:tc>
          <w:tcPr>
            <w:tcW w:w="10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3/1/2021</w:t>
            </w:r>
          </w:p>
        </w:tc>
        <w:tc>
          <w:tcPr>
            <w:tcW w:w="7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6"/>
              </w:rPr>
              <w:t>RSU</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8,411</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882,080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3/1/2021</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PSU</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702</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7,020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12,285</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799,999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4/1/2021</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RSU</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12,320</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1,308,877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6/1/2021</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RSU</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1,409</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159,471</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12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3/1/2021</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RSU</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3/1/2021</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PSU</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8,775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15,356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7/1/2021</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Option</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46,875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107.84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1,875,000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7/1/2021</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RSU</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right="780" w:hanging="424"/>
        <w:spacing w:after="0" w:line="286"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Date Fair Value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the aggregate grant date fair value is the amount that GE expects to expense in its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over the award’s vesting schedule.</w:t>
      </w:r>
    </w:p>
    <w:p>
      <w:pPr>
        <w:spacing w:after="0" w:line="6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options, fair value is calculated using the Black-Scholes value of each option on the grant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RSUs, fair value generally is calculated based on the closing stock price on the date of grant.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PSUs, the actual value of units received will depend on achievement of the performance goals, as described in the “Compensation Discussion and Analysis” above. Fair value is calculated by multiplying the per unit value of the award by the number of units at target. The per unit value is based on the closing stock price on the grant date, adjusted to reflect the impact of the relative TSR modifier using a Monte Carlo simulation.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Outstanding Equity Awards at Fiscal Year-End Table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shows our named executive officers’ GE stock and option grants as of year-end. It includes unexercised stock options (vested and unvested), RSUs, and PSUs for which vesting conditions were not yet satisfied as of December 31, 2021. Where applicable, the number of securities and option exercise prices reported in this table have been adjusted to reflect the one-for-eight reverse stock split of GE’s shares of common stock effective on July 30, 2021.</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1637030" cy="2682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3703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Zodl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Makela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1637030" cy="2057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637030" cy="2057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84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2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 (un-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(RSUs) (#)</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0"/>
                <w:szCs w:val="10"/>
                <w:b w:val="1"/>
                <w:bCs w:val="1"/>
                <w:color w:val="auto"/>
              </w:rPr>
              <w:t>(1)</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(PSUs)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Schedule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55"/>
        </w:trPr>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9/7/12</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13,005</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166.08</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9/7/22</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60" w:type="dxa"/>
            <w:vAlign w:val="bottom"/>
            <w:tcBorders>
              <w:right w:val="single" w:sz="8" w:color="CCEEFF"/>
            </w:tcBorders>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9/13/13</w:t>
            </w:r>
          </w:p>
        </w:tc>
        <w:tc>
          <w:tcPr>
            <w:tcW w:w="94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10,404</w:t>
            </w:r>
          </w:p>
        </w:tc>
        <w:tc>
          <w:tcPr>
            <w:tcW w:w="94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182.88</w:t>
            </w:r>
          </w:p>
        </w:tc>
        <w:tc>
          <w:tcPr>
            <w:tcW w:w="9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5"/>
                <w:szCs w:val="15"/>
                <w:color w:val="auto"/>
              </w:rPr>
              <w:t>9/13/23</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9/5/14</w:t>
            </w:r>
          </w:p>
        </w:tc>
        <w:tc>
          <w:tcPr>
            <w:tcW w:w="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243</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200.72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9/5/24</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9/5/14</w:t>
            </w:r>
          </w:p>
        </w:tc>
        <w:tc>
          <w:tcPr>
            <w:tcW w:w="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12,762</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200.72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9/5/24</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9/11/15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16,256</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191.92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9/11/25</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9/30/16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19,508</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227.76</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9/30/26</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2/10/17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651</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61,500</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6/9/17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6,503</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614,338</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9/6/17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15,607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3,901</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191.68</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9/6/27</w:t>
            </w: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547</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51,675</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1/29/18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65,024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125.20</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1/29/28</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3/19/19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18,486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18,486</w:t>
            </w:r>
          </w:p>
        </w:tc>
        <w:tc>
          <w:tcPr>
            <w:tcW w:w="4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81.52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3/19/29</w:t>
            </w: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4,375</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413,306</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subject to</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3/19/19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5,469</w:t>
            </w:r>
          </w:p>
        </w:tc>
        <w:tc>
          <w:tcPr>
            <w:tcW w:w="8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516,656</w:t>
            </w: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50%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51,090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89.68</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3/2/30</w:t>
            </w: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10,205</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964,066</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and 2023</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2023,</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subject to</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6,899</w:t>
            </w:r>
          </w:p>
        </w:tc>
        <w:tc>
          <w:tcPr>
            <w:tcW w:w="8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651,749</w:t>
            </w: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50% in 2023</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96,451</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9,111,726</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and 2024</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50% in 2023</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3/1/21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36,266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104.88</w:t>
            </w:r>
          </w:p>
        </w:tc>
        <w:tc>
          <w:tcPr>
            <w:tcW w:w="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3/1/31</w:t>
            </w: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10,513</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993,163</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and 2024</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2024,</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subject to</w:t>
            </w:r>
          </w:p>
        </w:tc>
        <w:tc>
          <w:tcPr>
            <w:tcW w:w="0" w:type="dxa"/>
            <w:vAlign w:val="bottom"/>
          </w:tcPr>
          <w:p>
            <w:pPr>
              <w:spacing w:after="0"/>
              <w:rPr>
                <w:sz w:val="1"/>
                <w:szCs w:val="1"/>
                <w:color w:val="auto"/>
              </w:rPr>
            </w:pPr>
          </w:p>
        </w:tc>
      </w:tr>
      <w:tr>
        <w:trPr>
          <w:trHeight w:val="179"/>
        </w:trPr>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42,739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4,037,553</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r>
        <w:trPr>
          <w:trHeight w:val="145"/>
        </w:trPr>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5"/>
                <w:szCs w:val="15"/>
                <w:color w:val="auto"/>
              </w:rPr>
              <w:t>50% in 2023</w:t>
            </w:r>
          </w:p>
        </w:tc>
        <w:tc>
          <w:tcPr>
            <w:tcW w:w="0" w:type="dxa"/>
            <w:vAlign w:val="bottom"/>
          </w:tcPr>
          <w:p>
            <w:pPr>
              <w:spacing w:after="0"/>
              <w:rPr>
                <w:sz w:val="1"/>
                <w:szCs w:val="1"/>
                <w:color w:val="auto"/>
              </w:rPr>
            </w:pPr>
          </w:p>
        </w:tc>
      </w:tr>
      <w:tr>
        <w:trPr>
          <w:trHeight w:val="162"/>
        </w:trPr>
        <w:tc>
          <w:tcPr>
            <w:tcW w:w="74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3/1/21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8,411</w:t>
            </w:r>
          </w:p>
        </w:tc>
        <w:tc>
          <w:tcPr>
            <w:tcW w:w="9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794,587</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and 2024</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2024,</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subject to</w:t>
            </w:r>
          </w:p>
        </w:tc>
        <w:tc>
          <w:tcPr>
            <w:tcW w:w="0" w:type="dxa"/>
            <w:vAlign w:val="bottom"/>
          </w:tcPr>
          <w:p>
            <w:pPr>
              <w:spacing w:after="0"/>
              <w:rPr>
                <w:sz w:val="1"/>
                <w:szCs w:val="1"/>
                <w:color w:val="auto"/>
              </w:rPr>
            </w:pPr>
          </w:p>
        </w:tc>
      </w:tr>
      <w:tr>
        <w:trPr>
          <w:trHeight w:val="162"/>
        </w:trPr>
        <w:tc>
          <w:tcPr>
            <w:tcW w:w="74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3/1/21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12,285</w:t>
            </w:r>
          </w:p>
        </w:tc>
        <w:tc>
          <w:tcPr>
            <w:tcW w:w="8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1,160,564</w:t>
            </w: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50% in 2023</w:t>
            </w:r>
          </w:p>
        </w:tc>
        <w:tc>
          <w:tcPr>
            <w:tcW w:w="0" w:type="dxa"/>
            <w:vAlign w:val="bottom"/>
          </w:tcPr>
          <w:p>
            <w:pPr>
              <w:spacing w:after="0"/>
              <w:rPr>
                <w:sz w:val="1"/>
                <w:szCs w:val="1"/>
                <w:color w:val="auto"/>
              </w:rPr>
            </w:pPr>
          </w:p>
        </w:tc>
      </w:tr>
      <w:tr>
        <w:trPr>
          <w:trHeight w:val="162"/>
        </w:trPr>
        <w:tc>
          <w:tcPr>
            <w:tcW w:w="74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4/1/21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12,320</w:t>
            </w:r>
          </w:p>
        </w:tc>
        <w:tc>
          <w:tcPr>
            <w:tcW w:w="9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1,163,870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and 2024</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50% in 2023</w:t>
            </w:r>
          </w:p>
        </w:tc>
        <w:tc>
          <w:tcPr>
            <w:tcW w:w="0" w:type="dxa"/>
            <w:vAlign w:val="bottom"/>
          </w:tcPr>
          <w:p>
            <w:pPr>
              <w:spacing w:after="0"/>
              <w:rPr>
                <w:sz w:val="1"/>
                <w:szCs w:val="1"/>
                <w:color w:val="auto"/>
              </w:rPr>
            </w:pPr>
          </w:p>
        </w:tc>
      </w:tr>
      <w:tr>
        <w:trPr>
          <w:trHeight w:val="179"/>
        </w:trPr>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6/1/21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1,409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133,108</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and 2024</w:t>
            </w:r>
          </w:p>
        </w:tc>
        <w:tc>
          <w:tcPr>
            <w:tcW w:w="0" w:type="dxa"/>
            <w:vAlign w:val="bottom"/>
          </w:tcPr>
          <w:p>
            <w:pPr>
              <w:spacing w:after="0"/>
              <w:rPr>
                <w:sz w:val="1"/>
                <w:szCs w:val="1"/>
                <w:color w:val="auto"/>
              </w:rPr>
            </w:pPr>
          </w:p>
        </w:tc>
      </w:tr>
      <w:tr>
        <w:trPr>
          <w:trHeight w:val="162"/>
        </w:trPr>
        <w:tc>
          <w:tcPr>
            <w:tcW w:w="74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9/7/12</w:t>
            </w:r>
          </w:p>
        </w:tc>
        <w:tc>
          <w:tcPr>
            <w:tcW w:w="94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521</w:t>
            </w:r>
          </w:p>
        </w:tc>
        <w:tc>
          <w:tcPr>
            <w:tcW w:w="94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166.08</w:t>
            </w:r>
          </w:p>
        </w:tc>
        <w:tc>
          <w:tcPr>
            <w:tcW w:w="9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5"/>
                <w:szCs w:val="15"/>
                <w:color w:val="auto"/>
              </w:rPr>
              <w:t>9/7/22</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60" w:type="dxa"/>
            <w:vAlign w:val="bottom"/>
            <w:tcBorders>
              <w:right w:val="single" w:sz="8" w:color="CCEEFF"/>
            </w:tcBorders>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9/13/13</w:t>
            </w:r>
          </w:p>
        </w:tc>
        <w:tc>
          <w:tcPr>
            <w:tcW w:w="94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1,041</w:t>
            </w:r>
          </w:p>
        </w:tc>
        <w:tc>
          <w:tcPr>
            <w:tcW w:w="94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182.88</w:t>
            </w:r>
          </w:p>
        </w:tc>
        <w:tc>
          <w:tcPr>
            <w:tcW w:w="9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5"/>
                <w:szCs w:val="15"/>
                <w:color w:val="auto"/>
              </w:rPr>
              <w:t>9/13/23</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9/5/14</w:t>
            </w:r>
          </w:p>
        </w:tc>
        <w:tc>
          <w:tcPr>
            <w:tcW w:w="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146</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200.72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9/5/24</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9/5/14</w:t>
            </w:r>
          </w:p>
        </w:tc>
        <w:tc>
          <w:tcPr>
            <w:tcW w:w="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1,649</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200.72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9/5/24</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9/11/15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3,122</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191.92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9/11/25</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9/30/16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5,202</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227.76</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9/30/26</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97"/>
              </w:rPr>
              <w:t>11/17/17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186</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17,571</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97"/>
              </w:rPr>
              <w:t>12/21/18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38,738</w:t>
            </w:r>
          </w:p>
        </w:tc>
        <w:tc>
          <w:tcPr>
            <w:tcW w:w="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57.04</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12/21/28</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3/19/19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4,226</w:t>
            </w: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81.52</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3/19/29</w:t>
            </w: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1,125</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106,279</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subject to</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3/19/19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563</w:t>
            </w:r>
          </w:p>
        </w:tc>
        <w:tc>
          <w:tcPr>
            <w:tcW w:w="8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53,187</w:t>
            </w: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4/11/19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2,859</w:t>
            </w:r>
          </w:p>
        </w:tc>
        <w:tc>
          <w:tcPr>
            <w:tcW w:w="4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72.96</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4/11/29</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50%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4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89.68</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3/2/30</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and 2023</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50% in 2022</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20,265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89.68</w:t>
            </w:r>
          </w:p>
        </w:tc>
        <w:tc>
          <w:tcPr>
            <w:tcW w:w="940" w:type="dxa"/>
            <w:vAlign w:val="bottom"/>
            <w:gridSpan w:val="3"/>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3/2/30</w:t>
            </w: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4,592</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433,806</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and 2023</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100% in 2023,</w:t>
            </w:r>
          </w:p>
        </w:tc>
        <w:tc>
          <w:tcPr>
            <w:tcW w:w="0" w:type="dxa"/>
            <w:vAlign w:val="bottom"/>
          </w:tcPr>
          <w:p>
            <w:pPr>
              <w:spacing w:after="0"/>
              <w:rPr>
                <w:sz w:val="1"/>
                <w:szCs w:val="1"/>
                <w:color w:val="auto"/>
              </w:rPr>
            </w:pPr>
          </w:p>
        </w:tc>
      </w:tr>
      <w:tr>
        <w:trPr>
          <w:trHeight w:val="162"/>
        </w:trPr>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subject to</w:t>
            </w:r>
          </w:p>
        </w:tc>
        <w:tc>
          <w:tcPr>
            <w:tcW w:w="0" w:type="dxa"/>
            <w:vAlign w:val="bottom"/>
          </w:tcPr>
          <w:p>
            <w:pPr>
              <w:spacing w:after="0"/>
              <w:rPr>
                <w:sz w:val="1"/>
                <w:szCs w:val="1"/>
                <w:color w:val="auto"/>
              </w:rPr>
            </w:pPr>
          </w:p>
        </w:tc>
      </w:tr>
      <w:tr>
        <w:trPr>
          <w:trHeight w:val="179"/>
        </w:trPr>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1,149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108,546</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2">
            <w:col w:w="1860" w:space="720"/>
            <w:col w:w="8560"/>
          </w:cols>
          <w:pgMar w:left="320" w:top="455" w:right="43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900" w:type="dxa"/>
            <w:vAlign w:val="bottom"/>
            <w:gridSpan w:val="2"/>
            <w:vMerge w:val="continue"/>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(un-</w:t>
            </w: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48"/>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7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0"/>
                <w:szCs w:val="10"/>
                <w:b w:val="1"/>
                <w:bCs w:val="1"/>
                <w:color w:val="auto"/>
              </w:rPr>
              <w:t>(1)</w:t>
            </w: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(PSUs) (#)</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200" w:type="dxa"/>
            <w:vAlign w:val="bottom"/>
          </w:tcPr>
          <w:p>
            <w:pPr>
              <w:spacing w:after="0"/>
              <w:rPr>
                <w:sz w:val="14"/>
                <w:szCs w:val="14"/>
                <w:color w:val="auto"/>
              </w:rPr>
            </w:pPr>
          </w:p>
        </w:tc>
        <w:tc>
          <w:tcPr>
            <w:tcW w:w="80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Schedule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45"/>
        </w:trPr>
        <w:tc>
          <w:tcPr>
            <w:tcW w:w="360" w:type="dxa"/>
            <w:vAlign w:val="bottom"/>
            <w:tcBorders>
              <w:top w:val="single" w:sz="8" w:color="auto"/>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50% in</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2023 and</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8/3/20</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13,848</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1,308,221</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50% in</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2023 and</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3/1/21</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10,513</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993,163</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100% in</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subject to</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3/1/21</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15,356</w:t>
            </w: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1,450,681</w:t>
            </w: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50% in</w:t>
            </w: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2023 and</w:t>
            </w:r>
          </w:p>
        </w:tc>
        <w:tc>
          <w:tcPr>
            <w:tcW w:w="0" w:type="dxa"/>
            <w:vAlign w:val="bottom"/>
          </w:tcPr>
          <w:p>
            <w:pPr>
              <w:spacing w:after="0"/>
              <w:rPr>
                <w:sz w:val="1"/>
                <w:szCs w:val="1"/>
                <w:color w:val="auto"/>
              </w:rPr>
            </w:pPr>
          </w:p>
        </w:tc>
      </w:tr>
      <w:tr>
        <w:trPr>
          <w:trHeight w:val="179"/>
        </w:trPr>
        <w:tc>
          <w:tcPr>
            <w:tcW w:w="3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7/1/21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46,875</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107.84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7/1/31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5,813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549,154</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ind w:left="540" w:right="140" w:hanging="424"/>
        <w:spacing w:after="0" w:line="256"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Value</w:t>
      </w:r>
      <w:r>
        <w:rPr>
          <w:rFonts w:ascii="Times New Roman" w:cs="Times New Roman" w:eastAsia="Times New Roman" w:hAnsi="Times New Roman"/>
          <w:sz w:val="18"/>
          <w:szCs w:val="18"/>
          <w:color w:val="auto"/>
        </w:rPr>
        <w:t>. The market value of RSUs and PSUs is calculated by multiplying the closing price of GE stock as of December 31, 2021 ($94.47)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last trading day for the year) by the number of shares underlying each award. With respect to the 2019 PSUs (which were cancelled without any payouts) and the 2020 PSUs, this value assumes satisfaction of the threshold-level payout for the awards, and with respect to the 2021 PSUs, this value assumes satisfaction of the maximum-level payout for the awards.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on the anniversary of the grant date in the years shown in the table. See “—Potential Termination Payments” below regarding other vesting events.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on the anniversary of the grant date in the years shown in the table. See “—Potential Termination Payments” below regarding other vesting events.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312" w:lineRule="auto"/>
        <w:tabs>
          <w:tab w:leader="none" w:pos="10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PSUs vest at the beginning of the year indicated when the committee certifies that the performance conditions have been achieved, unless otherwise stated. For further detail on the terms and conditions of the PSU awards, see “—GE Long-Term Incentive Compensation” above.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number of shares our named executive officers acquired during 2021 upon the vesting of RSUs and the exercise of stock options.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6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Stock Awards (PSUs &amp; RSUs)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22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8"/>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60"/>
        </w:trPr>
        <w:tc>
          <w:tcPr>
            <w:tcW w:w="5540" w:type="dxa"/>
            <w:vAlign w:val="bottom"/>
            <w:gridSpan w:val="2"/>
            <w:vMerge w:val="continue"/>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Murphy</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10,774</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1,110,410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Zodl</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15,349</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734,634</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4,511</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amount represents pre-tax value on vesting.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GE offers certain nonqualified deferred compensation programs and arrangements for executives. The description below is for plans in which our named executive officers were eligible for 2021.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 Restoration Plan</w:t>
      </w:r>
    </w:p>
    <w:p>
      <w:pPr>
        <w:spacing w:after="0" w:line="119"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U.S. employees who became U.S. executives on or after January 1, 2021 (including Mr. Zodl) accrue benefits under the GE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instead of under any GE pension plans.</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Benefit Formula. </w:t>
      </w:r>
      <w:r>
        <w:rPr>
          <w:rFonts w:ascii="Times New Roman" w:cs="Times New Roman" w:eastAsia="Times New Roman" w:hAnsi="Times New Roman"/>
          <w:sz w:val="18"/>
          <w:szCs w:val="18"/>
          <w:color w:val="auto"/>
        </w:rPr>
        <w:t>GE Restoration Plan participants are credited with 7% of their annual earnings, which include base salary and up to one-half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bonus payments, that exceed the IRS-prescribed limit applicable to tax-qualified plans ($290,000 for 2021).</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Options and Vesting. </w:t>
      </w:r>
      <w:r>
        <w:rPr>
          <w:rFonts w:ascii="Times New Roman" w:cs="Times New Roman" w:eastAsia="Times New Roman" w:hAnsi="Times New Roman"/>
          <w:sz w:val="18"/>
          <w:szCs w:val="18"/>
          <w:color w:val="auto"/>
        </w:rPr>
        <w:t>The annual credits are notionally invested as elected by the participant in earnings options that mirror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options available under the broad-based tax qualified GE Retirement Savings Plan. Participants may change their election up to 12 times per quarter. GE makes all decisions regarding the earnings options that are offered and the measures for calculating earnings under those options. Earnings are currently credited daily. Participants generally vest in their GE Restoration Plan accounts after three years of service.</w:t>
      </w:r>
    </w:p>
    <w:p>
      <w:pPr>
        <w:spacing w:after="0" w:line="180"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Time and Form of Payment. </w:t>
      </w:r>
      <w:r>
        <w:rPr>
          <w:rFonts w:ascii="Times New Roman" w:cs="Times New Roman" w:eastAsia="Times New Roman" w:hAnsi="Times New Roman"/>
          <w:sz w:val="18"/>
          <w:szCs w:val="18"/>
          <w:color w:val="auto"/>
        </w:rPr>
        <w:t>Vested amounts under the GE Restoration Plan are paid in a lump sum, generally in July of the year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of the participant’s separation from service.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Table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table below shows amounts credited to the named executive officers’ accounts under the GE Restoration Plan and corresponding plan balances as of December 31, 2021. The named executive officers did not participate in any other GE nonqualified deferred compensation programs or arrangements in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8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150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Earnings in</w:t>
            </w:r>
          </w:p>
        </w:tc>
        <w:tc>
          <w:tcPr>
            <w:tcW w:w="14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00" w:type="dxa"/>
            <w:vAlign w:val="bottom"/>
            <w:vMerge w:val="restart"/>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w:t>
            </w:r>
          </w:p>
        </w:tc>
        <w:tc>
          <w:tcPr>
            <w:tcW w:w="150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w:t>
            </w:r>
          </w:p>
        </w:tc>
        <w:tc>
          <w:tcPr>
            <w:tcW w:w="13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Last Fiscal</w:t>
            </w:r>
          </w:p>
        </w:tc>
        <w:tc>
          <w:tcPr>
            <w:tcW w:w="148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Last Fiscal</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148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Year ($)</w:t>
            </w:r>
          </w:p>
        </w:tc>
        <w:tc>
          <w:tcPr>
            <w:tcW w:w="150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Year ($)</w:t>
            </w:r>
            <w:r>
              <w:rPr>
                <w:rFonts w:ascii="Times New Roman" w:cs="Times New Roman" w:eastAsia="Times New Roman" w:hAnsi="Times New Roman"/>
                <w:sz w:val="10"/>
                <w:szCs w:val="10"/>
                <w:b w:val="1"/>
                <w:bCs w:val="1"/>
                <w:color w:val="auto"/>
              </w:rPr>
              <w:t>(1)</w:t>
            </w:r>
          </w:p>
        </w:tc>
        <w:tc>
          <w:tcPr>
            <w:tcW w:w="136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Year ($)</w:t>
            </w:r>
          </w:p>
        </w:tc>
        <w:tc>
          <w:tcPr>
            <w:tcW w:w="840" w:type="dxa"/>
            <w:vAlign w:val="bottom"/>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84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 xml:space="preserve">Year End </w:t>
            </w: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Murphy</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Zodl</w:t>
            </w: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27,000</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14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80" w:hanging="424"/>
        <w:spacing w:after="0" w:line="282"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Zodl’s registrant contributions under the GE Restoration Plan were accrued on December 15, 2021 and credited to his plan balance in January 2022. Such amounts are reported as compensation in the Summary Compensation Table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eligible UK-based named executive officers are eligible for the U.K. Pension Plan on the same terms as other UK-based eligible employees.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U.K. GE Pension Plan</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U.K. GE Pension Plan is a broad-based, tax registered, and qualified pension program for U.K.-based employees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closed to new participants since 2011. Those employees of GE who are eligible to participate in the plan vest after two years of pensionable service. The plan requires employee contributions (which are refunded if pensionable service does not meet vesting requirements). Effective January 1, 2021, participants stopped accruing benefits and making contributions under this plan (subject to certain statutorily required increases) and became eligible for a core annual employer contribution under the GE Pension Saver defined contribution plan equaling 10-25% of base salary, plus two years of transition credits equaling 2% of base salary (each up to statutory caps).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Benefit Formula. </w:t>
      </w:r>
      <w:r>
        <w:rPr>
          <w:rFonts w:ascii="Times New Roman" w:cs="Times New Roman" w:eastAsia="Times New Roman" w:hAnsi="Times New Roman"/>
          <w:sz w:val="18"/>
          <w:szCs w:val="18"/>
          <w:color w:val="auto"/>
        </w:rPr>
        <w:t>The U.K. GE Pension Plan offers two accrual rates (1/60ths and 1/80ths) applied to final pensionable pay, which is defined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 average of the highest three complete years’ base salary only, less an initial offset in respect of salary subject to social security retirement benefits, and capped at a plan earnings cap. Both indices are updated and released by His Majesty’s Revenue and Customs (“HMRC”) each new tax year. Credit is awarded on this formula for every whole month earned under the plan as pensionable service. The accrual is monitored for tax purposes on an annual basis and an annual allowance is set according to earnings. Tax relief on the pension accrual is provided only up to an individual limit falling between £4,000 and £40,000.</w:t>
      </w:r>
    </w:p>
    <w:p>
      <w:pPr>
        <w:spacing w:after="0" w:line="18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Pension contributions in excess of this individual limit result in tax at applicable individual rates. All GE employees who were in the executive band and above and members of the U.K. GE Pension Plan when it was closed to new entrants, including Mr. Murphy, are entitled to accrue additional benefits on a special defined contribution basis. Under these additional benefit provisions, Mr. Murphy is entitled to an annual GE cash contribution of 25% of eligible earnings each year.</w:t>
      </w:r>
    </w:p>
    <w:p>
      <w:pPr>
        <w:spacing w:after="0" w:line="17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Time and Form of Payment. </w:t>
      </w:r>
      <w:r>
        <w:rPr>
          <w:rFonts w:ascii="Times New Roman" w:cs="Times New Roman" w:eastAsia="Times New Roman" w:hAnsi="Times New Roman"/>
          <w:sz w:val="18"/>
          <w:szCs w:val="18"/>
          <w:color w:val="auto"/>
        </w:rPr>
        <w:t>The U.K. GE Pension Plan pays out the accumulated benefit after retirement on a monthly basis for life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minimum benefit of five years. The normal retirement age under the plan is 65; however, certain employees with special benefits may, in accordance with a long-standing discretionary practice, retire at age 60 without any reduction in benefits. Mr. Murphy is not eligible for such unreduced early retirement under this plan. In addition, the plan provides for social security supplements and a spousal annuity.</w:t>
      </w:r>
    </w:p>
    <w:p>
      <w:pPr>
        <w:spacing w:after="0" w:line="180" w:lineRule="exact"/>
        <w:rPr>
          <w:sz w:val="20"/>
          <w:szCs w:val="20"/>
          <w:color w:val="auto"/>
        </w:rPr>
      </w:pPr>
    </w:p>
    <w:p>
      <w:pPr>
        <w:ind w:left="120" w:right="24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Tax Code Limitations on Benefits. </w:t>
      </w:r>
      <w:r>
        <w:rPr>
          <w:rFonts w:ascii="Times New Roman" w:cs="Times New Roman" w:eastAsia="Times New Roman" w:hAnsi="Times New Roman"/>
          <w:sz w:val="17"/>
          <w:szCs w:val="17"/>
          <w:color w:val="auto"/>
        </w:rPr>
        <w:t>Benefits from the U.K. GE Pension Plan are subject to the Lifetime Allowance, which measures individual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pension accruals/contributions against an overall limit that is updated and released by HMRC each new tax year. For 2021, this limit was £1,073,100.</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 Table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table below shows the present value of the accumulated benefit as of December 31, 2021 for the named executive officers under the U.K. GE Pension Plan, as calculated based upon the assumptions described below. Although SEC rules require us to show this present value, the named executive officers are not entitled to receive these amounts in a lump sum. None of the named executive officers received a payment under the U.K. GE Pension Plan in 2021.</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Payment During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Years Credited</w:t>
            </w: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Last Fiscal Year</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820" w:type="dxa"/>
            <w:vAlign w:val="bottom"/>
            <w:gridSpan w:val="2"/>
          </w:tcPr>
          <w:p>
            <w:pPr>
              <w:jc w:val="center"/>
              <w:ind w:left="1782"/>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60" w:type="dxa"/>
            <w:vAlign w:val="bottom"/>
            <w:gridSpan w:val="2"/>
          </w:tcPr>
          <w:p>
            <w:pPr>
              <w:jc w:val="center"/>
              <w:ind w:left="762"/>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right"/>
              <w:ind w:right="35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Murphy</w:t>
            </w:r>
            <w:r>
              <w:rPr>
                <w:rFonts w:ascii="Times New Roman" w:cs="Times New Roman" w:eastAsia="Times New Roman" w:hAnsi="Times New Roman"/>
                <w:sz w:val="23"/>
                <w:szCs w:val="23"/>
                <w:color w:val="auto"/>
                <w:vertAlign w:val="superscript"/>
              </w:rPr>
              <w:t>(1)</w:t>
            </w:r>
          </w:p>
        </w:tc>
        <w:tc>
          <w:tcPr>
            <w:tcW w:w="1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1,869,287</w:t>
            </w:r>
          </w:p>
        </w:tc>
        <w:tc>
          <w:tcPr>
            <w:tcW w:w="8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Zodl</w:t>
            </w:r>
          </w:p>
        </w:tc>
        <w:tc>
          <w:tcPr>
            <w:tcW w:w="1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2,638,860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1"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2021, Mr. Murphy and GE entered into a separation agreement pursuant to which Mr. Murphy will remain employed for a period of garden leave, from January 1, 2022 until September 30, 2023, during which time he will not receive pension contributions. Upon his departure, Mr. Murphy remains vested in his accrued benefit under the U.K. Pension Plan, with payments to begin in accordance with the terms of the plan.</w:t>
      </w:r>
    </w:p>
    <w:p>
      <w:pPr>
        <w:spacing w:after="0" w:line="17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Present Value of Accumulated Benefit. </w:t>
      </w:r>
      <w:r>
        <w:rPr>
          <w:rFonts w:ascii="Times New Roman" w:cs="Times New Roman" w:eastAsia="Times New Roman" w:hAnsi="Times New Roman"/>
          <w:sz w:val="18"/>
          <w:szCs w:val="18"/>
          <w:color w:val="auto"/>
        </w:rPr>
        <w:t>The accumulated benefit is based on years of service and earnings (base salary and bonus) considered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U.K. GE Pension Plan for the period through December 31, 2021. It also includes the value of contributions made by the named executive officers throughout their careers. For purposes of calculating the present value, we assume that the named executive officers will remain in service until the age at which they may retire without any reduction in benefits. For Mr. Murphy and Mr. Makela this is age 65. We also assume that benefits are payable under the available forms of annuity. The assumptions for</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U.K. beneficiaries are a discount rate of 1.76% and a postretirement mortality assumption based upon the SAPS S2 Normal tables with future generational improvements in line with the CMI 2017 projection model (with a 1.5% improvement trend) at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Termination Payments</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In this section, we describe and quantify certain compensation that would have been payable under existing compensation plans and arrangements had one of our named executive officer’s employment terminated on December 31, 2021. For this hypothetical calculation, we have used each executive’s compensation and service levels as of this date (and, where applicable, GE’s closing stock price on December 31, 2021). Because many factors (e.g., the time of year when the event occurs, GE’s stock price, and the executive’s age) could affect the nature and amount of benefits a named executive could potentially receive, any amounts paid or distributed upon a future termination may be different from those shown in the tables below. The amounts shown are in addition to benefits generally available to salaried employees, such as distributions under the GE Retirement Savings Plan.</w:t>
      </w:r>
    </w:p>
    <w:p>
      <w:pPr>
        <w:spacing w:after="0" w:line="17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Prior to January 1, 2022, Mr. Murphy was party to an employment agreement, which is typical of our practice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at his seniority in the U.K., but it did not entitle him to any particular benefits upon termination or a change of control. Mr. Murphy entered into a separation agreement and release with GE, dated December 21, 2021, in connection with the previously reported GE HealthCare leadership transition.</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with Mr. Murphy. </w:t>
      </w:r>
      <w:r>
        <w:rPr>
          <w:rFonts w:ascii="Times New Roman" w:cs="Times New Roman" w:eastAsia="Times New Roman" w:hAnsi="Times New Roman"/>
          <w:sz w:val="18"/>
          <w:szCs w:val="18"/>
          <w:color w:val="auto"/>
        </w:rPr>
        <w:t>In connection with the previously reported GE HealthCare leadership transition, Mr. Murphy no longer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President and Chief Executive Officer of GE HealthCare after December 31, 2021. On December 21, 2021, GE and Mr. Murphy entered into a separation agreement pursuant to which Mr. Murphy will remain employed for a period of garden leave, which is typical for senior U.K.-based employees. During this period, Mr. Murphy will remain available for advisory services or other work as required, and he will receive his regular salary, an annual bonus for the 2021 plan year based on the performance of GE HealthCare, continued vesting in outstanding equity awards, and health and life insurance benefits. He will not receive pension contributions, future bonuses, or equity awards. Under the separation agreement, Mr. Murphy also granted a release in favor of GE and agreed to certain cooperation, confidential information, non-competition, and non-solicitation covenants.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 Executive Severance Plan. </w:t>
      </w:r>
      <w:r>
        <w:rPr>
          <w:rFonts w:ascii="Times New Roman" w:cs="Times New Roman" w:eastAsia="Times New Roman" w:hAnsi="Times New Roman"/>
          <w:sz w:val="18"/>
          <w:szCs w:val="18"/>
          <w:color w:val="auto"/>
        </w:rPr>
        <w:t>In order to standardize the severance payments available to U.S. executives who are not otherwise subject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providing a different amount, we adopted the GE U.S. Executive Severance Plan effective January 1, 2021. Eligible executives who experience an employer-initiated termination of employment that is not for “cause,” and who are not offered a “suitable position,” receive between 6 to 18 months of base salary (based on their career band), which is paid in a lump sum. Outplacement services are also provided for the same period. To receive a benefit under the plan, the executive must enter into a separation agreement and release in a form acceptable to GE, which may also include cooperation, confidential information, non-disparagement, non-competition, non-solicitation, and other covenants. With respect to our named executive officers, Mr. Zodl is eligible to participate under the plan at the 12-month severance level. As a result, if he had been terminated on December 31, 2021, the amount payable as severance under the plan would have been $750,000 as a lump sum cash payment, plus outplacement services.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executive severance plan, the following terms have the meanings set forth below:</w:t>
      </w:r>
    </w:p>
    <w:p>
      <w:pPr>
        <w:spacing w:after="0" w:line="131" w:lineRule="exact"/>
        <w:rPr>
          <w:sz w:val="20"/>
          <w:szCs w:val="20"/>
          <w:color w:val="auto"/>
        </w:rPr>
      </w:pPr>
    </w:p>
    <w:p>
      <w:pPr>
        <w:ind w:left="1080" w:hanging="424"/>
        <w:spacing w:after="0" w:line="261"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means: (i) breach of any confidentiality, non-solicitation, non-competition, or other material provision of an agreement with the company, (ii) conduct that has the potential to cause material harm to the company, (iii) an act of dishonesty, fraud, embezzlement, or theft, (iv) conviction of, or plea of guilty or no contest to, a felony or crime involving moral turpitude, or (v) failure to comply with the company’s policies and procedures.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80" w:hanging="424"/>
        <w:spacing w:after="0" w:line="266"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“Suitable position” generally means a position providing at least 80% of the executive’s base salary and annual incentive award opportunity. If the position is with the company, rather than a successor employer in a business disposition or other third party in an outsourcing arrangement, the position must also be within 50 miles of the executive’s job location and in the same career band.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shows the intrinsic value of equity awards that would have vested or become exercisable if the named executive’s employment had been terminated for the specified reason as of December 31, 2021. Intrinsic value is based upon GE’s stock price on December 31, 2021 (minus the exercise price in the case of stock options). Amounts shown assume the achievement of all applicable performance objectives at the target level. Our named executive officers generally are not entitled to benefits if they leave voluntarily or are terminated for cause (other than benefits already accrued) unless they satisfy the conditions for retirement eligibility.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Potential Termination Payments Table (Equity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1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1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00" w:type="dxa"/>
            <w:vAlign w:val="bottom"/>
            <w:vMerge w:val="restart"/>
          </w:tcPr>
          <w:p>
            <w:pPr>
              <w:spacing w:after="0"/>
              <w:rPr>
                <w:sz w:val="10"/>
                <w:szCs w:val="10"/>
                <w:color w:val="auto"/>
              </w:rPr>
            </w:pPr>
          </w:p>
        </w:tc>
        <w:tc>
          <w:tcPr>
            <w:tcW w:w="74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RSUs /</w:t>
            </w:r>
          </w:p>
        </w:tc>
        <w:tc>
          <w:tcPr>
            <w:tcW w:w="26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RSUs /</w:t>
            </w:r>
          </w:p>
        </w:tc>
        <w:tc>
          <w:tcPr>
            <w:tcW w:w="26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Stock</w:t>
            </w: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RSUs /</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74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Options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PSUs ($)</w:t>
            </w:r>
          </w:p>
        </w:tc>
        <w:tc>
          <w:tcPr>
            <w:tcW w:w="10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Options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PSUs ($)</w:t>
            </w:r>
          </w:p>
        </w:tc>
        <w:tc>
          <w:tcPr>
            <w:tcW w:w="10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Options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Murphy</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484,115</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19,190,352</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484,115</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18,514,514</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0"/>
              </w:rPr>
              <w:t>N/A</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Zodl</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2,754,745</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2,754,745</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214,107</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4,884,005</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152,610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4,884,005</w:t>
            </w: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Death/Disability</w:t>
      </w:r>
      <w:r>
        <w:rPr>
          <w:rFonts w:ascii="Times New Roman" w:cs="Times New Roman" w:eastAsia="Times New Roman" w:hAnsi="Times New Roman"/>
          <w:sz w:val="18"/>
          <w:szCs w:val="18"/>
          <w:color w:val="auto"/>
        </w:rPr>
        <w:t>. Unvested options, RSUs and PSUs would generally vest, depending on the award terms. Vested options would generally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until their expiration date, and PSUs would remain subject to the achievement of the performance objectives. In the case of disability, the award must generally have been held for at least one year in order to be vested. For these purposes, “disability” generally means the executive being unable to perform his or her job.</w:t>
      </w:r>
    </w:p>
    <w:p>
      <w:pPr>
        <w:spacing w:after="0" w:line="180"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Unvested options, RSUs, and PSUs held for at least one year would generally vest, depending on the award terms. Vested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generally remain exercisable until their expiration date, and PSUs would remain subject to the achievement of the performance objectives. For these purposes, “retirement” generally means reaching the applicable retirement age, typically age 60, and completing five years of service.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Pension Benefits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“Pension Benefits” above describes the general terms of each pension plan in which our named executive officers participate The table below shows the pension benefits that would have become payable if the named executive officers had died, become disabled, voluntarily terminated, or retired as of December 31, 2021.</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Potential Termination Payments Table (Pension Benefits)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Lump Sum</w:t>
            </w:r>
          </w:p>
        </w:tc>
        <w:tc>
          <w:tcPr>
            <w:tcW w:w="120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rPr>
              <w:t xml:space="preserve"> Upon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Voluntary</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rPr>
              <w:t xml:space="preserve"> Upon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00" w:type="dxa"/>
            <w:vAlign w:val="bottom"/>
            <w:vMerge w:val="restart"/>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Upon Death</w:t>
            </w: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Upon Death</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rPr>
              <w:t xml:space="preserve"> Upon</w:t>
            </w: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132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Disability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Murphy</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31,554</w:t>
            </w: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49,121</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96,546</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48,240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Zodl</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31,554</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73,230</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142,150</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90,929</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80" w:right="3660" w:hanging="5364"/>
        <w:spacing w:after="0" w:line="334" w:lineRule="auto"/>
        <w:tabs>
          <w:tab w:leader="none" w:pos="323" w:val="left"/>
        </w:tabs>
        <w:numPr>
          <w:ilvl w:val="0"/>
          <w:numId w:val="1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Annual amounts for Mr. Murphy are annuity payments applicable under the U.K. GE Pension Plan. 193</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Lump Sum Upon Death. </w:t>
      </w:r>
      <w:r>
        <w:rPr>
          <w:rFonts w:ascii="Times New Roman" w:cs="Times New Roman" w:eastAsia="Times New Roman" w:hAnsi="Times New Roman"/>
          <w:sz w:val="18"/>
          <w:szCs w:val="18"/>
          <w:color w:val="auto"/>
        </w:rPr>
        <w:t>For Mr. Murphy and Mr. Makela, the lump sum represents the return of contributions and interest under the U.K. 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Pension Plan.</w:t>
      </w:r>
    </w:p>
    <w:p>
      <w:pPr>
        <w:spacing w:after="0" w:line="158"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 Benefit Upon Death. </w:t>
      </w:r>
      <w:r>
        <w:rPr>
          <w:rFonts w:ascii="Times New Roman" w:cs="Times New Roman" w:eastAsia="Times New Roman" w:hAnsi="Times New Roman"/>
          <w:sz w:val="18"/>
          <w:szCs w:val="18"/>
          <w:color w:val="auto"/>
        </w:rPr>
        <w:t>For Mr. Murphy and Mr. Makela, the annual amount is payable for the life of the surviving spouse. In each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commence after death.</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Annual Benefit Upon Disability. </w:t>
      </w:r>
      <w:r>
        <w:rPr>
          <w:rFonts w:ascii="Times New Roman" w:cs="Times New Roman" w:eastAsia="Times New Roman" w:hAnsi="Times New Roman"/>
          <w:sz w:val="18"/>
          <w:szCs w:val="18"/>
          <w:color w:val="auto"/>
        </w:rPr>
        <w:t>For Mr. Murphy and Mr. Makela, the amount is payable as a 50% joint and survivor annuity.</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 Benefit Upon Voluntary Termination. </w:t>
      </w:r>
      <w:r>
        <w:rPr>
          <w:rFonts w:ascii="Times New Roman" w:cs="Times New Roman" w:eastAsia="Times New Roman" w:hAnsi="Times New Roman"/>
          <w:sz w:val="18"/>
          <w:szCs w:val="18"/>
          <w:color w:val="auto"/>
        </w:rPr>
        <w:t>Because he is retirement-eligible, the benefits for Mr. Murphy are shown under Annual Benefit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For Mr. Makela, the amount is payable at age 65 as a 50% joint and survivor annuity.</w:t>
      </w:r>
    </w:p>
    <w:p>
      <w:pPr>
        <w:spacing w:after="0" w:line="158"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 Benefit Upon Retirement. </w:t>
      </w:r>
      <w:r>
        <w:rPr>
          <w:rFonts w:ascii="Times New Roman" w:cs="Times New Roman" w:eastAsia="Times New Roman" w:hAnsi="Times New Roman"/>
          <w:sz w:val="18"/>
          <w:szCs w:val="18"/>
          <w:color w:val="auto"/>
        </w:rPr>
        <w:t>Represents partial pension eligibility for Mr. Murphy, with the amount payable as a 50% joint and survivor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annuity. Mr. Makela is not yet eligible to retire.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named executive officers are entitled to receive the amount in their nonqualified deferred compensation accounts, if vested, upon their separation from service. Between the termination event and the date that distributions are made, these accounts would continue to increase or decrease in value based on changes in the value of the named executive’s earnings option. Therefore, amounts received by the named executive officers would differ from those shown in the “Nonqualified Deferred Compensation Table” above. See “—Nonqualified Deferred Compensation” above for further information.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Life Insurance Benefits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a description of the supplemental life insurance plans that provide coverage to the named executive officers, see “Life Insurance Premiums” above. Other NEOs do not qualify for these supplemental life insurance plans, as they were discontinued for executives joining GE (or being promoted to the relevant band of seniority) on or after January 1, 2018. If the named executive officers had died on December 31, 2021, the survivors of the named executive officers would have received the following under these arrangements.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0" w:type="dxa"/>
            <w:vAlign w:val="bottom"/>
          </w:tcPr>
          <w:p>
            <w:pPr>
              <w:spacing w:after="0"/>
              <w:rPr>
                <w:sz w:val="1"/>
                <w:szCs w:val="1"/>
                <w:color w:val="auto"/>
              </w:rPr>
            </w:pPr>
          </w:p>
        </w:tc>
      </w:tr>
      <w:tr>
        <w:trPr>
          <w:trHeight w:val="160"/>
        </w:trPr>
        <w:tc>
          <w:tcPr>
            <w:tcW w:w="6440" w:type="dxa"/>
            <w:vAlign w:val="bottom"/>
            <w:gridSpan w:val="2"/>
            <w:vMerge w:val="continue"/>
          </w:tcPr>
          <w:p>
            <w:pPr>
              <w:spacing w:after="0"/>
              <w:rPr>
                <w:sz w:val="13"/>
                <w:szCs w:val="13"/>
                <w:color w:val="auto"/>
              </w:rPr>
            </w:pPr>
          </w:p>
        </w:tc>
        <w:tc>
          <w:tcPr>
            <w:tcW w:w="980" w:type="dxa"/>
            <w:vAlign w:val="bottom"/>
          </w:tcPr>
          <w:p>
            <w:pPr>
              <w:jc w:val="right"/>
              <w:ind w:right="33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Murphy</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3,763,080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Zodl</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Makela</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GE would continue to pay the premiums in the event of a disability for Executive Life, until the later of age 60 or 15 years in the plan, and under Leadership Life, until the later of age 65 or 10 years in the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GE beneficially owns all of the outstanding shares of our common stock. After the Spin-Off, GE will continue to own 19.9% of the shares of our common stock. The following table provides information regarding the anticipated beneficial ownership of our common stock at the time of the Spin-Off by:</w:t>
      </w:r>
    </w:p>
    <w:p>
      <w:pPr>
        <w:spacing w:after="0" w:line="81"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stockholders whom we believe (based on the assumptions described below) will beneficially own more than 5% of our outstanding common stock.</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noted below, we based the share amounts on each person’s beneficial ownership of GE common stock on December 16, 2022, giving effect to a Spin-Off ratio of one share of our common stock for every three shares of GE common stock. We also assume that GE will retain up to 19.9% of our common stock.</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noted in the footnotes below, each person or entity identified in the table has sole voting and investment power with respect to the securities beneficially owned.</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we estimate that approximately 454,710,004 shares of our common stock will be issued and outstanding, based on the approximately 1,092,668,140 shares of GE common stock outstanding on September 30, 2022 and the number of shares retained by GE. The actual number of shares of our common stock that will be outstanding following the completion of the Spin-Off will be determined on January 3, 2023.</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24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 of Class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2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Peter J. Arduini</w:t>
            </w:r>
          </w:p>
        </w:tc>
        <w:tc>
          <w:tcPr>
            <w:tcW w:w="140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Helmut Zodl</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Kieran P. Murphy</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79,997</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Makela</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 Lawrence Culp, Jr.</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645,368</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Rodney F. Hochman</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Lloyd W. Howell, Jr.</w:t>
            </w:r>
          </w:p>
        </w:tc>
        <w:tc>
          <w:tcPr>
            <w:tcW w:w="140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Catherine Lesjak</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Anne T. Madden</w:t>
            </w:r>
          </w:p>
        </w:tc>
        <w:tc>
          <w:tcPr>
            <w:tcW w:w="140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Tomislav Mihaljevic</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Risa Lavizzo-Mourey</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Stromberg</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Phoebe L. Yang</w:t>
            </w:r>
          </w:p>
        </w:tc>
        <w:tc>
          <w:tcPr>
            <w:tcW w:w="14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9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726,396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General Electric Company</w:t>
            </w:r>
            <w:r>
              <w:rPr>
                <w:rFonts w:ascii="Times New Roman" w:cs="Times New Roman" w:eastAsia="Times New Roman" w:hAnsi="Times New Roman"/>
                <w:sz w:val="25"/>
                <w:szCs w:val="25"/>
                <w:color w:val="auto"/>
                <w:vertAlign w:val="superscript"/>
              </w:rPr>
              <w:t>(1)</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 Necco Street Boston, MA 02210</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90,487,291</w:t>
            </w:r>
          </w:p>
        </w:tc>
        <w:tc>
          <w:tcPr>
            <w:tcW w:w="2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 Rowe Price Associates, Inc.</w:t>
            </w:r>
            <w:r>
              <w:rPr>
                <w:rFonts w:ascii="Times New Roman" w:cs="Times New Roman" w:eastAsia="Times New Roman" w:hAnsi="Times New Roman"/>
                <w:sz w:val="25"/>
                <w:szCs w:val="25"/>
                <w:color w:val="auto"/>
                <w:vertAlign w:val="superscript"/>
              </w:rPr>
              <w:t>(2)</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 East Pratt Street Baltimore, MD 21202</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18,303,315</w:t>
            </w:r>
          </w:p>
        </w:tc>
        <w:tc>
          <w:tcPr>
            <w:tcW w:w="2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5"/>
                <w:szCs w:val="25"/>
                <w:color w:val="auto"/>
                <w:vertAlign w:val="superscript"/>
              </w:rPr>
              <w:t>(3)</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 Vanguard Blvd. Malvern, PA 19355</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27,130,848</w:t>
            </w:r>
          </w:p>
        </w:tc>
        <w:tc>
          <w:tcPr>
            <w:tcW w:w="2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195</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24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 of Class</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2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2"/>
                <w:szCs w:val="22"/>
                <w:color w:val="auto"/>
                <w:vertAlign w:val="superscript"/>
              </w:rPr>
              <w:t>(4)</w:t>
            </w:r>
          </w:p>
        </w:tc>
        <w:tc>
          <w:tcPr>
            <w:tcW w:w="10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 East 52nd Street New York, NY 10055</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22,508,277</w:t>
            </w:r>
          </w:p>
        </w:tc>
        <w:tc>
          <w:tcPr>
            <w:tcW w:w="2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(5)</w:t>
            </w: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245 Summer Street Boston, MA 02210</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20,947,405</w:t>
            </w:r>
          </w:p>
        </w:tc>
        <w:tc>
          <w:tcPr>
            <w:tcW w:w="2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0"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Less than 1%.</w:t>
      </w:r>
    </w:p>
    <w:p>
      <w:pPr>
        <w:spacing w:after="0" w:line="2" w:lineRule="exact"/>
        <w:rPr>
          <w:sz w:val="20"/>
          <w:szCs w:val="20"/>
          <w:color w:val="auto"/>
        </w:rPr>
      </w:pPr>
    </w:p>
    <w:p>
      <w:pPr>
        <w:ind w:left="540" w:hanging="424"/>
        <w:spacing w:after="0" w:line="249"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General Electric Company is 5 Necco Street, Boston, Massachusetts 02210. The address for all other persons is c/o GE Healthcare Holding LLC, 500 West Monroe Street, Chicago, Illinois 60661.</w:t>
      </w:r>
    </w:p>
    <w:p>
      <w:pPr>
        <w:ind w:left="540" w:right="8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with the SEC on August 10, 2022 by T. Rowe Price Associates, Inc. (“T. Rowe”) with respect to GE common stock. T. Rowe reported that it had sole voting power over 27,796,226 shares of GE common stock and sole dispositive power over 55,410,012 shares of GE common stock.</w:t>
      </w:r>
    </w:p>
    <w:p>
      <w:pPr>
        <w:spacing w:after="0" w:line="1" w:lineRule="exact"/>
        <w:rPr>
          <w:rFonts w:ascii="Times New Roman" w:cs="Times New Roman" w:eastAsia="Times New Roman" w:hAnsi="Times New Roman"/>
          <w:sz w:val="18"/>
          <w:szCs w:val="18"/>
          <w:color w:val="auto"/>
        </w:rPr>
      </w:pPr>
    </w:p>
    <w:p>
      <w:pPr>
        <w:jc w:val="both"/>
        <w:ind w:left="540" w:right="12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with the SEC on February 9, 2022 by The Vanguard Group (“Vanguard”) with respect to GE common stock. Vanguard reported that it had shared voting power over 1,677,190 shares of GE common stock, sole dispositive power over 77,917,990 shares of GE common stock and shared dispositive power over 4,296,700 shares of GE common stock.</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with the SEC on February 1, 2022 by BlackRock, Inc. and certain subsidiaries (“BlackRock”) with respect to GE common stock. BlackRock reported that it had sole voting power over 59,597,738 shares of GE common stock and sole dispositive power over 68,206,900 shares of GE common stock.</w:t>
      </w:r>
    </w:p>
    <w:p>
      <w:pPr>
        <w:spacing w:after="0" w:line="1" w:lineRule="exact"/>
        <w:rPr>
          <w:rFonts w:ascii="Times New Roman" w:cs="Times New Roman" w:eastAsia="Times New Roman" w:hAnsi="Times New Roman"/>
          <w:sz w:val="18"/>
          <w:szCs w:val="18"/>
          <w:color w:val="auto"/>
        </w:rPr>
      </w:pPr>
    </w:p>
    <w:p>
      <w:pPr>
        <w:jc w:val="both"/>
        <w:ind w:left="540" w:right="440" w:hanging="424"/>
        <w:spacing w:after="0" w:line="255"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with the SEC on February 9, 2022 by FMR LLC (“Fidelity”) with respect to GE common stock. Fidelity reported that it had sole voting power over 6,178,216 shares of GE common stock and sole dispositive power over 63,476,985 shares of GE common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GE</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order to govern the ongoing relationships between us and GE after the Spin-Off and to facilitate an orderly transition, we and GE entered into the Separation and Distribution Agreement on November 7, 2022 and intend to enter into other agreements providing for various services and rights following the Spin-Off, and under which we and GE will agree to indemnify each other against certain liabilities arising from our respective businesses. The following summarizes the terms of the Separation and Distribution Agreement and the other material agreements we expect to enter into with GE.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Separation and Distribution Agreement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November 7, 2022, we entered into a Separation and Distribution Agreement with GE. The Separation and Distribution Agreement sets forth our agreements with GE regarding the principal actions to be taken in connection with the Spin-Off. It also sets forth other agreements that govern aspects of our relationship with GE following the Spin-Off.</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of Assets and Assumption of Liabilities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Separation and Distribution Agreement identifies certain transfers of assets and assumptions of liabilities that are necessary in advance of our separation from GE so that we and GE retain the assets of, and the liabilities associated with, our respective businesses. The Separation and Distribution Agreement generally provides that the assets comprising our business will consist of those exclusively related to our current or former business and operations (except for intellectual property and real property assets, which are allocated as further described in “—Agreements Governing Intellectual Property” and “—Real Estate Matters Agreement,” respectively) or otherwise allocated to the business through a process of dividing shared assets. The liabilities we will assume in connection with the Spin-Off will generally consist of those related to the assets comprising our business or to the past and future operations of our business, including our locations used in our current operations. The Separation and Distribution Agreement also provides for the settlement or extinguishment of certain liabilities and other obligations between us and GE.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Reorganization Transactions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Separation and Distribution Agreement describes certain actions related to our separation from GE that will occur prior to the Spin-Off, or in limited instances, following the Spin-Off, including the contribution by GE to us of the assets and liabilities that comprise our business.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Subsequent Separation Transaction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Separation and Distribution Agreement provides that, in connection with GE’s announced intention to effect, following the Distribution, separation transactions involving certain other businesses of GE (collectively, a “Subsequent Separation Transaction”), which is currently contemplated to be effected as a spin-off of GE’s renewable energy, power and digital businesses, GE will be entitled to allocate and assign to the transferee(s) in any such Subsequent Separation Transaction GE’s and GE’s subsidiaries’ rights, interests and obligations under the Separation and Distribution Agreement or any ancillary agreement between us and GE entered into in connection with the Spin-Off, which rights, interests and obligations relate to or are otherwise allocated to the applicable business(es) to be transferred, and that, in such case, we will be entitled to look only towards the applicable transferee(s) in such Subsequent Separation Transaction for satisfaction of any such assigned obligations owed to us under the Separation and Distribution Agreement or any such ancillary agreement. Upon any such assignment of such obligations in connection with any Subsequent Separation Transaction, GE and its subsidiaries will be fully released from all such assigned obligations.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60"/>
          </w:cols>
          <w:pgMar w:left="320" w:top="455" w:right="5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Intercompany Arrangements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All agreements, arrangements, commitments, and understandings, including most intercompany accounts payable or accounts receivable, between us, on the one hand, and GE, on the other hand, will terminate and/or be repaid effective as of the Distribution Date or shortly thereafter, except specified agreements and arrangements that are intended to survive the Spin-Off.</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Support</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use reasonable best efforts to arrange, prior to or within 120 days following the Spin-Off, for the termination or replacement of all guarantees, bank provided guarantees, covenants, indemnities, surety bonds, letters of credit, or similar assurances of credit support, other than certain specified credit support instruments, currently provided by or through GE or any of its subsidiaries for the benefit of us or any of our subsidiaries.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general, neither we nor GE made any representations or warranties regarding any assets or liabilities transferred or assumed (including with respect to the sufficiency of assets for the conduct of our business), any notices, consents, or governmental approvals that may be required in connection with these transfers or assumptions, the value or freedom from any lien or other security interest of any assets or liabilities transferred, the absence of any defenses relating to any claim of either party, or the legal sufficiency of any conveyance documents. Except as expressly set forth in the Separation and Distribution Agreement or any ancillary agreement, all assets will be transferred on an “as is,” “where is”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Further Assurances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parties have each agreed to use reasonable best efforts to effect any transfers contemplated by the Separation and Distribution Agreement that have not been consummated prior to the Spin-Off. In addition, the parties have each agreed to use reasonable best efforts to effect any transfer or re-transfer of any asset or liability that was improperly transferred or retained.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Spin-Off</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Separation and Distribution Agreement governs GE’s and our respective rights and obligations regarding the proposed Spin-Off. On or prior to the Distribution Date, GE will deliver at least 80.1% of the issued and outstanding shares of our common stock to the distribution agent. On or as soon as practicable following the Distribution Date, the distribution agent will electronically deliver the shares of our common stock to GE stockholders based on the distribution ratio. The GE Board may, in its sole and absolute discretion, determine the Record Date, the Distribution Date, and the terms of the Spin-Off, including the amount of the shares of our common stock it may retain. In addition, GE may, at any time until the Spin-Off, decide to abandon the Spin-Off or modify or change the terms of the Spin-Off.</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provides that several conditions must be satisfied or, to the extent permitted by law, waived by GE, in its sole and absolute discretion, before the Spin-Off can occur. For further information about these conditions, see “The Spin-Off—Conditions to the Spin-Off.”</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Exchange of Information</w:t>
      </w:r>
    </w:p>
    <w:p>
      <w:pPr>
        <w:spacing w:after="0" w:line="119"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We and GE have each agreed to each other with information reasonably needed to comply with reporting, disclosure, filing, or other requirements of any national securities exchange or governmental authority, and requested by the other party for use in judicial, regulatory, administrative, and other proceedings or in order to satisfy audit, accounting, litigation, and other similar requirements. We and GE have also each agreed to use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reasonable best efforts to retain such information in accordance with specified record retention policies. Each party will also agree to use its reasonable best efforts to assist the other with its financial reporting and audit obligations.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GE Board, in its sole and absolute discretion, may terminate the Separation and Distribution Agreement at any time prior to the Spin-Off.</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Release of Claims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and GE have each agreed to release the other and its affiliates, successors, and assigns, and all persons that prior to the Spin-Off have been the other’s stockholders, fiduciaries, directors, trustees, counsel, officers, members, managers, employees, agents, and certain other parties, and their respective heirs, executors, administrators, successors, and assigns, from any and all liabilities,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Spin-Off, including in connection with the Spin-Off and all other activities to implement the Spin-Off. The releases will not extend to obligations or liabilities under the Separation and Distribution Agreement or any of the other agreements between us and GE entered into in connection with the Spin-Off, to any other agreements between us and GE that remain in effect following the separation pursuant to the Separation and Distribution Agreement or any ancillary agreement, or to certain other obligations or liabilities specified in the Separation and Distribution Agreement.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and GE have each agreed to indemnify the other and each of the other’s current and former directors, officers, and employees, and each of the heirs, executors, administrators, successors, and assigns of any of them, against certain liabilities incurred in connection with the Spin-Off and our and GE’s respective businesses. The amount of either GE’s or our indemnification obligations will be reduced by any net insurance proceeds the party being indemnified receives. The Separation and Distribution Agreement specifies procedures regarding claims subject to indemnification.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intend to enter into a Transition Services Agreement pursuant to which GE will provide us, and we will provide GE, with certain specified services for a limited time to ensure an orderly transition following the Spin-Off. The services GE will provide consist of digital technology, human resources, supply chain, finance, and real estate services, among others. The services that we will provide will consist of digital technology, supply chain, and real estate services, among others. The services are generally intended to be provided for a period no longer than two years following the Spin-Off. Either party may terminate the agreement with respect to any service if the other party has failed to perform any of its material obligations and such failure is not cured within thirty (30) days. Either party may, in its capacity as a recipient of services, terminate the agreement with respect to any service for convenience upon ninety (90) days’ prior written notice. The parties may otherwise negotiate mutually agreed reductions in the scope of services provided. The Transition Services Agreement will provide for customary indemnification and limits on liability.</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Given the short-term nature of the Transition Services Agreement, we are in the process of increasing our internal capabilities to eliminate reliance on GE for the transition services it will provide us as quickly as possible following the Spin-Off.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intend to enter into a Tax Matters Agreement with GE that will govern the respective rights, responsibilities, and obligations of GE and us after the Spin-Off with respect to all tax matters (including tax liabilities, tax attributes, tax returns, and tax contests).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Tax Matters Agreement will generally provide that GE will be responsible and will indemnify us for U.S. taxes imposed on a joint return basis relating to the Healthcare business for periods preceding the Spin-Off, subject to certain exceptions; we will be responsible and will indemnify GE for certain U.S. and all foreign taxes imposed on a joint return basis relating to the Healthcare business for periods preceding the Spin-Off, all taxes imposed on a separate return basis on us or our subsidiaries (after giving effect to the Spin-Off) for all periods, and all other taxes relating to the Healthcare business for all periods following the Spin-Off. In addition, the Tax Matters Agreement will address the allocation of liability for taxes that are incurred as a result of restructuring activities undertaken to effectuate the Spin-Off.</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the Tax Matters Agreement will provide that we will be required to indemnify GE for any taxes (and reasonable expenses) resulting from the failure of the Spin-Off and related internal transactions to qualify for their intended tax treatment under U.S. federal, state, and local income tax law, as well as foreign tax law, where such taxes result from (a) breaches of covenants and representations we make and agree to in connection with the Spin-Off, (b) the application of certain provisions of U.S. federal income tax law to these transactions, or (c) any other action or omission (other than actions expressly required or permitted by the Separation and Distribution Agreement, the Tax Matters Agreement, or other ancillary agreements) we take after the Spin-Off that gives rise to these taxes. GE will have the exclusive right to control the conduct of any audit or contest relating to these taxes, but we will have notification and information rights regarding GE’s conduct of any such audit or contest, to the extent that we could be liable for taxes under the Tax Matters Agreement as a result of such audit or contest.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Tax Matters Agreement will impose certain restrictions on us and our subsidiaries (including restrictions on share issuances, redemptions or repurchases, mergers or other business combinations, sales of assets and similar transactions) that will be designed to address compliance with Section 355 and related provisions of the Code, as well as state, local, and foreign tax law, and are intended to preserve the tax-free nature of the Spin-Off and related transactions. Under the Tax Matters Agreement, these restrictions will apply for two years following the Spin-Off, unless GE obtains a private letter ruling from the IRS or we obtain an opinion of counsel, in each case acceptable to GE in its discretion, that the restricted action would not impact the non-recognition treatment of the Spin-Off or other transaction, or unless GE otherwise gives its consent for us to take a restricted action in its discretion. Even if such a private letter ruling or opinion is obtained, or GE does otherwise consent to our taking an otherwise restricted action, we will remain liable to indemnify GE in the event such restricted action gives rise to an otherwise indemnifiable liability. These restrictions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intend to enter into an Employee Matters Agreement with GE that provides certain protections for our employees and former employees, sets forth the timing and general responsibilities related to the split of assets and liabilities of certain GE employee benefit and compensation plans, and provides for mutual two-year non-solicitation obligations with respect to employees at the Senior Professional Band level and higher with customary exemptions.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example, for at least twelve months after the Spin-Off for U.S. employees (and for longer periods in Canada or as may be required by law), we will continue to provide our employees with at least the same salary/wages and cash incentive compensation opportunities in effect immediately prior to the Spin-Off. During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period, we will also continue to offer employee benefits of comparable aggregate value to those in effect immediately prior to the Spin-Off and recognize prior GE service credit for all employees employed by us on the Distribution Date.</w:t>
      </w:r>
    </w:p>
    <w:p>
      <w:pPr>
        <w:spacing w:after="0" w:line="162"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Except as specifically provided in the Employee Matters Agreement, we will generally be responsible for all employment, employee compensation, and employee benefits-related liabilities relating to employees, former employees, and other individuals allocated to us. For these individuals, we will assume certain assets and liabilities with respect to GE’s U.S. and non-U.S. benefit plans.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Employee Matters Agreement incorporates the indemnification provisions contained in the Separation and Distribution Agreement and provides that we will indemnify GE for certain liabilities associated with the failure to comply with our obligations under the Employee Matters Agreement, for any employment liabilities related to employees, former employees, and other individuals allocated to us that cannot be assumed, retained, transferred, or assigned as a matter of law, and for claims related to our adoption or assumption of certain employee benefit and compensation plans, and any future actions that we take with respect to those plans.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Employee Matters Agreement will also reflect the adjustment of outstanding equity-based awards granted by GE prior to the Spin-Off. See “The Spin-Off—Treatment of Equity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Governing Intellectual Property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Allocation of Intellectual Property</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agreements we will enter into with GE governing intellectual property will provide for us to own (i) certain specified patents and patent applications, trademarks and trademark applications, and domain names, (ii) rights in specified proprietary software, and (iii) certain other unregistered intellectual property rights and technology used exclusively or primarily in the Healthcare business. Any intellectual property and technology that are not allocated to us will be retained by GE.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Intellectual Property Cross License Agreements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intend to enter into Intellectual Property Cross License Agreements with GE, pursuant to which GE will grant to us perpetual and irrevocable, non-exclusive, royalty-free licenses to use and exploit certain intellectual property rights (excluding trademarks and domain names) that are currently being used by the Healthcare business but are being retained by GE. Additionally, GE will retain certain perpetual and irrevocable, non-exclusive, royalty-free rights with respect to certain intellectual property rights (excluding trademarks and domain names) that are currently being used in GE’s retained businesses, that are allocated to us.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field of use for the licenses granted to us will generally be the Healthcare business as conducted immediately prior to the Spin-Off, with natural extensions and evolutions. The field of use for the rights retained by GE will generally be GE’s retained businesses as conducted immediately prior to the Spin-Off, with natural extensions and evolutions. The licenses granted to us and the rights retained by GE will generally be transferable with any sale or transfer of an entity or line of business that utilizes the relevant intellectual property, and the transferred license will be limited to the business, products, and services as conducted by the transferred entity or line of business as of the date of the transfer, with natural extensions and evolutions.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GE Healthcare entities have already entered into such Intellectual Property Cross License Agreements.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Trademark License Agreement</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intend to enter into a Trademark License Agreement, pursuant to which GE will grant to us an exclusive, fee-bearing license to use certain of GE’s trademarks with respect to the “GE” brand in connection with (i) certain products and services that are exclusive to our business and (ii) our business’s trade name. GE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will also grant to us non-exclusive, fee-bearing licenses to use certain of GE’s trademarks in respect of certain other products and services of our business. GE will also grant to us the right to use the “GE” brand in connection with certain legal entity names within our corporate structure. The licenses and rights granted will be for an initial ten-year term, which will automatically renew for an unlimited number of successive ten-year renewal terms, unless terminated for certain specified events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change of control, bankruptcy event, material breaches, or material adverse impact to the GE brand).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Real Estate Matters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intend to enter into a Real Estate Matters Agreement with GE that will govern the allocation and transfer of real estate between GE and GE Healthcare and the colocation of GE and GE Healthcare following the Spin-Off. Certain sites will be transferred from one company to the other in accordance with the Allocation Principles described below and certain sites will be occupied by both GE and GE Healthcare employees following the Spin-Off pursuant to a TSA, lease, or sublease. Real estate assets will be predominantly allocated (“Allocation Principles”) based on whether GE Healthcare or another business unit within GE has a plurality or greater of the employees assigned to the applicable property (“Majority Occupant”). For each collocated site, the minority occupant(s) can continue to occupy such site only until the expiration date of (i) the TSA period for Real Estate, which will be two years from the Spin Date or (ii) the applicable lease or sublease, if longer and if such longer lease or sublease has been reviewed and approved by the parties. The minority occupant(s) will pay its pro-rata share of costs for the occupied site through such expiration date. Except as otherwise agreed by the parties, the Majority Occupant will pay for any alterations or improvements necessary to demise the applicable site, if it elects to so demise such site, in its sole discretion.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and Registration Rights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enter into a Stockholder and Registration Rights Agreement with GE pursuant to which we will agree that, upon the request of GE, subject to certain limitations, we will use our reasonable best efforts to effect the registration under applicable federal or state securities laws of any shares of our common stock retained by GE. If we intend to file on our behalf or on behalf of any of our other security holders a registration statement in connection with a public offering of any of our securities in a manner that would permit the registration for offer and sale of our common stock held by GE, GE will have the right to include its shares of our common stock in that offering.</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be generally responsible for all registration expenses in connection with the performance of our obligations under the registration rights provisions in the agreement, and GE will be responsible for its own internal fees and expenses, any applicable underwriting discounts or commissions, and any stock transfer taxes. The agreement will also contain customary indemnification and contribution provisions by us for the benefit of GE and, in limited situations, by GE for the benefit of us with respect to the information provided by GE included in any registration statement, prospectus, or related document.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GE transfers shares covered by the agreement, it will be able to transfer the benefits of the Stockholder and Registration Rights Agreement to transferees of 5% or more of the shares of our common stock outstanding immediately following the Spin-Off, provided that each transferee agrees to be bound by the terms of the Stockholder and Registration Rights Agreement.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GE will agree to vote any shares of our common stock that it retains immediately after the Spin-Off in proportion to the votes cast by our other stockholders. In connection with such agreement, GE will grant us a proxy to vote its shares of our retained common stock in such proportion. As a result, GE will not be able to exert any control over us through the shares of our common stock it retains. Any such proxy, however, will be automatically revoked as to a particular share upon any sale or transfer of such share from GE to a person other than GE, and neither the Stockholder and Registration Rights Agreement nor proxy will limit or prohibit any such sale or transfer.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and Procedures Governing Related Person Transactions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Prior to the completion of the Spin-Off, our Board will establish governance principles, which will include a written policy regarding the review and approval of transactions with related persons. We anticipate that this policy will provide that our independent directors as a group or a committee comprised solely of independent directors (such as our Audit Committee) review each of our transactions involving an amount exceeding $120,000 and in which any “related person” had, has, or will have a direct or indirect material interest, subject to certain specified exceptions. We further anticipate that this policy will include the following standards in assessing transactions with related persons: (i) review the nature of the related person’s interest in the transaction, (ii) identify material transaction terms, including the amount involved and the type of transaction, (iii) determine the importance of the transaction to us and the related person, (iv) determine whether the transaction would impair a director or executive officer’s judgment to act in our best interest, and (v) review any other matters deemed appropriate, including any third-party fairness opinions or other expert reviews obtained in connection with the applicable transaction. A proposed related person transaction will not be approved if the Board determines that the transaction is inconsistent with our interests and the interests of our stockholders. In general, “related persons” are our directors, director nominees, executive officers, and stockholders beneficially owning more than 5% of our outstanding common stock and immediate family members or certain other designated persons.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Prior to the Spin-Off, GE, as our sole stockholder, will approve and adopt our certificate of incorporation, and our Board will approve and adopt our bylaws. The following summarizes information concerning our capital stock, including material provisions of our certificate of incorporation, our bylaws, and certain provisions of Delaware law. You are encouraged to read the forms of our certificate of incorporation and our bylaws, which are filed as exhibits to the registration statement on Form S-1 to which this prospectus is a part, for greater detail with respect to these provisions.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our authorized capital stock will consist of 1,000,000,000 shares of common stock, par value $0.01 per share, and 100,000,000 shares of preferred stock, par value $0.01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Immediately following the Spin-Off, we estimate that approximately 454,710,004 shares of our common stock will be issued and outstanding, based on approximately 1,092,668,140 shares of GE common stock outstanding as of September 30, 2022 and the number of shares to be retained by GE. The actual number of shares of our common stock outstanding immediately following the Spin-Off will depend on the actual number of shares of GE common stock outstanding on the Record Date, and will reflect any issuance of new shares or exercise of outstanding options pursuant to GE’s equity plans and any repurchases of GE shares by GE pursuant to its common stock repurchase program, in each case on or prior to the Record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Holders of shares of our common stock will be entitled to receive dividends when, as and if declared by our Board at its discretion out of funds legally available for that purpose, subject to the preferential rights of any preferred stock that may be outstanding.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Additionally, the terms of the indebtedness we intend to incur in connection with the Spin-Off will limit our ability to pay cash dividends. Our Board will make all decisions regarding our payment of dividends from time to time in accordance with applicable law. See “Dividend Policy.”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our common stock will be entitled to one vote for each share held of record on all matters submitted to a vote of the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the preferential liquidation rights of any preferred stock that may be outstanding, upon our liquidation, dissolution, or winding-up, the holders of our common stock will be entitled to share ratably in our assets legally available for distribution to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issued and outstanding shares of our common stock are fully paid and non-assessable. Any additional shares of common stock that we may issue in the future will also be fully paid and non-assessable. The holders of our common stock will not have preemptive rights or preferential rights to subscribe for shares of our capital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will authorize our Board to designate and issue from time to time one or more series of preferred stock without stockholder approval. Our Board may fix and determine the designations, powers, preferences and relative, participating, optional, or other rights of each series of preferred stock. There are no present plans to issue any shares of preferred stock.</w:t>
      </w:r>
    </w:p>
    <w:p>
      <w:pPr>
        <w:spacing w:after="0" w:line="280" w:lineRule="exact"/>
        <w:rPr>
          <w:sz w:val="20"/>
          <w:szCs w:val="20"/>
          <w:color w:val="auto"/>
        </w:rPr>
      </w:pPr>
    </w:p>
    <w:p>
      <w:pPr>
        <w:ind w:left="120" w:right="42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Certain Provisions of Delaware Law, Our Certificate of Incorporation, and Our Bylaws </w:t>
      </w:r>
      <w:r>
        <w:rPr>
          <w:rFonts w:ascii="Times New Roman" w:cs="Times New Roman" w:eastAsia="Times New Roman" w:hAnsi="Times New Roman"/>
          <w:sz w:val="18"/>
          <w:szCs w:val="18"/>
          <w:b w:val="1"/>
          <w:bCs w:val="1"/>
          <w:i w:val="1"/>
          <w:iCs w:val="1"/>
          <w:color w:val="auto"/>
        </w:rPr>
        <w:t>Certificate of Incorporation and Bylaws</w:t>
      </w: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Certain provisions in our proposed certificate of incorporation and our proposed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87" w:lineRule="exact"/>
        <w:rPr>
          <w:sz w:val="20"/>
          <w:szCs w:val="20"/>
          <w:color w:val="auto"/>
        </w:rPr>
      </w:pPr>
    </w:p>
    <w:p>
      <w:pPr>
        <w:ind w:left="1080" w:hanging="424"/>
        <w:spacing w:after="0" w:line="258"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Our certificate of incorporation will provide that any vacancies created on the Board resulting from any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number of directors and any vacancies in the Board resulting from death, retirement, disqualification, resignation, removal from office, or other cause will be filled solely by the affirmative vote of a majority of the remaining directors then in office, even if less than a quorum, or by the sole remaining director. Any director elected to fill a vacancy on our Board will hold office for a term expiring at the next annual meeting of stockholders and until his or her successor is duly elected and qualified.</w:t>
      </w:r>
    </w:p>
    <w:p>
      <w:pPr>
        <w:spacing w:after="0" w:line="88"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Blank Check Preferred Stock</w:t>
      </w:r>
      <w:r>
        <w:rPr>
          <w:rFonts w:ascii="Times New Roman" w:cs="Times New Roman" w:eastAsia="Times New Roman" w:hAnsi="Times New Roman"/>
          <w:sz w:val="18"/>
          <w:szCs w:val="18"/>
          <w:color w:val="auto"/>
        </w:rPr>
        <w:t>. Our certificate of incorporation will authorize our Board to issue, without any further vote or action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up to 100,000,000 shares of preferred stock from time to time in one or more series and, with respect to each such series, to fix the number of shares constituting the series and the designations, powers (including voting powers), preferences, and relative participating, optional, or other rights, if any, and any qualifications, limitations, or restrictions, if any, of the shares of such series. The ability to issue such preferred stock could discourage potential acquisition proposals and could delay or prevent a change in control.</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Stockholder Action by Written Consent</w:t>
      </w:r>
      <w:r>
        <w:rPr>
          <w:rFonts w:ascii="Times New Roman" w:cs="Times New Roman" w:eastAsia="Times New Roman" w:hAnsi="Times New Roman"/>
          <w:sz w:val="18"/>
          <w:szCs w:val="18"/>
          <w:color w:val="auto"/>
        </w:rPr>
        <w:t>. Our certificate of incorporation will expressly exclude the right of our stockholders to 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Stockholder action must take place at an annual meeting or at a special meeting of our stockholders.</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Stockholder Meetings</w:t>
      </w:r>
      <w:r>
        <w:rPr>
          <w:rFonts w:ascii="Times New Roman" w:cs="Times New Roman" w:eastAsia="Times New Roman" w:hAnsi="Times New Roman"/>
          <w:sz w:val="18"/>
          <w:szCs w:val="18"/>
          <w:color w:val="auto"/>
        </w:rPr>
        <w:t>. Our bylaws will provide that the Board or a stockholder of record who is acting on behalf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 who collectively hold at least 25% of our outstanding shares will be able to call a special meeting of stockholders.</w:t>
      </w:r>
    </w:p>
    <w:p>
      <w:pPr>
        <w:spacing w:after="0" w:line="63"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Under our bylaws, stockholders of record will be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nominate persons for election to our Board or bring other business constituting a proper matter for stockholder action only by providing proper notice to our secretary. In the case of annual meetings, proper notice must be given between 90 and 120 days prior to the first anniversary of the prior year’s annual meeting; however, if (A) the annual meeting is advanced by more than 30 days, or delayed by more than 60 days, from the first anniversary of the prior year’s annual meeting, (B) no annual meeting was held during the prior year, or</w:t>
      </w:r>
    </w:p>
    <w:p>
      <w:pPr>
        <w:ind w:left="108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with respect to the first annual meeting after the Spin-Off, the notice by the stockholder to be timely must be received (1) no earlier than 120 days before such annual meeting and (2) no later than the later of 90 days before such annual meeting and the tenth day after the day on which the notice of such annual meeting was first made by mail or public disclosure. In the case of special meetings, proper notice must be given no earlier than the 120th day prior to the relevant meeting and no later than the later of the 90th day prior to such meeting and the 10th day following the public announcement of the meeting. Such notice must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320"/>
        <w:spacing w:after="0" w:line="266" w:lineRule="auto"/>
        <w:rPr>
          <w:sz w:val="20"/>
          <w:szCs w:val="20"/>
          <w:color w:val="auto"/>
        </w:rPr>
      </w:pPr>
      <w:r>
        <w:rPr>
          <w:rFonts w:ascii="Times New Roman" w:cs="Times New Roman" w:eastAsia="Times New Roman" w:hAnsi="Times New Roman"/>
          <w:sz w:val="18"/>
          <w:szCs w:val="18"/>
          <w:color w:val="auto"/>
        </w:rPr>
        <w:t>include information specified in the bylaws with respect to each stockholder nominating persons for election to the Board or proposing other business and certain related persons, information with respect to such person’s nominees to the Board (if applicable), and certain representations and undertaking relating to the nomination or proposal, in each case as specified in our bylaws.</w:t>
      </w:r>
    </w:p>
    <w:p>
      <w:pPr>
        <w:spacing w:after="0" w:line="79" w:lineRule="exact"/>
        <w:rPr>
          <w:sz w:val="20"/>
          <w:szCs w:val="20"/>
          <w:color w:val="auto"/>
        </w:rPr>
      </w:pPr>
    </w:p>
    <w:p>
      <w:pPr>
        <w:ind w:left="1080" w:right="300" w:hanging="424"/>
        <w:spacing w:after="0" w:line="267"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 Our bylaws will allow one or more stockholders (up to 20, collectively), owning at least 3% of our outstanding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continuously for at least three years, to nominate for election to our Board and to be included in our proxy materials up to the greater of two individuals or 20% of our Board, only by sending proper notice to our secretary.</w:t>
      </w:r>
    </w:p>
    <w:p>
      <w:pPr>
        <w:spacing w:after="0" w:line="78" w:lineRule="exact"/>
        <w:rPr>
          <w:rFonts w:ascii="Times New Roman" w:cs="Times New Roman" w:eastAsia="Times New Roman" w:hAnsi="Times New Roman"/>
          <w:sz w:val="18"/>
          <w:szCs w:val="18"/>
          <w:color w:val="auto"/>
        </w:rPr>
      </w:pPr>
    </w:p>
    <w:p>
      <w:pPr>
        <w:ind w:left="1080" w:right="440" w:hanging="424"/>
        <w:spacing w:after="0" w:line="315" w:lineRule="auto"/>
        <w:tabs>
          <w:tab w:leader="none" w:pos="108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Cumulative Voting</w:t>
      </w:r>
      <w:r>
        <w:rPr>
          <w:rFonts w:ascii="Times New Roman" w:cs="Times New Roman" w:eastAsia="Times New Roman" w:hAnsi="Times New Roman"/>
          <w:sz w:val="17"/>
          <w:szCs w:val="17"/>
          <w:color w:val="auto"/>
        </w:rPr>
        <w:t>. The DGCL provides that stockholders are denied the right to cumulate votes in the election of directors unless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certificate of incorporation provides otherwise. Our certificate of incorporation will not provide for cumulative voting.</w:t>
      </w:r>
    </w:p>
    <w:p>
      <w:pPr>
        <w:spacing w:after="0" w:line="40" w:lineRule="exact"/>
        <w:rPr>
          <w:rFonts w:ascii="Times New Roman" w:cs="Times New Roman" w:eastAsia="Times New Roman" w:hAnsi="Times New Roman"/>
          <w:sz w:val="17"/>
          <w:szCs w:val="17"/>
          <w:color w:val="auto"/>
        </w:rPr>
      </w:pPr>
    </w:p>
    <w:p>
      <w:pPr>
        <w:ind w:left="1080" w:hanging="424"/>
        <w:spacing w:after="0" w:line="255"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Certificate of Incorporation and Bylaws</w:t>
      </w:r>
      <w:r>
        <w:rPr>
          <w:rFonts w:ascii="Times New Roman" w:cs="Times New Roman" w:eastAsia="Times New Roman" w:hAnsi="Times New Roman"/>
          <w:sz w:val="18"/>
          <w:szCs w:val="18"/>
          <w:color w:val="auto"/>
        </w:rPr>
        <w:t>. The DGCL provides that the affirmative vote of holders of a majority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voting stock then outstanding is required to amend a corporation’s certificate of incorporation, unless the certificate of incorporation specifies a higher threshold. Our certificate of incorporation will not provide for a higher threshold, and as of the Distribution Date we will have only common stock outstanding. The DGCL also provides that a board of directors may be granted authority to amend a corporation’s bylaws if so stated in the corporation’s certificate of incorporation, and our certificate of incorporation will provide that our Board may amend our bylaws. Under Delaware law, stockholders also have the power to amend bylaws, and our bylaws provide that they may be amended by the affirmative vote of a majority of the voting power of shares of stock present in person or represented by proxy and entitled to vote thereon.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Takeover Statute</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of Directors and Indemnification of Directors and Officers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Delaware law authorizes corporations to limit or eliminate the personal liability of directors and officers to corporations and their stockholders for monetary damages for breaches of directors’ and officers’ fiduciary duties as directors or officers, as applicable, and our certificate of incorporation will include such an exculpation provision. Our bylaws will include provisions that indemnify, to the fullest extent allowable under the DGCL, the personal liability of directors or officers for monetary damages for actions taken as a director or officer of GE HealthCare, or for serving at our request as a director, officer, employee, or agent at another corporation or enterprise, as the case may be. Our bylaws will also provide that we must indemnify and advance expenses to our directors, officers, and employees, subject to our receipt of an undertaking from the indemnified party as may be required under the DGCL.</w:t>
      </w:r>
    </w:p>
    <w:p>
      <w:pPr>
        <w:spacing w:after="0" w:line="189"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will be included in our certificate of incorporation and bylaws, respectively,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 There is currently no pending material litigation or proceeding against any of our directors, officers, or employees for which indemnification is sought.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will provide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will state that the foregoing provision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will be Equiniti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Exchange under the symbol “GEHC.”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the U.S. federal income tax consequences applicable to awards granted under the GE HealthCare Mirror LTIPs based on the federal income tax laws in effect on the date of this registration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other tax laws other than U.S. federal income tax law. Because individual circumstances may vary, we advise all participants to consult their own tax advisor concerning the tax implications of awards granted under the GE HealthCare Mirror LTIPs.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grant of a stock option or stock appreciation right (“SAR”) generally creates no tax consequences for the participant or GE HealthCare. A participant generally has no taxable income upon exercise of an incentive stock option (“ISO”), except that the alternative minimum tax may apply. Upon exercise of a stock option other than an ISO, a participant generally must recognize ordinary income equal to the fair market value of the shares acquired minus the exercise price. Upon exercise of a SAR, a participant generally must recognize ordinary income equal to the fair market value of the amount received.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When disposing of shares acquired by exercise of an ISO before the end of the applicable ISO holding periods (two years after the date of grant and one year after the exercise of the ISO), the participant generally must recognize ordinary income equal to the lesser of (i) the fair market value of the shares at the date of exercise minus the exercise price or (ii) the amount realized upon the disposition of the shares minus the exercise price. Otherwise, a participant’s disposition of shares acquired upon the exercise of a stock option (including an ISO for which the requisite holding periods are met) generally will result in only capital gain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Awards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Awards of restricted stock, RSUs, performance shares and other stock-based awards under the GE HealthCare Mirror LTIPs generally will result in ordinary income to the participant at the later of the time of delivery of cash, shares, or other awards, or the time that either the risk of forfeiture or restriction on transferability lapses on previously delivered cash, shares or other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Deductibility by GE HealthCare</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Section 162(m) of the Code limits the deductibility for federal income tax purposes of certain compensation paid to any “covered employee” in excess of $1 million. For purposes of Section 162(m) of the Code, the term “covered employee” includes any individual who serves as chief executive officer, chief financial officer or one of the other three most highly compensated executive officers for any calendar year. It is expected that compensation deductions for any covered employee with respect to awards under the GE HealthCare Mirror LTIPs will be subject to the $1 million annual deduction limitation. GE HealthCare may grant awards under the GE HealthCare Mirror LTIPs or otherwise that are or may become non-deductible when it believes doing so is in the best interests of the GE HealthCare and its stockholders.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the Distribution Date, a portion of each outstanding GE restricted stock unit award (including any performance stock unit award) held immediately prior to the Spin-Off by a corporate employee or former employee of GE or one of its subsidiaries who, in either case, is not subject to China State Administration of Foreign Exchange requirements or a resident of Vietnam will be converted into a respective restricted stock unit award denominated in shares of our common stock. The registration statement of which this prospectus forms a part covers these awards.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Distribution Date, each outstanding GE stock option and restricted stock unit award (including any performance stock unit award) that is held immediately prior to the Spin-Off by an employee of GE HealthCare or one of its subsidiaries will be converted into a respective stock option or restricted stock unit award denominated in shares of our common stock. The registration statement of which this prospectus forms a part does not cover these awards, which will instead be registered by the Company on a Registration Statement on Form S-8.</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Each of our converted awards will generally be subject to the same terms, vesting conditions and other restrictions that applied to the original GE award immediately before the Spin-Off, except that performance-vesting conditions, as applicable, will be adjusted to reflect the Spin-Off.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CERTAIN 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shares of common stock will be passed upon for us by Paul, Weiss, Rifkind, Wharton &amp; Garrison LLP, New York, New York.</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0640"/>
          </w:cols>
          <w:pgMar w:left="320" w:top="455" w:right="9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 of GE Healthcare Holding LLC as of May 16, 2022, included in this Prospectus has been audited by Deloitte &amp; Touche LLP, an independent registered public accounting firm, as stated in their report. Such financial statement is included in reliance upon the report of such firm given their authority as experts in accounting and auditing.</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GE HealthCare, a business of General Electric Company, as of December 31, 2021, and for the year ended December 31, 2021,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GE HealthCare (a carve-out business of General Electric Company) as of December 31, 2020, and for each of the years in the two-year period ended December 31, 2020, have been included herein in reliance upon the report of KPMG LLP, independent registered public accounting firm, appearing elsewhere herein, and upon the authority of said firm as experts in accounting and auditing.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20"/>
          </w:cols>
          <w:pgMar w:left="320" w:top="455" w:right="5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IN ACCOUNTANTS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June 18, 2020, GE selected Deloitte &amp; Touche LLP (“Deloitte”) as GE’s independent registered public accounting firm for GE’s fiscal year ending December 31, 2021. KPMG LLP (“KPMG”) continued as GE’s independent registered public accounting firm for the fiscal year ending December 31, 2020. On February 12, 2021, KPMG completed its audit of GE’s consolidated financial statements for such fiscal year, which included the consolidated financial information for such fiscal year of GE HealthCare, and GE’s retention of KPMG as its independent registered accounting firm with respect to the audit of GE’s consolidated financial statements ended as of that date.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KPMG’s reports on GE’s consolidated financial statements as of and for the fiscal years ended December 31, 2019 and 2020 did not contain any adverse opinion or disclaimer of opinion, nor were they qualified or modified as to uncertainty, audit scope, or accounting principles.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2019 and 2020, and the subsequent interim period through February 12, 2021, the effective date of KPMG’s dismissal, there were: (i) no disagreements within the meaning of Item 304(a)(1)(iv) of Regulation S-K and the related instructions between GE and KPMG on any matters of accounting principles or practices, financial statement disclosure, or auditing scope or procedure which, if not resolved to KPMG’s satisfaction, would have caused KPMG to make reference thereto in their reports; and (ii) no “reportable events” within the meaning of Item 304(a)(1)(v) of Regulation S-K.</w:t>
      </w:r>
    </w:p>
    <w:p>
      <w:pPr>
        <w:spacing w:after="0" w:line="183"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GE requested that KPMG furnish a letter addressed to the SEC stating whether or not it agrees with the above statements. A copy of KPMG’s letter, dated February 12, 2021, is incorporated by reference to Exhibit 16.1 of GE’s Current Report on Form 8-K filed with the SEC on February 12, 2021.</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2019 and 2020 and the subsequent interim period through February 12, 2021, neither GE nor anyone on its behalf consulted with Deloitte regarding: (i) the application of accounting principles to a specific transaction, either completed or proposed, or the type of audit opinion that might be rendered on GE’s financial statements, and neither a written report nor oral advice was provided to GE that Deloitte concluded was an important factor considered by GE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under the Securities Act with respect to the shares of our common stock being distributed as contemplated by this prospectus. This prospectus is a part of, and does not contain all the information set forth in, the Registration Statement and the exhibits and schedules to the Registration Statement. For further information with respect to us and our common stock, please refer to the Registration Statement, including its other exhibits and schedules. Statements we make in this prospectus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website maintained by the SEC at www.sec.gov. Information contained on any website we refer to in this prospectus does not and will not constitute a part of this prospectus or the Registration Statement on Form S-1.</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Spin-Off, we became subject to the information and reporting requirements of the Exchange Act on December 8, 2022, and, in accordance with the Exchange Act, we will file periodic reports, proxy statements, and other information with the SEC.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any of our filings with the SEC at no cost by writing us at the following address: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GE Healthcare Holding LLC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500 West Monroe Street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Chicago, Illinois 60661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furnish holders of our common stock with annual reports containing financial statements prepared in accordance with U.S. GAAP and audited and reported on by an independent registered public accounting firm.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5"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0000" w:type="dxa"/>
            <w:vAlign w:val="bottom"/>
            <w:gridSpan w:val="20"/>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212"/>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w:t>
            </w:r>
          </w:p>
        </w:tc>
        <w:tc>
          <w:tcPr>
            <w:tcW w:w="400" w:type="dxa"/>
            <w:vAlign w:val="bottom"/>
          </w:tcPr>
          <w:p>
            <w:pPr>
              <w:spacing w:after="0"/>
              <w:rPr>
                <w:sz w:val="18"/>
                <w:szCs w:val="18"/>
                <w:color w:val="auto"/>
              </w:rPr>
            </w:pPr>
          </w:p>
        </w:tc>
      </w:tr>
      <w:tr>
        <w:trPr>
          <w:trHeight w:val="283"/>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GE HEALTHCARE HOLDING LLC</w:t>
            </w:r>
          </w:p>
        </w:tc>
        <w:tc>
          <w:tcPr>
            <w:tcW w:w="400" w:type="dxa"/>
            <w:vAlign w:val="bottom"/>
          </w:tcPr>
          <w:p>
            <w:pPr>
              <w:spacing w:after="0"/>
              <w:rPr>
                <w:sz w:val="24"/>
                <w:szCs w:val="24"/>
                <w:color w:val="auto"/>
              </w:rPr>
            </w:pPr>
          </w:p>
        </w:tc>
      </w:tr>
      <w:tr>
        <w:trPr>
          <w:trHeight w:val="194"/>
        </w:trPr>
        <w:tc>
          <w:tcPr>
            <w:tcW w:w="580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760" w:type="dxa"/>
            <w:vAlign w:val="bottom"/>
            <w:gridSpan w:val="1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4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 OF FINANCIAL POSITION AS OF MAY 16, 2022</w:t>
            </w:r>
          </w:p>
        </w:tc>
        <w:tc>
          <w:tcPr>
            <w:tcW w:w="57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2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NOTES TO THE STATEMENT</w:t>
            </w:r>
          </w:p>
        </w:tc>
        <w:tc>
          <w:tcPr>
            <w:tcW w:w="822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344"/>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tc>
        <w:tc>
          <w:tcPr>
            <w:tcW w:w="400" w:type="dxa"/>
            <w:vAlign w:val="bottom"/>
          </w:tcPr>
          <w:p>
            <w:pPr>
              <w:spacing w:after="0"/>
              <w:rPr>
                <w:sz w:val="24"/>
                <w:szCs w:val="24"/>
                <w:color w:val="auto"/>
              </w:rPr>
            </w:pPr>
          </w:p>
        </w:tc>
      </w:tr>
      <w:tr>
        <w:trPr>
          <w:trHeight w:val="306"/>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GE HEALTHCARE HOLDING LLC</w:t>
            </w:r>
          </w:p>
        </w:tc>
        <w:tc>
          <w:tcPr>
            <w:tcW w:w="400" w:type="dxa"/>
            <w:vAlign w:val="bottom"/>
          </w:tcPr>
          <w:p>
            <w:pPr>
              <w:spacing w:after="0"/>
              <w:rPr>
                <w:sz w:val="24"/>
                <w:szCs w:val="24"/>
                <w:color w:val="auto"/>
              </w:rPr>
            </w:pPr>
          </w:p>
        </w:tc>
      </w:tr>
      <w:tr>
        <w:trPr>
          <w:trHeight w:val="194"/>
        </w:trPr>
        <w:tc>
          <w:tcPr>
            <w:tcW w:w="10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CONDENSED STATEMENTS OF FINANCIAL POSITION AS OF SEPTEMBER 30, 2022 AND MAY 16, 2022</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83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FINANCIAL STATEMENTS</w:t>
            </w:r>
          </w:p>
        </w:tc>
        <w:tc>
          <w:tcPr>
            <w:tcW w:w="22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344"/>
        </w:trPr>
        <w:tc>
          <w:tcPr>
            <w:tcW w:w="45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tc>
        <w:tc>
          <w:tcPr>
            <w:tcW w:w="5980" w:type="dxa"/>
            <w:vAlign w:val="bottom"/>
            <w:gridSpan w:val="16"/>
          </w:tcPr>
          <w:p>
            <w:pPr>
              <w:spacing w:after="0"/>
              <w:rPr>
                <w:sz w:val="24"/>
                <w:szCs w:val="24"/>
                <w:color w:val="auto"/>
              </w:rPr>
            </w:pPr>
          </w:p>
        </w:tc>
        <w:tc>
          <w:tcPr>
            <w:tcW w:w="400" w:type="dxa"/>
            <w:vAlign w:val="bottom"/>
          </w:tcPr>
          <w:p>
            <w:pPr>
              <w:spacing w:after="0"/>
              <w:rPr>
                <w:sz w:val="24"/>
                <w:szCs w:val="24"/>
                <w:color w:val="auto"/>
              </w:rPr>
            </w:pPr>
          </w:p>
        </w:tc>
      </w:tr>
      <w:tr>
        <w:trPr>
          <w:trHeight w:val="306"/>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GE HEALTHCARE</w:t>
            </w:r>
          </w:p>
        </w:tc>
        <w:tc>
          <w:tcPr>
            <w:tcW w:w="400" w:type="dxa"/>
            <w:vAlign w:val="bottom"/>
          </w:tcPr>
          <w:p>
            <w:pPr>
              <w:spacing w:after="0"/>
              <w:rPr>
                <w:sz w:val="24"/>
                <w:szCs w:val="24"/>
                <w:color w:val="auto"/>
              </w:rPr>
            </w:pPr>
          </w:p>
        </w:tc>
      </w:tr>
      <w:tr>
        <w:trPr>
          <w:trHeight w:val="194"/>
        </w:trPr>
        <w:tc>
          <w:tcPr>
            <w:tcW w:w="600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REPORTS OF INDEPENDENT REGISTERED PUBLIC ACCOUNTING FIRMS</w:t>
            </w:r>
          </w:p>
        </w:tc>
        <w:tc>
          <w:tcPr>
            <w:tcW w:w="4560" w:type="dxa"/>
            <w:vAlign w:val="bottom"/>
            <w:gridSpan w:val="12"/>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82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INCOME FOR THE YEARS ENDED DECEMBER 31, 2021, 2020 AND 2019</w:t>
            </w:r>
          </w:p>
        </w:tc>
        <w:tc>
          <w:tcPr>
            <w:tcW w:w="22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COMPREHENSIVE INCOME FOR THE YEARS ENDED DECEMBER 31 2021, 2020 AND 2019</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F-13</w:t>
            </w:r>
          </w:p>
        </w:tc>
      </w:tr>
      <w:tr>
        <w:trPr>
          <w:trHeight w:val="196"/>
        </w:trPr>
        <w:tc>
          <w:tcPr>
            <w:tcW w:w="97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FINANCIAL POSITION AS OF DECEMBER 31, 2021 AND 2020</w:t>
            </w:r>
          </w:p>
        </w:tc>
        <w:tc>
          <w:tcPr>
            <w:tcW w:w="8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CHANGES IN EQUITY FOR THE YEARS ENDED DECEMBER 31, 2021, 2020 AND 2019</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F-15</w:t>
            </w:r>
          </w:p>
        </w:tc>
      </w:tr>
      <w:tr>
        <w:trPr>
          <w:trHeight w:val="196"/>
        </w:trPr>
        <w:tc>
          <w:tcPr>
            <w:tcW w:w="93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DECEMBER 31, 2021, 2020 AND 2019</w:t>
            </w:r>
          </w:p>
        </w:tc>
        <w:tc>
          <w:tcPr>
            <w:tcW w:w="12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F-16</w:t>
            </w:r>
          </w:p>
        </w:tc>
      </w:tr>
      <w:tr>
        <w:trPr>
          <w:trHeight w:val="196"/>
        </w:trPr>
        <w:tc>
          <w:tcPr>
            <w:tcW w:w="4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THE COMBINED FINANCIAL STATEMENTS</w:t>
            </w:r>
          </w:p>
        </w:tc>
        <w:tc>
          <w:tcPr>
            <w:tcW w:w="4240" w:type="dxa"/>
            <w:vAlign w:val="bottom"/>
            <w:tcBorders>
              <w:top w:val="single" w:sz="8" w:color="0000EE"/>
            </w:tcBorders>
            <w:gridSpan w:val="9"/>
          </w:tcPr>
          <w:p>
            <w:pPr>
              <w:spacing w:after="0"/>
              <w:rPr>
                <w:sz w:val="17"/>
                <w:szCs w:val="17"/>
                <w:color w:val="auto"/>
              </w:rPr>
            </w:pPr>
          </w:p>
        </w:tc>
        <w:tc>
          <w:tcPr>
            <w:tcW w:w="18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F-18</w:t>
            </w:r>
          </w:p>
        </w:tc>
      </w:tr>
      <w:tr>
        <w:trPr>
          <w:trHeight w:val="345"/>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COMBINED FINANCIAL STATEMENTS</w:t>
            </w:r>
          </w:p>
        </w:tc>
        <w:tc>
          <w:tcPr>
            <w:tcW w:w="400" w:type="dxa"/>
            <w:vAlign w:val="bottom"/>
          </w:tcPr>
          <w:p>
            <w:pPr>
              <w:spacing w:after="0"/>
              <w:rPr>
                <w:sz w:val="24"/>
                <w:szCs w:val="24"/>
                <w:color w:val="auto"/>
              </w:rPr>
            </w:pPr>
          </w:p>
        </w:tc>
      </w:tr>
      <w:tr>
        <w:trPr>
          <w:trHeight w:val="306"/>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GE HEALTHCARE</w:t>
            </w:r>
          </w:p>
        </w:tc>
        <w:tc>
          <w:tcPr>
            <w:tcW w:w="400" w:type="dxa"/>
            <w:vAlign w:val="bottom"/>
          </w:tcPr>
          <w:p>
            <w:pPr>
              <w:spacing w:after="0"/>
              <w:rPr>
                <w:sz w:val="24"/>
                <w:szCs w:val="24"/>
                <w:color w:val="auto"/>
              </w:rPr>
            </w:pPr>
          </w:p>
        </w:tc>
      </w:tr>
      <w:tr>
        <w:trPr>
          <w:trHeight w:val="194"/>
        </w:trPr>
        <w:tc>
          <w:tcPr>
            <w:tcW w:w="10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CONDENSED COMBINED STATEMENTS OF INCOME FOR THE NINE MONTHS ENDED SEPTEMBER 30, 2022 AND 2021</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F-55</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4040" w:type="dxa"/>
            <w:vAlign w:val="bottom"/>
            <w:gridSpan w:val="8"/>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3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COMPREHENSIVE INCOME FOR THE NINE MONTHS ENDED SEPTEMBER 30, 2022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2021</w:t>
            </w:r>
          </w:p>
        </w:tc>
        <w:tc>
          <w:tcPr>
            <w:tcW w:w="958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r>
      <w:tr>
        <w:trPr>
          <w:trHeight w:val="196"/>
        </w:trPr>
        <w:tc>
          <w:tcPr>
            <w:tcW w:w="99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FINANCIAL POSITION AS OF SEPTEMBER 30, 2022 AND DECEMBER 31, 2021</w:t>
            </w:r>
          </w:p>
        </w:tc>
        <w:tc>
          <w:tcPr>
            <w:tcW w:w="6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F-57</w:t>
            </w: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EQUITY FOR THE NINE MONTHS ENDED SEPTEMBER 30, 2022 AND</w:t>
            </w:r>
          </w:p>
        </w:tc>
        <w:tc>
          <w:tcPr>
            <w:tcW w:w="40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F-58</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4460" w:type="dxa"/>
            <w:vAlign w:val="bottom"/>
            <w:gridSpan w:val="1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CASH FLOWS FOR THE NINE MONTHS ENDED SEPTEMBER 30, 2022 AND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F-59</w:t>
            </w:r>
          </w:p>
        </w:tc>
      </w:tr>
      <w:tr>
        <w:trPr>
          <w:trHeight w:val="196"/>
        </w:trPr>
        <w:tc>
          <w:tcPr>
            <w:tcW w:w="100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COMBINED FINANCIAL STATEMENTS</w:t>
            </w:r>
          </w:p>
        </w:tc>
        <w:tc>
          <w:tcPr>
            <w:tcW w:w="52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F-60</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98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00" w:type="dxa"/>
            <w:vAlign w:val="bottom"/>
            <w:gridSpan w:val="15"/>
          </w:tcPr>
          <w:p>
            <w:pPr>
              <w:ind w:left="52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Electric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statement of financial position of GE Healthcare Holding LLC (the “Company”) (a wholly owned subsidiary of General Electric Company) as of May 16, 2022 and the related noted (collectively referred to as the “financial statement”). In our opinion, the financial statement presents fairly, in all material respects, the financial position of the Company as of May 16, 2022 in conformity with accounting principles generally accepted in the United States of America.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 that were communicated or required to be communicated to the audit committee and that (1) relate to accounts of disclosures that are material to the financial statement and (2) involved our especially, challenging, subjective, or complex judgements. We determined that there are no critical audit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29,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 HOLDING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0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May 16, 2022 (in dollars)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10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100,000 shares authorized, 100 shares issued and outstanding</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r>
      <w:tr>
        <w:trPr>
          <w:trHeight w:val="223"/>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GE HEALTHCARE HOLDING LLC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STATEMENT OF FINANCIAL POSITION</w:t>
      </w:r>
    </w:p>
    <w:p>
      <w:pPr>
        <w:spacing w:after="0" w:line="203"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GE Healthcare Holding LLC (the “Company”) was formed as a Delaware limited liability company on May 16, 2022. Pursuant to a reorganization, the Company will become a holding corporation whose assets are expected to include all of the outstanding equity interest of GE HealthCare, a business of General Electric Company (“GE”). The Company will, through GE HealthCare, continue to conduct the business now conducted by such entities. As a result, the Company will consolidate the financial results of GE HealthCare at a future date when the GE HealthCare business of GE is contributed to the Company in a spin transaction.</w:t>
      </w:r>
    </w:p>
    <w:p>
      <w:pPr>
        <w:spacing w:after="0" w:line="287"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Statement of Financial Position has been prepared in accordance with accounting principles generally accepted in the United States of America. Separate statements of income, comprehensive income, changes in equity, and cash flows have not been presented in the financial statements because there have been no material operating or non-operating activities in this entity.</w:t>
      </w:r>
    </w:p>
    <w:p>
      <w:pPr>
        <w:spacing w:after="0" w:line="172"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SUBSCRIPTION RECEIVABLE</w:t>
      </w:r>
      <w:r>
        <w:rPr>
          <w:rFonts w:ascii="Times New Roman" w:cs="Times New Roman" w:eastAsia="Times New Roman" w:hAnsi="Times New Roman"/>
          <w:sz w:val="18"/>
          <w:szCs w:val="18"/>
          <w:color w:val="auto"/>
        </w:rPr>
        <w:t>. Subscription receivable represents cash not yet collected from stockholders for the issuance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As of May 16, 2022, the subscription receivable balance of $1.00 was the result of the issuance of 100 shares to GE.</w:t>
      </w:r>
    </w:p>
    <w:p>
      <w:pPr>
        <w:spacing w:after="0" w:line="263"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 shares of common stock, par value $0.01 per share (“Common Stock”). As of May 16, 2022, the Company has issued 100 shares of Common Stock in exchange for a subscription agreement to receive $1.00 from GE.</w:t>
      </w:r>
    </w:p>
    <w:p>
      <w:pPr>
        <w:spacing w:after="0" w:line="266"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has evaluated events and transactions that occurred after the date of our accompanying Statement of Financial Position through July 29, 2022, the date this financial statement was available for issuance, for potential recognition or disclosure in the financial statement. Prior to the release of this financial statement, the subscription receivable has been paid. There were no other material recognized or unrecognized subsequent events.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980"/>
          </w:cols>
          <w:pgMar w:left="320" w:top="455" w:right="5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 HOLDING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FINANCIAL POSITION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dollars)</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May 16,</w:t>
            </w:r>
          </w:p>
        </w:tc>
        <w:tc>
          <w:tcPr>
            <w:tcW w:w="0" w:type="dxa"/>
            <w:vAlign w:val="bottom"/>
          </w:tcPr>
          <w:p>
            <w:pPr>
              <w:spacing w:after="0"/>
              <w:rPr>
                <w:sz w:val="1"/>
                <w:szCs w:val="1"/>
                <w:color w:val="auto"/>
              </w:rPr>
            </w:pPr>
          </w:p>
        </w:tc>
      </w:tr>
      <w:tr>
        <w:trPr>
          <w:trHeight w:val="173"/>
        </w:trPr>
        <w:tc>
          <w:tcPr>
            <w:tcW w:w="8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Common stock, par value $0.01 per share, 100,000 shares authorized, 100 shares issued and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2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 HEALTHCARE HOLDING LLC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STATEMENTS OF FINANCIAL POSITION (UNAUDITED)</w:t>
      </w:r>
    </w:p>
    <w:p>
      <w:pPr>
        <w:spacing w:after="0" w:line="203"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GE Healthcare Holding LLC (the “Company”) was formed as a Delaware limited liability company on May 16, 2022. Pursuant to a reorganization, the Company will become a holding corporation whose assets are expected to include all of the outstanding equity interest of GE HealthCare, a business of General Electric Company (“GE”). The Company will, through GE HealthCare, continue to conduct the business now conducted by such entities. As a result, the Company will consolidate the financial results of GE HealthCare at a future date when the GE HealthCare business of GE is contributed to the Company in a spin transaction.</w:t>
      </w:r>
    </w:p>
    <w:p>
      <w:pPr>
        <w:spacing w:after="0" w:line="287"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condensed Statements of Financial Position have been prepared in accordance with accounting principles generally accepted in the United States of America (“U.S. GAAP”). Separate statements of income, comprehensive income, changes in equity, and cash flows have not been presented in the financial statements because there have been no material operating or non-operating activities in this entity. As of September 30, 2022, the activity of the Company included the issuance of 100 shares of common stock on May 16, 2022, in exchange for a subscription receivable of $1.00, which was subsequently collected.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Statement of Financial Position as of September 30, 2022 has been prepared pursuant to the rules and regulations of the Securities and Exchange Commission (“SEC”) applicable to interim financial statements. Accordingly, certain information related to our significant accounting policies and footnote disclosures normally included in financial statements prepared in accordance with U.S. GAAP have been condensed or omitted. These unaudited condensed financial statements reflect, in the opinion of management, all material adjustments (which include only normally recurring adjustments) necessary to fairly state, in all material respects, our financial position for the period presented.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Cash includes deposits in a financial institution.</w:t>
      </w:r>
    </w:p>
    <w:p>
      <w:pPr>
        <w:spacing w:after="0" w:line="22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SUBSCRIPTION RECEIVABLE</w:t>
      </w:r>
      <w:r>
        <w:rPr>
          <w:rFonts w:ascii="Times New Roman" w:cs="Times New Roman" w:eastAsia="Times New Roman" w:hAnsi="Times New Roman"/>
          <w:sz w:val="18"/>
          <w:szCs w:val="18"/>
          <w:color w:val="auto"/>
        </w:rPr>
        <w:t>. Subscription receivable represents cash not yet collected from stockholders for the issuance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As of May 16, 2022, the subscription receivable balance of $1.00 was the result of the issuance of 100 shares to GE. As of September 30, 2022, the subscription receivable has been collected.</w:t>
      </w:r>
    </w:p>
    <w:p>
      <w:pPr>
        <w:spacing w:after="0" w:line="279"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 shares of common stock, par value $0.01 per share (“Common Stock”). The Company has issued 100 shares of Common Stock in exchange for $1.00, all of which were held by GE at September 30, 2022 and May 16, 2022.</w:t>
      </w:r>
    </w:p>
    <w:p>
      <w:pPr>
        <w:spacing w:after="0" w:line="266"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that occurred after the date of our accompanying condensed Statement of Financial Position through October 11, 2022, the date these unaudited condensed financial statements were available for issuance, for potential recognition or disclosure in the unaudited condensed financial statements. There were no material recognized or unrecognized subsequent events.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Events Subsequent to Original Issuance of the Condensed Financial Statements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reissuance of the condensed financial statements, the Company has evaluated unrecognized subsequent events through November 18, 2022, the date these condensed financial statements were available for reissuance.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November 4, 2022, the Company entered into credit agreements providing for a $2.5 billion unsecured, unsubordinated 5-year revolving credit facility, a $2.0 billion unsecured, unsubordinated 3-year term loan credit facility, and a $1.0 billion unsecured, unsubordinated 364-day revolving credit facility. Funds under the facilities are not available until certain closing conditions have been met, including consummation of the GE HealthCare separation from GE.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November 9, 2022, the Company offered $8.25 billion of unsecured senior notes consisting of the following: $1.0 billion of 5.550% senior notes due 2024, $1.5 billion of 5.600% senior notes due 2025, $1.75 billion of 5.650% senior notes due 2027, $1.25 billion of 5.857% senior notes due 2030, $1.75 billion of 5.905% senior notes due 2032 and $1.0 billion of 6.377% senior notes due 2052 (collectively, the “Notes”). The Notes offering is expected to close on November 22, 2022. In addition, the Company entered into certain Euro to U.S. Dollar cross currency interest rate swap arrangements with a notional amount of $2.0 billion and maturities ranging from 2024 to 2025.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Electric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statement of financial position of GE HealthCare, a business of General Electric Company, (the “Company”) as of December 31, 2021, the related combined statements of income, comprehensive income, changes in equity, and cash flow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year ended December 31, 2021,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87" w:lineRule="exact"/>
        <w:rPr>
          <w:sz w:val="20"/>
          <w:szCs w:val="20"/>
          <w:color w:val="auto"/>
        </w:rPr>
      </w:pPr>
    </w:p>
    <w:p>
      <w:pPr>
        <w:ind w:left="120" w:right="27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Income Taxes — Valuation Allowance on Deferred Tax Assets — Refer to Note 11 to the financial statements </w:t>
      </w:r>
      <w:r>
        <w:rPr>
          <w:rFonts w:ascii="Times New Roman" w:cs="Times New Roman" w:eastAsia="Times New Roman" w:hAnsi="Times New Roman"/>
          <w:sz w:val="18"/>
          <w:szCs w:val="18"/>
          <w:i w:val="1"/>
          <w:iCs w:val="1"/>
          <w:color w:val="auto"/>
        </w:rPr>
        <w:t>Critical Audit Matter Description</w:t>
      </w: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deferred income taxes for tax attributes and for differences between the financial statement and tax basis of assets and liabilities at enacted statutory tax rates in effect for the years in which the deferred tax liability or asset is expected to be settled or realized. A valuation allowance is provided to offset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deferred tax assets if, based upon the available evidence, it is more likely than not that some or all of the deferred tax assets will not be realized. Future realization of deferred tax assets depends on the existence of sufficient taxable income of the appropriate character. Sources of taxable income include future reversals of deferred tax assets and liabilities, expected future taxable income, taxable income in prior carryback years if permitted under the tax law, and tax planning strategies.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valuation allowance for deferred tax assets was $279 million as of December 31, 2021. The Company’s determination of the valuation allowance involves judgments and estimates. Management’s primary estimates used to determine whether deferred tax assets are more likely than not to be realized and to measure the related valuation allowances are the projected timing and pattern of future reversals of existing taxable temporary differences and the projection of future sources of taxable income. Auditing management’s projected timing and pattern of future reversals of existing taxable temporary differences and the projection of future sources of taxable income, which affect the recorded valuation allowances, required a high degree of auditor judgment and an increased extent of effort, including the need to involve our income tax specialists.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procedures related to estimated future sources of taxable income included the following, among others:</w:t>
      </w:r>
    </w:p>
    <w:p>
      <w:pPr>
        <w:spacing w:after="0" w:line="131" w:lineRule="exact"/>
        <w:rPr>
          <w:sz w:val="20"/>
          <w:szCs w:val="20"/>
          <w:color w:val="auto"/>
        </w:rPr>
      </w:pPr>
    </w:p>
    <w:p>
      <w:pPr>
        <w:ind w:left="1080" w:right="38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considered relevant tax laws and regulations in evaluating the appropriateness of management’s estimates of future sources of taxable income.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estimates of future sources of taxable income by comparing the estimates to historical sources of taxable income or loss.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projected timing and projected pattern of the reversals of existing taxable temporary differences.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evaluated whether the estimated future sources of taxable income were of the appropriate character to utilize the deferred tax assets under tax law.</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that it is more likely than not that sufficient taxable income will be generated in the future to utilize certain net deferred tax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estimates of future taxable income were consistent with evidence obtained in other areas of the audit.</w:t>
      </w:r>
    </w:p>
    <w:p>
      <w:pPr>
        <w:spacing w:after="0" w:line="329" w:lineRule="exact"/>
        <w:rPr>
          <w:sz w:val="20"/>
          <w:szCs w:val="20"/>
          <w:color w:val="auto"/>
        </w:rPr>
      </w:pPr>
    </w:p>
    <w:p>
      <w:pPr>
        <w:ind w:left="120" w:right="25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Income Taxes — Application of Separate Return Method — Refer to Notes 2 and 11 to the financial statements </w:t>
      </w:r>
      <w:r>
        <w:rPr>
          <w:rFonts w:ascii="Times New Roman" w:cs="Times New Roman" w:eastAsia="Times New Roman" w:hAnsi="Times New Roman"/>
          <w:sz w:val="18"/>
          <w:szCs w:val="18"/>
          <w:i w:val="1"/>
          <w:iCs w:val="1"/>
          <w:color w:val="auto"/>
        </w:rPr>
        <w:t>Critical Audit Matter Description</w:t>
      </w: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is included in certain U.S. and non — U.S. tax filings of General Electric Company. For purposes of these financial statements, the Company’s income tax provision is determined on a separate return basis as if the Company was a stand-alone entity, based on management’s interpretation of the tax regulations and rulings in numerous taxing jurisdictions. When calculating the income tax provision, management made certain estimates and assumptions when identifying and measuring deferred tax assets and liabilities and uncertain tax positions. The income tax provision for the Company for 2021 was $600 million. The Company’s net deferred tax asset was $902 million as of December 31, 2021. The Company’s liability for unrecognized tax benefits was $365 million as of December 31, 2021.</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Given the number of taxing jurisdictions and the complex and subjective nature of the associated tax regulations and rulings, auditing management’s application of the separate return method required a high degree of auditor judgment and increased extent of effort, including the need to involve our income tax specialists.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With the assistance of our income tax specialists, our audit procedures related to management’s application of the separate return method included the following, among others:</w:t>
      </w:r>
    </w:p>
    <w:p>
      <w:pPr>
        <w:spacing w:after="0" w:line="67" w:lineRule="exact"/>
        <w:rPr>
          <w:sz w:val="20"/>
          <w:szCs w:val="20"/>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of the Company’s identification of deferred tax assets and liabilities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deferred tax assets and liabilities to those historically identified and accounted for by General Electric Company.</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deferred tax assets and liabilities attributed to allocations of assets and liabilities historically held by General Electric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deferred tax assets and liabilities and tested the accuracy, completeness, and classification of each selection.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the non – U.S. income tax provision by jurisdiction and compared it to the recorded balances to further evaluate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computations supporting the U.S. Federal and State income tax provision.</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judgments regarding the identification and measurement of uncertain tax positions by analyzing uncertain tax positions of General Electric Company and determining which positions were attributable to the separate operations of the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29,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5"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Electric Company: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Combined Financial Statements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statement of financial position of GE HealthCare (a carve-out business of General Electric Company) (the Company) as of December 31, 2020, the related combined statements of income, comprehensive income, changes in equity, and cash flows for each of the years in the two-year period ended December 31, 2020, and the related notes (collectively, the combined financial statements). In our opinion, the combined financial statements present fairly, in all material respects, the financial position of the Company as of December 31, 2020, and the results of its operations and its cash flows for each of the years in the two-year period ended December 31, 2020,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from 2022 to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29, 2022</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0980"/>
          </w:cols>
          <w:pgMar w:left="320" w:top="455" w:right="5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years ended December 31 ($ in millions)</w:t>
            </w:r>
          </w:p>
        </w:tc>
        <w:tc>
          <w:tcPr>
            <w:tcW w:w="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r>
      <w:tr>
        <w:trPr>
          <w:trHeight w:val="209"/>
        </w:trPr>
        <w:tc>
          <w:tcPr>
            <w:tcW w:w="8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11,165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$11,016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6,161</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17,585</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16,633</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3,327</w:t>
            </w:r>
          </w:p>
        </w:tc>
      </w:tr>
      <w:tr>
        <w:trPr>
          <w:trHeight w:val="23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6,548</w:t>
            </w:r>
          </w:p>
        </w:tc>
        <w:tc>
          <w:tcPr>
            <w:tcW w:w="120" w:type="dxa"/>
            <w:vAlign w:val="bottom"/>
          </w:tcPr>
          <w:p>
            <w:pPr>
              <w:spacing w:after="0"/>
              <w:rPr>
                <w:sz w:val="20"/>
                <w:szCs w:val="20"/>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816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4,047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4,424</w:t>
            </w:r>
          </w:p>
        </w:tc>
      </w:tr>
      <w:tr>
        <w:trPr>
          <w:trHeight w:val="23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2,124</w:t>
            </w:r>
          </w:p>
        </w:tc>
        <w:tc>
          <w:tcPr>
            <w:tcW w:w="120" w:type="dxa"/>
            <w:vAlign w:val="bottom"/>
          </w:tcPr>
          <w:p>
            <w:pPr>
              <w:spacing w:after="0"/>
              <w:rPr>
                <w:sz w:val="20"/>
                <w:szCs w:val="20"/>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benefit costs</w:t>
            </w:r>
          </w:p>
        </w:tc>
        <w:tc>
          <w:tcPr>
            <w:tcW w:w="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2,091</w:t>
            </w: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1,553</w:t>
            </w: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13,846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1,524</w:t>
            </w:r>
          </w:p>
        </w:tc>
        <w:tc>
          <w:tcPr>
            <w:tcW w:w="12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years ended December 31 ($ in millions)</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r>
      <w:tr>
        <w:trPr>
          <w:trHeight w:val="209"/>
        </w:trPr>
        <w:tc>
          <w:tcPr>
            <w:tcW w:w="8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$13,846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2,293</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13,897</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1,553</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 net of taxes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1,062</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 — net of taxes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and cash flow hedges — net of taxes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Pr>
          <w:p>
            <w:pPr>
              <w:spacing w:after="0"/>
              <w:rPr>
                <w:sz w:val="20"/>
                <w:szCs w:val="20"/>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2,095</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15,080</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GE HealthCare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2,049</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15,029</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1,381</w:t>
            </w:r>
          </w:p>
        </w:tc>
      </w:tr>
      <w:tr>
        <w:trPr>
          <w:trHeight w:val="20"/>
        </w:trPr>
        <w:tc>
          <w:tcPr>
            <w:tcW w:w="8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FINANCIAL POSITION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December 31 ($ in millions)</w:t>
            </w:r>
          </w:p>
        </w:tc>
        <w:tc>
          <w:tcPr>
            <w:tcW w:w="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 net of allowances of $107 and $93</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and other deferred assets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5,896</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12,892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11,868</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26,308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24,228</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6,761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6,524</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223</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17,692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 net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GE HealthCare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16,655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16,676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26,308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24,228</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12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5420" w:type="dxa"/>
            <w:vAlign w:val="bottom"/>
            <w:gridSpan w:val="2"/>
            <w:vMerge w:val="continue"/>
          </w:tcPr>
          <w:p>
            <w:pPr>
              <w:spacing w:after="0"/>
              <w:rPr>
                <w:sz w:val="15"/>
                <w:szCs w:val="15"/>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income (loss) — net</w:t>
            </w:r>
          </w:p>
        </w:tc>
        <w:tc>
          <w:tcPr>
            <w:tcW w:w="160" w:type="dxa"/>
            <w:vAlign w:val="bottom"/>
          </w:tcPr>
          <w:p>
            <w:pPr>
              <w:spacing w:after="0"/>
              <w:rPr>
                <w:sz w:val="15"/>
                <w:szCs w:val="15"/>
                <w:color w:val="auto"/>
              </w:rPr>
            </w:pPr>
          </w:p>
        </w:tc>
        <w:tc>
          <w:tcPr>
            <w:tcW w:w="14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2019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23,203</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effect of adoption of new accounting principles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adjustments — net of taxes</w:t>
            </w:r>
          </w:p>
        </w:tc>
        <w:tc>
          <w:tcPr>
            <w:tcW w:w="100" w:type="dxa"/>
            <w:vAlign w:val="bottom"/>
          </w:tcPr>
          <w:p>
            <w:pPr>
              <w:spacing w:after="0"/>
              <w:rPr>
                <w:sz w:val="18"/>
                <w:szCs w:val="18"/>
                <w:color w:val="auto"/>
              </w:rPr>
            </w:pP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 net of taxes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securities and cash flow hedges — net of taxes</w:t>
            </w:r>
          </w:p>
        </w:tc>
        <w:tc>
          <w:tcPr>
            <w:tcW w:w="100" w:type="dxa"/>
            <w:vAlign w:val="bottom"/>
          </w:tcPr>
          <w:p>
            <w:pPr>
              <w:spacing w:after="0"/>
              <w:rPr>
                <w:sz w:val="18"/>
                <w:szCs w:val="18"/>
                <w:color w:val="auto"/>
              </w:rPr>
            </w:pP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Parent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equity attributable to noncontrolling interests</w:t>
            </w:r>
          </w:p>
        </w:tc>
        <w:tc>
          <w:tcPr>
            <w:tcW w:w="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21,397</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effect of adoption of new accounting principles</w:t>
            </w:r>
          </w:p>
        </w:tc>
        <w:tc>
          <w:tcPr>
            <w:tcW w:w="10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13,846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13,854</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adjustments — net of taxes</w:t>
            </w:r>
          </w:p>
        </w:tc>
        <w:tc>
          <w:tcPr>
            <w:tcW w:w="100" w:type="dxa"/>
            <w:vAlign w:val="bottom"/>
          </w:tcPr>
          <w:p>
            <w:pPr>
              <w:spacing w:after="0"/>
              <w:rPr>
                <w:sz w:val="18"/>
                <w:szCs w:val="18"/>
                <w:color w:val="auto"/>
              </w:rPr>
            </w:pP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 net of taxes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securities and cash flow hedges — net of taxes</w:t>
            </w:r>
          </w:p>
        </w:tc>
        <w:tc>
          <w:tcPr>
            <w:tcW w:w="100" w:type="dxa"/>
            <w:vAlign w:val="bottom"/>
          </w:tcPr>
          <w:p>
            <w:pPr>
              <w:spacing w:after="0"/>
              <w:rPr>
                <w:sz w:val="18"/>
                <w:szCs w:val="18"/>
                <w:color w:val="auto"/>
              </w:rPr>
            </w:pP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Parent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(21,661)</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(21,661)</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equity attributable to noncontrolling interests</w:t>
            </w:r>
          </w:p>
        </w:tc>
        <w:tc>
          <w:tcPr>
            <w:tcW w:w="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15,566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(839)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14,751</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 net of taxes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 — net of taxes</w:t>
            </w:r>
          </w:p>
        </w:tc>
        <w:tc>
          <w:tcPr>
            <w:tcW w:w="100" w:type="dxa"/>
            <w:vAlign w:val="bottom"/>
          </w:tcPr>
          <w:p>
            <w:pPr>
              <w:spacing w:after="0"/>
              <w:rPr>
                <w:sz w:val="18"/>
                <w:szCs w:val="18"/>
                <w:color w:val="auto"/>
              </w:rPr>
            </w:pPr>
          </w:p>
        </w:tc>
        <w:tc>
          <w:tcPr>
            <w:tcW w:w="12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and cash flow hedges — net of taxes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(to) Parent</w:t>
            </w:r>
          </w:p>
        </w:tc>
        <w:tc>
          <w:tcPr>
            <w:tcW w:w="10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equity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17,692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years ended December 31 ($ in millions)</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2,293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1,681</w:t>
            </w: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from continuing operations to Cash from (used for) operating activities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effects of acquisitions and dispositions: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(1,336)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Contract and other deferred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other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(used for) operating activities — continuing operations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3"/>
              </w:rPr>
              <w:t>1,607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 of property, plant,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internal-use software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All other investing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from (used for) investing activities —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(1,761)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(313)</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borrowings (maturities of 90 days or less)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Newly issued debt (maturities longer than 90 days)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and other reductions (maturities longer than 90 days)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Parent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(1,334)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(used for) financing activities — continuing operations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(1,435)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(used for) operating activities — 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from (used for) investing activities — discontinued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20,309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(used for) financing activities — 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(19,378)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cash equivalents, and 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cash equivalents and restricted cash of discontinued operations at December 31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December 31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561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F-16</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years ended December 31 ($ in millions)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r>
      <w:tr>
        <w:trPr>
          <w:trHeight w:val="209"/>
        </w:trPr>
        <w:tc>
          <w:tcPr>
            <w:tcW w:w="8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(21)</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(73)</w:t>
            </w:r>
          </w:p>
        </w:tc>
      </w:tr>
      <w:tr>
        <w:trPr>
          <w:trHeight w:val="90"/>
        </w:trPr>
        <w:tc>
          <w:tcPr>
            <w:tcW w:w="8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 included in accounts payable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ASC 842 lease asset and liability recorded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480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20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(U.S. Dollars in millions unless otherwise stated)</w:t>
      </w:r>
    </w:p>
    <w:p>
      <w:pPr>
        <w:spacing w:after="0" w:line="221"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THE BUSINESS AND BASIS OF PRESENTATION</w:t>
      </w:r>
    </w:p>
    <w:p>
      <w:pPr>
        <w:spacing w:after="0" w:line="11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GE HealthCare (the “Company,” “our,” or “we”) is a carve-out business of General Electric Company (“GE”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“Parent”).</w:t>
      </w:r>
    </w:p>
    <w:p>
      <w:pPr>
        <w:spacing w:after="0" w:line="15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November 9, 2021, GE announced a strategic plan to form three industry-leading, global public companies focused on the growth sectors of aviation, healthcare, and energy.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 HealthCare is a leading global medical technology, pharmaceutical diagnostics, and digital solutions innovator. Our products, solutions, and services span the continuum of patient care, including screening, diagnosis, treatment, and monitoring, with the goal of empowering clinicians to deliver better care at lower cost.</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customers include healthcare providers as well as researchers, including public, private, and academic institutions. We sell our products through a combination of a global sales force and a network of channel partners, including distributors and other third parties.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are organized into four business segments that are aligned with the industries we serve: Imaging, Ultrasound, Patient Care Solutions (“PCS”), and Pharmaceutical Diagnostics (“PDx”). Within our segments, we offer products, service capabilities, and digital solutions that are utilized by customers to improve workflows, enhance the patient and clinician experience, deliver care more efficiently and at a lower cost, and improve clinical outcomes.</w:t>
      </w:r>
    </w:p>
    <w:p>
      <w:pPr>
        <w:spacing w:after="0" w:line="70"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i w:val="1"/>
          <w:iCs w:val="1"/>
          <w:color w:val="auto"/>
        </w:rPr>
        <w:t>Imaging</w:t>
      </w:r>
      <w:r>
        <w:rPr>
          <w:rFonts w:ascii="Times New Roman" w:cs="Times New Roman" w:eastAsia="Times New Roman" w:hAnsi="Times New Roman"/>
          <w:sz w:val="18"/>
          <w:szCs w:val="18"/>
          <w:color w:val="auto"/>
        </w:rPr>
        <w:t>: Portfolio of medical imaging equipment, including MR, CT, molecular imaging, X-ray, mammography, image-guided therapy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imaging, service capabilities, and digital solutions;</w:t>
      </w:r>
    </w:p>
    <w:p>
      <w:pPr>
        <w:spacing w:after="0" w:line="50" w:lineRule="exact"/>
        <w:rPr>
          <w:sz w:val="20"/>
          <w:szCs w:val="20"/>
          <w:color w:val="auto"/>
        </w:rPr>
      </w:pPr>
    </w:p>
    <w:p>
      <w:pPr>
        <w:ind w:left="560" w:right="480"/>
        <w:spacing w:after="0" w:line="284" w:lineRule="auto"/>
        <w:rPr>
          <w:sz w:val="20"/>
          <w:szCs w:val="20"/>
          <w:color w:val="auto"/>
        </w:rPr>
      </w:pPr>
      <w:r>
        <w:rPr>
          <w:rFonts w:ascii="Times New Roman" w:cs="Times New Roman" w:eastAsia="Times New Roman" w:hAnsi="Times New Roman"/>
          <w:sz w:val="18"/>
          <w:szCs w:val="18"/>
          <w:i w:val="1"/>
          <w:iCs w:val="1"/>
          <w:color w:val="auto"/>
        </w:rPr>
        <w:t>Ultrasound</w:t>
      </w:r>
      <w:r>
        <w:rPr>
          <w:rFonts w:ascii="Times New Roman" w:cs="Times New Roman" w:eastAsia="Times New Roman" w:hAnsi="Times New Roman"/>
          <w:sz w:val="18"/>
          <w:szCs w:val="18"/>
          <w:color w:val="auto"/>
        </w:rPr>
        <w:t>: Ultrasound solutions, including consoles and probes, handheld devices, intraoperative imaging systems, visualization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capabilities, and digital solutions;</w:t>
      </w:r>
    </w:p>
    <w:p>
      <w:pPr>
        <w:spacing w:after="0" w:line="50" w:lineRule="exact"/>
        <w:rPr>
          <w:sz w:val="20"/>
          <w:szCs w:val="20"/>
          <w:color w:val="auto"/>
        </w:rPr>
      </w:pPr>
    </w:p>
    <w:p>
      <w:pPr>
        <w:ind w:left="560" w:right="380"/>
        <w:spacing w:after="0" w:line="284" w:lineRule="auto"/>
        <w:rPr>
          <w:sz w:val="20"/>
          <w:szCs w:val="20"/>
          <w:color w:val="auto"/>
        </w:rPr>
      </w:pPr>
      <w:r>
        <w:rPr>
          <w:rFonts w:ascii="Times New Roman" w:cs="Times New Roman" w:eastAsia="Times New Roman" w:hAnsi="Times New Roman"/>
          <w:sz w:val="18"/>
          <w:szCs w:val="18"/>
          <w:i w:val="1"/>
          <w:iCs w:val="1"/>
          <w:color w:val="auto"/>
        </w:rPr>
        <w:t>Patient Care Solutions</w:t>
      </w:r>
      <w:r>
        <w:rPr>
          <w:rFonts w:ascii="Times New Roman" w:cs="Times New Roman" w:eastAsia="Times New Roman" w:hAnsi="Times New Roman"/>
          <w:sz w:val="18"/>
          <w:szCs w:val="18"/>
          <w:color w:val="auto"/>
        </w:rPr>
        <w:t>: Patient monitoring, anesthesia and respiratory care, maternal infant care, diagnostic cardiology, consumables,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and digital solutions; and</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Pharmaceutical Diagnostics: </w:t>
      </w:r>
      <w:r>
        <w:rPr>
          <w:rFonts w:ascii="Times New Roman" w:cs="Times New Roman" w:eastAsia="Times New Roman" w:hAnsi="Times New Roman"/>
          <w:sz w:val="18"/>
          <w:szCs w:val="18"/>
          <w:color w:val="auto"/>
        </w:rPr>
        <w:t>Imaging agents that include contrast media and radiopharmaceuticals that enhance diagnostic images.</w:t>
      </w:r>
    </w:p>
    <w:p>
      <w:pPr>
        <w:spacing w:after="0" w:line="22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February 2019, we announced an agreement to sell our BioPharma business to Danaher Corporation. This sale was completed on March 31, 2020. The historical results of the BioPharma business have been reflected as discontinued operations in the combined financial statements through the date of the sale. See Note 18, “Discontinued Operations” for further information.</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GE HealthCare historically operated as a consolidated business of GE. The combined financial statements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These combined financial statements do not purport to reflect what the results of operations, comprehensive income, financial position, or cash flows would have been had the Company operated as a separate, stand-alone entity during the periods presented.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have been prepared in accordance with U.S. generally accepted accounting principles (“U.S. GAAP”) and present the historical results of operations, comprehensive income, and cash flows for the years ended December 31, 2021, 2020, and 2019 and the financial position as of December 31, 2021 and 2020.</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intercompany balances and transactions within the Company have been eliminated in the combined financial statements. As described in Note 17, “Related Parties,” certain transactions between the Company and GE have been included in these combined financial statements.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combined Statements of Financial Position reflect all of the assets and liabilities of GE that are specifically identifiable as being directly attributable to the Company, including Net parent investment as a component of equity. Net parent investment represents GE’s historical investment in the Company and includes accumulated net income attributable to the Company, and the net effect of transactions with GE and its subsidiaries. Certain financing transactions with GE are non-cash in nature and therefore have not been reflected in the combined Statements of Cash Flows.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GE uses a centralized approach to cash management and financing of its operations. These arrangements may not be reflective of the way the Company would have financed its operations had it been a separate, stand-alone entity during the periods presented. The centralized cash management arrangements are excluded from the asset and liability balances in the combined Statements of Financial Position. These amounts have instead been included in Net parent investment as a component of equity. GE’s third-party debt and related interest expense have not been attributed to the Company because the Company is not the legal obligor of the debt and the borrowings are not specifically identifiable to the Company.</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combined Statements of Income include expense allocations for certain corporate, infrastructure, and shared services expenses provided by GE on a centralized basis (“GE Corporate Costs”), including, but not limited to finance, supply chain, human resources, information technology, insurance, employee benefits, and other expenses that are either specifically identifiable or clearly applicable to the Company. These expenses have been allocated to the Company on the basis of direct usage when identifiable, with the remainder allocated on a pro rata basis using an applicable measure of headcount, revenue, or other allocation methodologies that are considered to be a reasonable reflection of the utilization of services provided or the benefit received by GE HealthCare during the periods presented. However, the GE Corporate Costs allocations may not be indicative of the actual expense that would have been incurred had the Company operated as an independent, stand-alone public entity, nor are they indicative of the Company’s future expenses. See Note 17, “Related Parties,” for further information.</w:t>
      </w:r>
    </w:p>
    <w:p>
      <w:pPr>
        <w:spacing w:after="0" w:line="296"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ESTIMATES AND ASSUMPTIONS</w:t>
      </w:r>
      <w:r>
        <w:rPr>
          <w:rFonts w:ascii="Times New Roman" w:cs="Times New Roman" w:eastAsia="Times New Roman" w:hAnsi="Times New Roman"/>
          <w:sz w:val="18"/>
          <w:szCs w:val="18"/>
          <w:color w:val="auto"/>
        </w:rPr>
        <w:t>. The preparation of the combined financial statements in conformity with U.S. GAAP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based on assumptions about current, and for some estimates, future, economic, and market conditions, which affect the reported amounts and related disclosures in the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18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Estimates are used for, but are not limited to, determining the following: revenue from contracts with customers, recoverability of long-lived assets and inventory, valuation of goodwill and intangible assets, useful lives used in depreciation and amortization, asset retirement obligations, income taxes and related valuation allowances, accruals for contingencies including legal and product warranties, actuarial assumptions used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determine costs of pension and other postretirement benefits, valuation and recoverability of receivables, valuation of derivatives, and valuation of assets acquired, liabilities assumed, and contingent consideration as a result of acquisitions.</w:t>
      </w:r>
    </w:p>
    <w:p>
      <w:pPr>
        <w:spacing w:after="0" w:line="16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While there has not been a material impact to our accounting estimates as of December 31, 2021 and December 31, 2020 and the results for the years ended December 31, 2021, 2020, and 2019, a number of estimates could be affected by the ongoing Coronavirus Disease 2019 (“COVID-19”) pandemic. The severity, magnitude, and duration, as well as the economic consequences of the COVID-19 pandemic, are uncertain and difficult to predict. As a result, our accounting estimates and assumptions may change over time in response to COVID-19. Such changes could result in future impairments of goodwill, intangible assets, long-lived assets, and investment securities, incremental credit losses on receivables, a decrease in the realizability of our tax assets, or an increase in our related obligations as of the time of a relevant measurement event.</w:t>
      </w:r>
    </w:p>
    <w:p>
      <w:pPr>
        <w:spacing w:after="0" w:line="183"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Our revenues primarily consist of sales of products and services to customers. Products include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agents, software related offerings, and upgrades. Services include contractual and stand-by preventative maintenance and corrective services, which includes parts and labor, extended warranties, training, and other service type offerings. The Company recognizes revenue from contracts with customers when the customer obtains control of the underlying products or services.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recognizes a contract with a customer when there is a legally enforceable agreement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sales incentives, discounts, returns, chargebacks, group purchasing organization (“GPO”) fees, rebates, or credits, as well as taxes collected from customers that are remitted to government authorities. Our estimate for these deductions, which are accounted for as variable consideration, is based on historical experience and considers current and forecasted market trends. We record these estimated amounts as a reduction to revenue when we recognize the related product or service sales. Payment terms are generally within 12 months. Payment terms within 12 months are not treated as significant financing components.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Contracts for the sale of products and services often include multiple distinct performance obligations, usually involving an upfront deliverable of equipment and future performance obligations such as installation, training, or the future delivery of products or services. If a contract contains more than one performance obligation, the transaction price is allocated to each performance obligation based on relative stand-alone selling price. Stand-alone selling price is obtained from sources such as the separate selling price for that or a similar item if reasonably available. If such evidence is not reasonably available, we use our best estimate of selling price, which is established consistent with the pricing strategy of the Company and considers product configuration, geography, customer type, and other market-specific factors.</w:t>
      </w:r>
    </w:p>
    <w:p>
      <w:pPr>
        <w:spacing w:after="0" w:line="18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Revenue is recognized in the period in which the customer obtains control of the underlying products or services allowing them the ability to direct the use of, and obtain substantially all, of the remaining benefits of such product or service. This may occur at a point in time or over time. Shipping and handling costs to deliver products to customers are expensed as incurred and recorded in Cost of products or Cost of services.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standard, assurance-type warranties that are provided with products, we estimate the cost that may be incurred during the warranty period and record a liability at the time the revenue is recognized. The provision recorded reflects the estimated costs of replacement and free-of-charge services that will be incurred related to the products sold. Service-type warranties or extended warranties sold with products are considered separate performance obligations. As such, a portion of the overall transaction price is allocated to these performance obligations and recognized in revenue over time, as the performance obligations are satisfied.</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capitalizes certain direct incremental costs incurred to obtain a contract, primarily commissions. Costs to obtain a contract are classified as current or non-current assets in the combined Statements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of Financial Position and are recognized based on the timing of when the Company expects to earn related revenues. Management assesses these costs for impairment based on periodic assessments of recoverability.</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Performance Obligations Satisfied at a Point in Time</w:t>
      </w:r>
      <w:r>
        <w:rPr>
          <w:rFonts w:ascii="Times New Roman" w:cs="Times New Roman" w:eastAsia="Times New Roman" w:hAnsi="Times New Roman"/>
          <w:sz w:val="18"/>
          <w:szCs w:val="18"/>
          <w:color w:val="auto"/>
        </w:rPr>
        <w:t>. We primarily recognize revenue from sales of products at the point in time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obtains control, which is generally no earlier than when the customer has physical possession. Where arrangements include customer acceptance provisions based on seller or customer-specified criteria, we recognize revenue when we have concluded that the customer has control of the products, which is typically at the point of acceptance. Our billing terms for these point-in-time product contracts generally coincide with delivery to the customer and customer acceptance; however, periodically, we receive customer advances and deposits from customers. These are recorded as contract liabilities in the combined Statements of Financial Position. Any differences between the timing of our revenue recognition and customer billings (based on contractual terms) result in changes to our contract asset or contract liability positions.</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Performance Obligations Satisfied Over Time</w:t>
      </w:r>
      <w:r>
        <w:rPr>
          <w:rFonts w:ascii="Times New Roman" w:cs="Times New Roman" w:eastAsia="Times New Roman" w:hAnsi="Times New Roman"/>
          <w:sz w:val="18"/>
          <w:szCs w:val="18"/>
          <w:color w:val="auto"/>
        </w:rPr>
        <w:t>. We recognize revenue from the sale of certain service contracts, including preventative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corrective services, and extended warranties over time on a ratable basis consistent with the nature, timing, and extent of our services, which primarily relate to routine maintenance and as needed product repairs. Our billing terms for these contracts vary and can occur in advance of or following the period of service; however, we generally invoice periodically as services are provided. The differences between the timing of our revenue recognized and customer billings (based on contractual terms) results in changes to our contract asset or contract liability positions.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3, “Revenue Recognition” for further information.</w:t>
      </w:r>
    </w:p>
    <w:p>
      <w:pPr>
        <w:spacing w:after="0" w:line="22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 The cash presented in the combined Statements of Financial Position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not subject to the GE centralized cash management process. Cash held in commingled accounts with our Parent, or its affiliates, is presented within Net parent investment in the combined Statements of Financial Position. Cash deposits, short-term investments, and high liquidity mutual funds with original maturities of three months or less are included in Cash, cash equivalents, and restricted cash. Restricted cash primarily relates to funds restricted in connection with escrow accounts, legally restricted deposits held against letters of credit and cash restricted in certain countries.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combined Statements of Financial Position to the amounts shown in the Statements of Cash Flows.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6"/>
                <w:szCs w:val="16"/>
                <w:color w:val="auto"/>
              </w:rPr>
            </w:pPr>
          </w:p>
        </w:tc>
      </w:tr>
      <w:tr>
        <w:trPr>
          <w:trHeight w:val="209"/>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$554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Short-term restricted cash</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194"/>
        </w:trPr>
        <w:tc>
          <w:tcPr>
            <w:tcW w:w="6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as presented on the combined</w:t>
            </w:r>
          </w:p>
        </w:tc>
        <w:tc>
          <w:tcPr>
            <w:tcW w:w="4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8"/>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Statements of Financial Position</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556</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1,007</w:t>
            </w:r>
          </w:p>
        </w:tc>
      </w:tr>
      <w:tr>
        <w:trPr>
          <w:trHeight w:val="223"/>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Long-term restricted cash</w:t>
            </w:r>
            <w:r>
              <w:rPr>
                <w:rFonts w:ascii="Times New Roman" w:cs="Times New Roman" w:eastAsia="Times New Roman" w:hAnsi="Times New Roman"/>
                <w:sz w:val="25"/>
                <w:szCs w:val="25"/>
                <w:color w:val="auto"/>
                <w:vertAlign w:val="superscript"/>
              </w:rPr>
              <w:t>(a)</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194"/>
        </w:trPr>
        <w:tc>
          <w:tcPr>
            <w:tcW w:w="6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as presented on the combined</w:t>
            </w:r>
          </w:p>
        </w:tc>
        <w:tc>
          <w:tcPr>
            <w:tcW w:w="4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8"/>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1,012</w:t>
            </w:r>
          </w:p>
        </w:tc>
      </w:tr>
      <w:tr>
        <w:trPr>
          <w:trHeight w:val="20"/>
        </w:trPr>
        <w:tc>
          <w:tcPr>
            <w:tcW w:w="6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restricted cash is presented in All other assets on the combined Statements of Financial Position.</w:t>
      </w:r>
    </w:p>
    <w:p>
      <w:pPr>
        <w:spacing w:after="0" w:line="22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INVESTMENT SECURITIES</w:t>
      </w:r>
      <w:r>
        <w:rPr>
          <w:rFonts w:ascii="Times New Roman" w:cs="Times New Roman" w:eastAsia="Times New Roman" w:hAnsi="Times New Roman"/>
          <w:sz w:val="18"/>
          <w:szCs w:val="18"/>
          <w:color w:val="auto"/>
        </w:rPr>
        <w:t>. Publicly-traded equity securities for which we do not have the ability to exercise significant influence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at fair value with changes in fair value recognized in Other (income) expense — net in the combined Statements of Income. Privately-held equity securities for which we do not have the ability to exercise significant influence are accounted for using the measurement alternative approach and are recorded at cost less impairment, if any, adjusted to fair value for any observable price changes in orderly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transactions for the identical or a similar investment of the same issuer, with changes in the measurement recognized through Other (income) expense — net in the combined Statements of Income.</w:t>
      </w:r>
    </w:p>
    <w:p>
      <w:pPr>
        <w:spacing w:after="0" w:line="158"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EQUITY METHOD INVESTMENTS</w:t>
      </w:r>
      <w:r>
        <w:rPr>
          <w:rFonts w:ascii="Times New Roman" w:cs="Times New Roman" w:eastAsia="Times New Roman" w:hAnsi="Times New Roman"/>
          <w:sz w:val="18"/>
          <w:szCs w:val="18"/>
          <w:color w:val="auto"/>
        </w:rPr>
        <w:t>. Equity method investments are investments in entities in which we do not have a controlling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but over which we have significant influence. Equity method investments are assessed for other-than-temporary impairment when events occur or circumstances change that indicate it is more likely than not the fair value of the asset is below its carrying value. Equity method investments are included in All other assets in our combined Statements of Financial Position. Our share of the results of equity method investments are presented in Other (income) expense — net in the combined Statements of Income. See Note 16, “Supplemental Financial Information” for further information.</w:t>
      </w:r>
    </w:p>
    <w:p>
      <w:pPr>
        <w:spacing w:after="0" w:line="179"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RECEIVABLES</w:t>
      </w:r>
      <w:r>
        <w:rPr>
          <w:rFonts w:ascii="Times New Roman" w:cs="Times New Roman" w:eastAsia="Times New Roman" w:hAnsi="Times New Roman"/>
          <w:sz w:val="18"/>
          <w:szCs w:val="18"/>
          <w:color w:val="auto"/>
        </w:rPr>
        <w:t>. Amounts due from customers arising from the sales of products and services are recorded at the outstanding amount,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allowances for credit losses, chargebacks, and other credits. We regularly monitor the recoverability of our receivables. See Note 5, “Receivables” for further information.</w:t>
      </w:r>
    </w:p>
    <w:p>
      <w:pPr>
        <w:spacing w:after="0" w:line="171"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FINANCING RECEIVABLES</w:t>
      </w:r>
      <w:r>
        <w:rPr>
          <w:rFonts w:ascii="Times New Roman" w:cs="Times New Roman" w:eastAsia="Times New Roman" w:hAnsi="Times New Roman"/>
          <w:sz w:val="18"/>
          <w:szCs w:val="18"/>
          <w:color w:val="auto"/>
        </w:rPr>
        <w:t>. Our financing receivables portfolio consists of a variety of loans and leases, including both larger-balance,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non-homogeneous loans and leases, and smaller-balance homogeneous loans and leases.</w:t>
      </w:r>
    </w:p>
    <w:p>
      <w:pPr>
        <w:spacing w:after="0" w:line="15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Loans represent term loans that are collateralized by equipment and other assets. Loans are classified as either held for sale or held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(“HFI”) based on management’s intent and ability to hold the loans for the foreseeable future. Loans for which the Company does not have the ability and intent to hold for investment purposes and those for which the Company intends to hold for sale in the foreseeable future are accounted for as loans held for sale. Loans held for sale are recorded at the lower of historical cost or current fair value with any fair value write-down (or change to the write-down) recorded as a valuation allowance through current period earnings in the period in which the change occurs. Loans classified as HFI are recorded at amortized cost. See “Allowance for credit losses” below for the Company’s policy regarding allowances on financing receivables.</w:t>
      </w:r>
    </w:p>
    <w:p>
      <w:pPr>
        <w:spacing w:after="0" w:line="182"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Investment in Finance Leases</w:t>
      </w:r>
      <w:r>
        <w:rPr>
          <w:rFonts w:ascii="Times New Roman" w:cs="Times New Roman" w:eastAsia="Times New Roman" w:hAnsi="Times New Roman"/>
          <w:sz w:val="18"/>
          <w:szCs w:val="18"/>
          <w:color w:val="auto"/>
        </w:rPr>
        <w:t>. Finance leases include mostly sales-type leases of equipment and represent net unpaid rentals and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unguaranteed residual values of leased equipment, less related deferred income, and less the allowance for credit losses. See Note 7, “Leases” for further information.</w:t>
      </w:r>
    </w:p>
    <w:p>
      <w:pPr>
        <w:spacing w:after="0" w:line="17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Credit Quality Indicators</w:t>
      </w:r>
      <w:r>
        <w:rPr>
          <w:rFonts w:ascii="Times New Roman" w:cs="Times New Roman" w:eastAsia="Times New Roman" w:hAnsi="Times New Roman"/>
          <w:sz w:val="18"/>
          <w:szCs w:val="18"/>
          <w:color w:val="auto"/>
        </w:rPr>
        <w:t>. We manage our financing receivables portfolio using delinquency and nonaccrual data as key performance indicators.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assess the overall quality of the portfolio based on a potential risk of loss measure. The metric incorporates both the borrower’s credit quality along with any related collateral protection. Financing receivables are considered past due if default on a contractual principal or interest payment exists for a period of 30 days or more. We stop accruing interest on financing receivables at the earlier of when collection of an account becomes doubtful or the account becomes 90 days past due. Although we stop accruing interest in advance of payments, we recognize income within Other (income) expense — net in the combined Statements of Income when we determine that the account is returned to accrual status, provided that the amount does not exceed that which would have been earned at the historical effective interest rate.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6, “Financing Receivables” for further information.</w:t>
      </w:r>
    </w:p>
    <w:p>
      <w:pPr>
        <w:spacing w:after="0" w:line="221"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ALLOWANCE FOR CREDIT LOSSES</w:t>
      </w:r>
      <w:r>
        <w:rPr>
          <w:rFonts w:ascii="Times New Roman" w:cs="Times New Roman" w:eastAsia="Times New Roman" w:hAnsi="Times New Roman"/>
          <w:sz w:val="18"/>
          <w:szCs w:val="18"/>
          <w:color w:val="auto"/>
        </w:rPr>
        <w:t>. When we record customer receivables, contract assets, and financing receivables, we maintain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credit losses for the current expected credit losses. Each period the allowance for credit losses is adjusted through earnings to reflect expected credit losses over the remaining lives of the assets. For financing receivables, expected credit losses are calculated based on the gross carrying amount of the financial asset, multiplied by a factor reflecting the probability of default and the loss in the event of default. We routinely evaluate our entire portfolio for potential specific credit or collection issues that might indicate an impairment.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estimate expected credit losses based on relevant information from past events, including historical experience, current conditions, and reasonable and supportable forecasts that affect the collectability of the reported amount. When measuring expected credit losses, we pool assets with similar credit risk characteristics. Changes in the relevant information may significantly affect the estimates of expected credit losses.</w:t>
      </w:r>
    </w:p>
    <w:p>
      <w:pPr>
        <w:spacing w:after="0" w:line="172"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INVENTORIES</w:t>
      </w:r>
      <w:r>
        <w:rPr>
          <w:rFonts w:ascii="Times New Roman" w:cs="Times New Roman" w:eastAsia="Times New Roman" w:hAnsi="Times New Roman"/>
          <w:sz w:val="18"/>
          <w:szCs w:val="18"/>
          <w:color w:val="auto"/>
        </w:rPr>
        <w:t>. All inventories are stated at lower of cost or net realizable values. Cost of inventories is determined on a first-in, first-out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(“FIFO”) basis.</w:t>
      </w:r>
    </w:p>
    <w:p>
      <w:pPr>
        <w:spacing w:after="0" w:line="15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Consumables and single-use service spare parts are used within our service business during a service call and are generally classified in current inventory as our stock of this inventory turns relatively quickly. However, if the on-hand inventory quantity exceeds annual historical and expected future consumption for a consumable service spare part and the part is still necessary to support systems under service contracts, the part is considered to be non-current and is included in All other assets in our combined Statements of Financial Position.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also maintain a supply of new and used spare parts for use in future customer field service of the installed base. The portion of this inventory that is not anticipated to be used in the next 12 months has been classified as non-current within All other assets, given these parts can be used in the service business over many years. As these service parts age, they are subject to a tiered obsolescence framework, which takes into consideration part age, consumption, and on-hand material levels, and postproduction equipment life cycle stage.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necessary, we record provisions and write-downs for excess, slow moving, and obsolete inventory. To determine these amounts, we regularly review inventory quantities on-hand and compare them to historical utilization and estimates of future product demand, market conditions, and technological developments.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16, “Supplemental Financial Information” for further information.</w:t>
      </w:r>
    </w:p>
    <w:p>
      <w:pPr>
        <w:spacing w:after="0" w:line="221"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PROPERTY, PLANT, AND EQUIPMENT</w:t>
      </w:r>
      <w:r>
        <w:rPr>
          <w:rFonts w:ascii="Times New Roman" w:cs="Times New Roman" w:eastAsia="Times New Roman" w:hAnsi="Times New Roman"/>
          <w:sz w:val="18"/>
          <w:szCs w:val="18"/>
          <w:color w:val="auto"/>
        </w:rPr>
        <w:t>. The cost of property, plant, and equipment is depreciated on a straight-line basis over its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useful life. Equipment leased to others under operating leases is depreciated on a straight-line basis over the term of the lease. Repair and maintenance costs are expensed as incurred. See Note 16, “Supplemental Financial Information” for further information.</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Lessee Arrangements</w:t>
      </w:r>
      <w:r>
        <w:rPr>
          <w:rFonts w:ascii="Times New Roman" w:cs="Times New Roman" w:eastAsia="Times New Roman" w:hAnsi="Times New Roman"/>
          <w:sz w:val="18"/>
          <w:szCs w:val="18"/>
          <w:color w:val="auto"/>
        </w:rPr>
        <w:t>. At lease commencement, we record a lease liability and corresponding right-of-use (“ROU”) asset. ROU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reflected within Property, plant, and equipment — net and lease liabilities are reflected within All other current liabilities and All other liabilities in the combined Statements of Financial Position. Options to extend a lease are included as part of the ROU lease asset and liability when it is reasonably certain the Company will exercise the option. We have elected to combine lease and non-lease components in determining our lease liability for all leased assets except our vehicle leases. Non-lease components are generally related to services that the lessor performs for the Company associated with the leased asset. As the Company’s leases typically do not provide an implicit rate, the present value of our lease liability is determined using GE’s incremental collateralized borrowing rate at lease commencement. For leases with an initial term of 12 months or less, an ROU asset and lease liability are not recognized, and lease expense is recognized on a straight-line basis over the lease term. Certain of our leases include provisions for variable lease payments which are based on, but not limited to, maintenance, insurance, taxes, index escalations, and usage-based amounts. The Company recognizes variable lease payments not included in its lease liabilities in the period in which the obligation for those payments is incurred. We test ROU assets for impairment annually or when events occur or circumstances change that indicate that the asset may be impaired.</w:t>
      </w:r>
    </w:p>
    <w:p>
      <w:pPr>
        <w:spacing w:after="0" w:line="192"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Lessor Arrangements</w:t>
      </w:r>
      <w:r>
        <w:rPr>
          <w:rFonts w:ascii="Times New Roman" w:cs="Times New Roman" w:eastAsia="Times New Roman" w:hAnsi="Times New Roman"/>
          <w:sz w:val="18"/>
          <w:szCs w:val="18"/>
          <w:color w:val="auto"/>
        </w:rPr>
        <w:t>. Equipment leased to others under operating leases is included in Property, plant, and equipment — net. Leases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sales-type leases or direct financing leases are included in All other current assets and All other assets in our combined Statements of Financial Position. The terms of the related contracts, including the proportion of fixed versus variable payments and any options to shorten or extend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lease term or purchase the underlying asset, vary by customer. Finance lease receivables are tested for impairment as described in the Financing Receivables section above. See Note 6, “Financing Receivables” and Note 7, “Leases” for further information.</w:t>
      </w:r>
    </w:p>
    <w:p>
      <w:pPr>
        <w:spacing w:after="0" w:line="158" w:lineRule="exact"/>
        <w:rPr>
          <w:sz w:val="20"/>
          <w:szCs w:val="20"/>
          <w:color w:val="auto"/>
        </w:rPr>
      </w:pPr>
    </w:p>
    <w:p>
      <w:pPr>
        <w:ind w:left="120" w:right="140" w:firstLine="440"/>
        <w:spacing w:after="0" w:line="279" w:lineRule="auto"/>
        <w:rPr>
          <w:sz w:val="20"/>
          <w:szCs w:val="20"/>
          <w:color w:val="auto"/>
        </w:rPr>
      </w:pPr>
      <w:r>
        <w:rPr>
          <w:rFonts w:ascii="Times New Roman" w:cs="Times New Roman" w:eastAsia="Times New Roman" w:hAnsi="Times New Roman"/>
          <w:sz w:val="18"/>
          <w:szCs w:val="18"/>
          <w:b w:val="1"/>
          <w:bCs w:val="1"/>
          <w:color w:val="auto"/>
        </w:rPr>
        <w:t>GOODWILL AND OTHER INTANGIBLE ASSETS</w:t>
      </w:r>
      <w:r>
        <w:rPr>
          <w:rFonts w:ascii="Times New Roman" w:cs="Times New Roman" w:eastAsia="Times New Roman" w:hAnsi="Times New Roman"/>
          <w:sz w:val="18"/>
          <w:szCs w:val="18"/>
          <w:color w:val="auto"/>
        </w:rPr>
        <w:t>. Goodwill represents the excess of the purchase price over the fair value of identifiable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assets acquired in a business combination. In accordance with U.S. GAAP, goodwill is not amortized. We test goodwill for impairment at the reporting unit level annually in the fourth quarter of each year using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the measurement date.</w:t>
      </w:r>
    </w:p>
    <w:p>
      <w:pPr>
        <w:spacing w:after="0" w:line="3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also tests goodwill for impairment when an event occurs or circumstances change that would more likely than not reduce the fair value of a reporting unit below its carrying value. The Company uses quantitative assessments and qualitative factors to determine whether it is more likely than not that the fair value of a reporting unit is less than its carrying amount. If the Company chooses to perform a qualitative assessment and concludes that it is more likely than not that the fair value of a reporting unit is less than its carrying amount, a further quantitative fair value test is performed. We recognize an impairment charge if the carrying amount of a reporting unit exceeds its fair value. The market approach is used for estimating the fair values for our reporting units.</w:t>
      </w:r>
    </w:p>
    <w:p>
      <w:pPr>
        <w:spacing w:after="0" w:line="18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In-process research and development (“IPR&amp;D”) acquired as part of a business acquisition is capitalized at fair value when acquired and is considered an indefinite-lived intangible asset. We test indefinite-lived intangible assets for impairment annually in the third quarter of each year or when events occur or circumstances change that indicate it is more likely than not the fair value of the asset is below its carrying value. When the IPR&amp;D project is complete, the asset is considered a finite-lived intangible asset and would be subject to an impairment test at that date. Thereafter, the IPR&amp;D asset is amortized over its estimated useful life and is subject to impairment assessment in the same manner as all amortizing intangible assets.</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other intangible assets that are not deemed indefinite-lived, the cost of the intangible asset is amortized on a straight-line basis over the asset’s estimated useful life. Amortizable intangible assets are reviewed for impairment when events or changes in circumstances indicate that the related carrying amounts may not be recoverable. In such circumstances, they are tested for impairment based on undiscounted cash flows and, if impaired, written down to estimated fair value based on either discounted cash flows or appraised values.</w:t>
      </w:r>
    </w:p>
    <w:p>
      <w:pPr>
        <w:spacing w:after="0" w:line="17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Internal-use software is software that is developed, purchased, or modified to meet internal needs and for which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substantive plan exists to sell, lease or otherwise market the software externally. All costs associated with project tasks classified in the preliminary project development or post-implementation/operation stage are expensed as incurred. Capitalization of application development stage costs begin after both of the following occur: (a) the preliminary project development stage is completed, and (b) management authorizes and commits to funding the software project, and it is probable that the project will be completed and the software will be used for the purpose for which it was intended. Capitalization ceases when the project is substantially complete. Capitalized amounts are recorded in Other intangible assets – net and are amortized on a straight-line basis over the asset’s estimated useful life.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External Use Software</w:t>
      </w:r>
      <w:r>
        <w:rPr>
          <w:rFonts w:ascii="Times New Roman" w:cs="Times New Roman" w:eastAsia="Times New Roman" w:hAnsi="Times New Roman"/>
          <w:sz w:val="18"/>
          <w:szCs w:val="18"/>
          <w:color w:val="auto"/>
        </w:rPr>
        <w:t>. External use software relates to software that is (a) intended to be sold, licensed, or marketed to our customers, or is</w:t>
      </w:r>
    </w:p>
    <w:p>
      <w:pPr>
        <w:spacing w:after="0" w:line="29" w:lineRule="exact"/>
        <w:rPr>
          <w:sz w:val="20"/>
          <w:szCs w:val="20"/>
          <w:color w:val="auto"/>
        </w:rPr>
      </w:pPr>
    </w:p>
    <w:p>
      <w:pPr>
        <w:ind w:left="120" w:right="20" w:hanging="4"/>
        <w:spacing w:after="0" w:line="252" w:lineRule="auto"/>
        <w:tabs>
          <w:tab w:leader="none" w:pos="3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and integral to our tangible products for which research and development (“R&amp;D”) has been completed. Costs that are related to the conceptual formulation and design of software are expensed as incurred. Costs that are incurred after technological feasibility has been established until general release of the product are capitalized as an intangible asset and recorded in Other intangible assets — net. Capitalized costs for software to be sold, leased, or otherwise marketed are amortized on an individual product basis using straight-line amortization over the estimated useful life of the product. The Company performs regular reviews to assess whether unamortized capitalized external use software program costs remain recoverable through future revenue.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60"/>
          </w:cols>
          <w:pgMar w:left="320" w:top="455" w:right="5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8, “Acquisitions, Goodwill, and Other Intangible Assets” for further information.</w:t>
      </w:r>
    </w:p>
    <w:p>
      <w:pPr>
        <w:spacing w:after="0" w:line="221"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DERIVATIVES AND HEDGING</w:t>
      </w:r>
      <w:r>
        <w:rPr>
          <w:rFonts w:ascii="Times New Roman" w:cs="Times New Roman" w:eastAsia="Times New Roman" w:hAnsi="Times New Roman"/>
          <w:sz w:val="18"/>
          <w:szCs w:val="18"/>
          <w:color w:val="auto"/>
        </w:rPr>
        <w:t>. We use derivatives to manage a variety of risks, including risks related to foreign exchange and commodity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Our policies are to use derivatives solely for managing risks and not for speculative purposes.</w:t>
      </w:r>
    </w:p>
    <w:p>
      <w:pPr>
        <w:spacing w:after="0" w:line="15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Accounting for derivatives as hedges requires that, at inception and over the term of the arrangement, the hedged item and related derivative meet the requirements for hedge accounting. In evaluating whether a particular relationship qualifies for hedge accounting, we test effectiveness at inception and each reporting period thereafter by determining whether changes in the fair value of the derivative offset, within a specified range, changes in the fair value of the hedged item. If fair value changes fail this test, we discontinue the application of hedge accounting to that relationship prospectively. Fair values of both the derivative instrument and the hedged item are calculated using internal valuation models incorporating market-based assumptions.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use economic hedges when we have exposures to foreign exchange risk for which we are unable to meet the requirements for hedge accounting. These derivatives are not designated as hedges from an accounting standpoint but otherwise serve the same economic purpose as other hedging arrangements. Although derivatives may be effective economic hedges, there may be a net effect on earnings in each period due to differences in the timing of earnings recognition between the derivatives and the hedged items.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13, “Derivatives and Hedging” for further information.</w:t>
      </w:r>
    </w:p>
    <w:p>
      <w:pPr>
        <w:spacing w:after="0" w:line="2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The Company’s income tax provision was prepared using the separate return method. The calculation of income taxes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return basis requires a considerable amount of judgment and use of both estimates and allocations. As a result, actual transactions included in the consolidated financial statements of GE may not be included in the combined financial statements. Similarly, the tax treatment of certain items reflected in the combined financial statements may not be reflected in the consolidated financial statements and tax returns of GE. Therefore, items such as net operating losses, credit carryforwards, and valuation allowances may exist in the stand-alone financial statements that may or may not exist in GE’s consolidated financial statements. In the future, as a stand-alone entity, GE HealthCare will file tax returns on its own behalf and its deferred taxes and actual income tax rate may differ from those in the historical periods.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income taxes due to or due from GE that have not been settled or recovered by the end of the period are reflected in Net parent investment. Any differences between actual amounts paid or received by the Company and taxes accrued under the separate return method are deemed to be settled and are reflected in Net parent investment in the combined Statements of Financial Position.</w:t>
      </w:r>
    </w:p>
    <w:p>
      <w:pPr>
        <w:spacing w:after="0" w:line="176"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Current obligations for tax in jurisdictions where the Company does not file a consolidated tax return with GE, including certain foreign and certain U.S. state tax jurisdictions, are recorded as accrued liabilities within All other liabilities. The effects of tax adjustments and settlements with taxing authorities are presented in our combined financial statements in the period to which they relate.</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Uncertain tax positions that meet the more likely than not recognition threshold are measured to determine the amount of tax benefit to recognize in the combined financial statements. An uncertain tax position is measured at the largest amount of benefit that the Company believes has a greater than 50% likelihood of realization upon settlement. Tax benefits not meeting the measurement or realization criteria represent unrecognized tax benefits. The Company recognizes interest related to income tax matters in Interest and other financial charges — net in the combined Statements of Income. Penalties related to income tax matters are recorded in Provision for income taxes in the combined Statements of Income. Our policy is to adjust these reserves when facts and circumstances change, such as the actual settlement or effective settlement of positions with the relevant taxing authorities.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respective tax bases, as well as from net operating loss and tax credit carryforwards. The deferred income tax balances are stated at enacted tax rates expected to be in effect when those taxes are paid or recovered. Deferred income tax assets represent amounts available to reduce income taxes payable on taxable income in future years. We evaluate the recoverability of these future tax deductions and credits by evaluating all available positive and negative evidence, specifically assessing the adequacy of future expected taxable income from all sources, including reversal of existing taxable temporary differences, forecasted operating earnings, and available tax planning strategies. To the extent we consider it more likely than not that a deferred tax asset will not be recovered, a valuation allowance is established. Deferred taxes are provided for our investment in affiliates and associated companies based upon our evaluation of the undistributed earnings of such entities.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11, “Income Taxes” for further information.</w:t>
      </w:r>
    </w:p>
    <w:p>
      <w:pPr>
        <w:spacing w:after="0" w:line="22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POSTRETIREMENT BENEFIT PLANS</w:t>
      </w:r>
      <w:r>
        <w:rPr>
          <w:rFonts w:ascii="Times New Roman" w:cs="Times New Roman" w:eastAsia="Times New Roman" w:hAnsi="Times New Roman"/>
          <w:sz w:val="18"/>
          <w:szCs w:val="18"/>
          <w:color w:val="auto"/>
        </w:rPr>
        <w:t>. Certain employees, former employees, and retirees of the Company participate in postretirement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plans sponsored by either the Company or GE.</w:t>
      </w:r>
    </w:p>
    <w:p>
      <w:pPr>
        <w:spacing w:after="0" w:line="157"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Pension Benefits (Sponsored by the Company)</w:t>
      </w:r>
      <w:r>
        <w:rPr>
          <w:rFonts w:ascii="Times New Roman" w:cs="Times New Roman" w:eastAsia="Times New Roman" w:hAnsi="Times New Roman"/>
          <w:sz w:val="18"/>
          <w:szCs w:val="18"/>
          <w:color w:val="auto"/>
        </w:rPr>
        <w:t>. Management accounts for these plans as defined benefit plans, and categorizes plan assets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purposes in accordance with the fair value hierarchy</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Pension benefits are calculated using significant inputs to the actuarial models that measure pension benefit obligations and related effects on operations. Two assumptions – discount rate and expected return on assets – are important elements of plan expense and related asset and liability measurement. The Company evaluates these critical assumptions at least annually on a plan and country-specific basis. The Company periodically evaluates other assumptions involving demographic factors such as retirement age, mortality, and turnover, and updates them to reflect our experience and expectations for the future. Actual results in any given year often will differ from actuarial assumptions because of economic and other factors.</w:t>
      </w:r>
    </w:p>
    <w:p>
      <w:pPr>
        <w:spacing w:after="0" w:line="16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Projected benefit obligations are measured as the present value of expected payments. We discount those cash payments using the weighted average of market-observed yields for high-quality fixed-income securities with maturities that correspond to the expected timing of the benefit payment. Generally, lower discount rates increase present values and increase subsequent-year pension expense; higher discount rates decrease present values and decrease subsequent-year pension expense.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costs, other than the service cost component, are included in Non-operating benefit costs in our combined Statements of Income for plans sponsored by the Company.</w:t>
      </w:r>
    </w:p>
    <w:p>
      <w:pPr>
        <w:spacing w:after="0" w:line="16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Pension and Other Postretirement Benefits Plans (Sponsored by GE)</w:t>
      </w:r>
      <w:r>
        <w:rPr>
          <w:rFonts w:ascii="Times New Roman" w:cs="Times New Roman" w:eastAsia="Times New Roman" w:hAnsi="Times New Roman"/>
          <w:sz w:val="18"/>
          <w:szCs w:val="18"/>
          <w:color w:val="auto"/>
        </w:rPr>
        <w:t>. These plans are accounted for as multiemployer plans. Therefore,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are not reflected in the combined Statements of Financial Position. The combined Statements of Income reflect a proportionate allocation of net periodic benefit costs for the multiemployer plans associated with the Company.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10, “Postretirement Benefit Plans” for further information.</w:t>
      </w:r>
    </w:p>
    <w:p>
      <w:pPr>
        <w:spacing w:after="0" w:line="22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LOSS CONTINGENCIES</w:t>
      </w:r>
      <w:r>
        <w:rPr>
          <w:rFonts w:ascii="Times New Roman" w:cs="Times New Roman" w:eastAsia="Times New Roman" w:hAnsi="Times New Roman"/>
          <w:sz w:val="18"/>
          <w:szCs w:val="18"/>
          <w:color w:val="auto"/>
        </w:rPr>
        <w:t>. Loss contingencies are uncertain and unresolved matters that arise in the ordinary course of business and result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or actions by others that have the potential to result in a future loss. Such contingencies include, but are not limited to product warranties, claims, litigation, environmental obligations, regulatory investigations and proceedings, product quality, and losses resulting from other events and developments. When a loss is considered probable and reasonably estimable, we record a liability in the amount of our best estimate for the ultimate loss. When there appears to be a range of possible losses with equal likelihood, liabilities are based on the low-end of such range. Disclosure is provided for material loss contingencies when a loss is probable but a reasonable estimate cannot be made, and when it is reasonably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possible that a loss will be incurred or the amount of a loss will exceed the recorded provision. We regularly review contingencies to determine whether the likelihood of loss has changed and to assess whether a reasonable estimate of the loss or range of loss can be made. Legal costs incurred in connection with loss contingencies are expensed as incurred. See Note 14, “Commitments, Guarantees, Product Warranties, and Other Loss Contingencies” for further information.</w:t>
      </w:r>
    </w:p>
    <w:p>
      <w:pPr>
        <w:spacing w:after="0" w:line="176"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SUPPLY CHAIN FINANCE PROGRAMS</w:t>
      </w:r>
      <w:r>
        <w:rPr>
          <w:rFonts w:ascii="Times New Roman" w:cs="Times New Roman" w:eastAsia="Times New Roman" w:hAnsi="Times New Roman"/>
          <w:sz w:val="18"/>
          <w:szCs w:val="18"/>
          <w:color w:val="auto"/>
        </w:rPr>
        <w:t>. The Company participates in voluntary supply chain finance programs with third parties,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w:t>
      </w:r>
    </w:p>
    <w:p>
      <w:pPr>
        <w:spacing w:after="0" w:line="179"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TRADE PAYABLES ACCELERATED PAYMENT PROGRAM</w:t>
      </w:r>
      <w:r>
        <w:rPr>
          <w:rFonts w:ascii="Times New Roman" w:cs="Times New Roman" w:eastAsia="Times New Roman" w:hAnsi="Times New Roman"/>
          <w:sz w:val="18"/>
          <w:szCs w:val="18"/>
          <w:color w:val="auto"/>
        </w:rPr>
        <w:t>. The Company’s U.S. and Canada operations, and certain of its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participated in the Trade Payables Services (“TPS”) accounts payable programs with GE’s financial services operations (“GE Capital”) through its termination on September 30, 2020. The Company settled its obligations by reimbursing TPS on the invoice’s contractual due date. As the payables in the TPS program relate to operating activities incurred in the ordinary course of business and retain the principal characteristics of a trade payable, the results of this program are included in Cash from operating activities in our combined Statements of Cash Flows.</w:t>
      </w:r>
    </w:p>
    <w:p>
      <w:pPr>
        <w:spacing w:after="0" w:line="179"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 The following sections describe the valuation methodologies we use to measure financial and non-financial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accounted for at fair value. Observable inputs reflect market data obtained from independent sources, while unobservable inputs reflect our market assumptions. These inputs establish a fair value hierarchy: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RECURRING FAIR VALUE MEASUREMENTS</w:t>
      </w:r>
      <w:r>
        <w:rPr>
          <w:rFonts w:ascii="Times New Roman" w:cs="Times New Roman" w:eastAsia="Times New Roman" w:hAnsi="Times New Roman"/>
          <w:sz w:val="18"/>
          <w:szCs w:val="18"/>
          <w:color w:val="auto"/>
        </w:rPr>
        <w:t>. For financial assets and liabilities measured at fair value on a recurring basis,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securities, derivatives and contingent consideration, 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8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Financial Instruments — General</w:t>
      </w:r>
      <w:r>
        <w:rPr>
          <w:rFonts w:ascii="Times New Roman" w:cs="Times New Roman" w:eastAsia="Times New Roman" w:hAnsi="Times New Roman"/>
          <w:sz w:val="18"/>
          <w:szCs w:val="18"/>
          <w:color w:val="auto"/>
        </w:rPr>
        <w:t>. Our financial instruments include receivables, accounts payable, short and long-term borrowings,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financing receivables, and equity securities. The estimated fair values of account receivables, accounts payable, and borrowings approximate their carrying values, as reflected in our combined Statements of Financial Position. See Note 5, “Receivables,” Note 6, “Financing Receivables,” Note 9, “Borrowings,” and Note 16, “Supplemental Financial Information” for further information.</w:t>
      </w:r>
    </w:p>
    <w:p>
      <w:pPr>
        <w:spacing w:after="0" w:line="180"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The majority of our derivatives are valued using internal models. The models maximize observable inputs including both forward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spot prices for currencies and commodities. As of December 31,</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2021 and 2020, foreign exchange contracts were valued using Level 1 inputs, while commodity exchange contracts and embedded derivatives were valued using Level 2 inputs. See Note 13, “Derivatives and Hedging” for further information.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Levels 1, 2, and 3 during the years ended December 31, 2021 and 2020.</w:t>
      </w:r>
    </w:p>
    <w:p>
      <w:pPr>
        <w:spacing w:after="0" w:line="2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NON-RECURRING FAIR VALUE MEASUREMENTS</w:t>
      </w:r>
      <w:r>
        <w:rPr>
          <w:rFonts w:ascii="Times New Roman" w:cs="Times New Roman" w:eastAsia="Times New Roman" w:hAnsi="Times New Roman"/>
          <w:sz w:val="17"/>
          <w:szCs w:val="17"/>
          <w:color w:val="auto"/>
        </w:rPr>
        <w:t>. Certain assets are measured at fair value on a non-recurring basis. These assets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include loans and long-lived assets reduced to fair value upon classification as held for sale, and impaired equity method investments and long-lived assets, which, when written down to fair value upon an impairment, are not subsequently adjusted to fair value unless further impairment occurs. The following sections describe the valuation methodologies the Company uses to measure those assets not measured on a recurring fair value basis.</w:t>
      </w:r>
    </w:p>
    <w:p>
      <w:pPr>
        <w:spacing w:after="0" w:line="16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Equity Method Investments</w:t>
      </w:r>
      <w:r>
        <w:rPr>
          <w:rFonts w:ascii="Times New Roman" w:cs="Times New Roman" w:eastAsia="Times New Roman" w:hAnsi="Times New Roman"/>
          <w:sz w:val="18"/>
          <w:szCs w:val="18"/>
          <w:color w:val="auto"/>
        </w:rPr>
        <w:t>. Equity method investments are initially recorded at cost and are adjusted in each period for the Company’s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investee’s income or loss and dividends paid. In instances of impairment, equity method investments are written down to fair value using market observable data such as quoted prices when available. When market observable data is unavailable, investments are valued using either a discounted cash flow model, comparative market multiples, third-party pricing sources or a combination of these approaches, as appropriate. These investments are generally valued using Level 3 inputs.</w:t>
      </w:r>
    </w:p>
    <w:p>
      <w:pPr>
        <w:spacing w:after="0" w:line="183"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Equity Investments Without Readily Determinable Fair Value</w:t>
      </w:r>
      <w:r>
        <w:rPr>
          <w:rFonts w:ascii="Times New Roman" w:cs="Times New Roman" w:eastAsia="Times New Roman" w:hAnsi="Times New Roman"/>
          <w:sz w:val="18"/>
          <w:szCs w:val="18"/>
          <w:color w:val="auto"/>
        </w:rPr>
        <w:t>. Equity investments without readily determinable fair value are accounted for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alternative and adjusted to fair value for any observable price changes in orderly transactions for the identical or a</w:t>
      </w: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similar investment of the same issuer. In the instance of impairment, if any, equity investments are adjusted to fair value using market observable data if available. If market observable data is not available, fair values are estimated using discounted cash flow models, comparative market multiples, or a combination of these approaches using Level 3 inputs.</w:t>
      </w:r>
    </w:p>
    <w:p>
      <w:pPr>
        <w:spacing w:after="0" w:line="18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Financing Receivables</w:t>
      </w:r>
      <w:r>
        <w:rPr>
          <w:rFonts w:ascii="Times New Roman" w:cs="Times New Roman" w:eastAsia="Times New Roman" w:hAnsi="Times New Roman"/>
          <w:sz w:val="18"/>
          <w:szCs w:val="18"/>
          <w:color w:val="auto"/>
        </w:rPr>
        <w:t>. When financing receivables are held for sale, we generally use market data, including pricing on recently closed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to value financing receivables. Such financing receivables are valued using Level 2 inputs. When the data is unobservable, we use valuation methodologies using current market interest rate data adjusted for inherent credit risk. Such financing receivables are valued using Level 3 inputs.</w:t>
      </w:r>
    </w:p>
    <w:p>
      <w:pPr>
        <w:spacing w:after="0" w:line="180"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 Fair values of long-lived assets are primarily developed internally and are corroborated by available external appraisal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as applicable. These assets are generally valued using Level 3 inputs. See Note 15, “Restructuring and Other Activities” for impairments recognized related to long-lived assets.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We have determined that the functional currency for many of our international operations is the local currency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international operations the functional currency is the U.S. Dollar. The basis of this determination is the currency in which each of the international operations primarily generates and expends cash. When the functional currency is not the U.S. Dollar, asset and liability accounts are translated at period-end exchange rates and the Company translates functional currency income and expense amounts to their U.S. Dollar equivalents using average exchange rates for the period. The U.S. Dollar effects that arise from changing translation rates from functional currencies are recorded in Accumulated other comprehensive income (loss) — net (“AOCI”) in the combined Statements of Financial Position.</w:t>
      </w:r>
    </w:p>
    <w:p>
      <w:pPr>
        <w:spacing w:after="0" w:line="18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Gains and losses from foreign currency transactions, such as those resulting from the settlement of monetary items in the non-functional currency and those resulting from remeasurements of monetary items, are included in Cost of products, Cost of services, Selling, general and administrative, and Research and development, depending on the underlying nature of the item. Net gains (losses) from foreign currency transactions were $130 million, $(47) million, and $47 million in the years ended December 31, 2021, 2020, and 2019,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 Our combined financial statements include the operations of acquired businesses from the date of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accounts for acquired businesses using the acquisition method of accounting in accordance with U.S. GAAP, which requires that assets acquired and liabilities assumed be recognized at their estimated fair values as of the acquisition date. In cases where we acquire a company in which we previously held an equity stake, we remeasure the previously-held equity interest at fair value. Any excess of the purchase price over the assigned values of the net assets acquired is recorded as Goodwill. Transaction costs are expensed as incurred. For those arrangements that involve potential future contingent consideration, we record on the date of acquisition a liability equal to the fair value of the estimated additional consideration we may be obligated to pay in the future. We remeasure this liability each reporting period and record changes in the fair value in our combined Statements of Income. Changes in the Level 3 fair value measurement of contingent consideration were not material during the years ended December 31, 2021, 2020, or 2019.</w:t>
      </w:r>
    </w:p>
    <w:p>
      <w:pPr>
        <w:spacing w:after="0" w:line="18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DISCONTINUED OPERATIONS</w:t>
      </w:r>
      <w:r>
        <w:rPr>
          <w:rFonts w:ascii="Times New Roman" w:cs="Times New Roman" w:eastAsia="Times New Roman" w:hAnsi="Times New Roman"/>
          <w:sz w:val="18"/>
          <w:szCs w:val="18"/>
          <w:color w:val="auto"/>
        </w:rPr>
        <w:t>. Certain of our operations have been presented as discontinued. We present businesses whose disposal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 strategic shift that has, or will have, a major effect on our operations and financial results as discontinued operations when the components meet the criteria for held for sale, are sold, or spun-off. Presentation as discontinued operations is consistent for all periods presented. See Note 18, “Discontinued Operations” for further information.</w:t>
      </w:r>
    </w:p>
    <w:p>
      <w:pPr>
        <w:spacing w:after="0" w:line="176"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RESTRUCTURING COSTS</w:t>
      </w:r>
      <w:r>
        <w:rPr>
          <w:rFonts w:ascii="Times New Roman" w:cs="Times New Roman" w:eastAsia="Times New Roman" w:hAnsi="Times New Roman"/>
          <w:sz w:val="18"/>
          <w:szCs w:val="18"/>
          <w:color w:val="auto"/>
        </w:rPr>
        <w:t>. We record liabilities for costs associated with exit or disposal activities in the period in which the liability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Employee termination costs are accrued when the restructuring actions are probable and estimable. Costs for one-time termination benefits in which the employee is required to render service until termination in order to receive the benefits are recognized ratably over the future service period. See Note 15, “Restructuring and Other Activities” for further information.</w:t>
      </w:r>
    </w:p>
    <w:p>
      <w:pPr>
        <w:spacing w:after="0" w:line="176"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 The Company conducts R&amp;D activities to create new products, develop new applications for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enhance existing products. This includes direct R&amp;D expenses as well as expenses incurred for R&amp;D services from GE or other third parties. Clinical study and certain research costs are recognized over the service periods specified in the contracts and adjusted as necessary based upon an ongoing review of the level of effort and costs actually incurred. R&amp;D costs are expensed as incurred</w:t>
      </w:r>
      <w:r>
        <w:rPr>
          <w:rFonts w:ascii="Times New Roman" w:cs="Times New Roman" w:eastAsia="Times New Roman" w:hAnsi="Times New Roman"/>
          <w:sz w:val="18"/>
          <w:szCs w:val="18"/>
          <w:i w:val="1"/>
          <w:iCs w:val="1"/>
          <w:color w:val="auto"/>
        </w:rPr>
        <w: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ACCOUNTING CHANGES.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Pronouncements Reflected in These Combined Financial Statements.</w:t>
      </w:r>
    </w:p>
    <w:p>
      <w:pPr>
        <w:spacing w:after="0" w:line="11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2021, we adopted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ASU removes certain exceptions from the guidance in ASC 740 related to intra-period tax allocations, interim calculations, and the recognition of deferred tax liabilities for outside basis differences and clarifies and simplifies several other aspects of accounting for income taxes. Different transition methods apply to the various income tax simplifications. For the changes requiring a retrospective or modified retrospective transition, the adoption of the new standard did not have a material impact to our combined financial statements.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October 1, 2020, we adopted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The ASU provides optional expedients and exceptions for applying generally accepted accounting principles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other transactions affected by reference rate reform if certain criteria are met. We applied the accounting relief as relevant contract and hedge accounting relationship modifications were made during the reference rate reform transition period. The adoption did not have a material impact to our combined financial statements.</w:t>
      </w:r>
    </w:p>
    <w:p>
      <w:pPr>
        <w:spacing w:after="0" w:line="18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On January 1, 2020, we adopted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ASU 2016-13 requires us to prospectively record an allowance for credit losses for the expected credit losses inherent in the asset over its expected life, replacing the incurred loss model that recognized losses only when they became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probable and estimable. We recorded a $26 million increase in our allowances for credit losses and a $19 million decrease to retained earnings, net of tax, reflecting the cumulative effect on retained earnings as a component of Net parent investment.</w:t>
      </w:r>
    </w:p>
    <w:p>
      <w:pPr>
        <w:spacing w:after="0" w:line="16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2020, we adopted ASU No.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 (Topic 350): Simplifying the Test for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The ASU eliminates Step 2 of the goodwill impairment test and the qualitative assessment for any reporting unit with a zero or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The ASU also requires an entity to disclose the amount of goodwill allocated to each reporting unit with a zero or negative carrying amount. The adoption did not have a material impact on our combined financial statements.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January 1, 2020, we adopted ASU No. 2018-15,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The ASU aligns the requirements for capitalizing implementation costs incurred in a hosting arrangement that is a service contract with the requirements for capitalizing implementation costs incurred to develop or obtain internal-use software. Our policies for capitalizing implementation costs incurred in a hosting arrangement were not impacted by the ASU. However, we have historically classified these capitalized costs within Property, plant, and equipment – net on our combined Statements of Financial Position and as Additions to property, plant, and equipment within Cash from (used for) investing activities on our combined Statements of Cash Flows. Under the new ASU, those capitalized costs are presented as All other assets on our combined Statements of Financial Position and within Cash from (used for) operating activities on our combined Statements of Cash Flows. We adopted this ASU on a prospective basis and capitalized $23 million and $19 million of implementation costs related to hosting arrangements that are service contracts during the years ended December 31, 2021 and 2020, respectively.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Recent Accounting Pronouncements.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w:t>
      </w:r>
      <w:r>
        <w:rPr>
          <w:rFonts w:ascii="Times New Roman" w:cs="Times New Roman" w:eastAsia="Times New Roman" w:hAnsi="Times New Roman"/>
          <w:sz w:val="18"/>
          <w:szCs w:val="18"/>
          <w:color w:val="auto"/>
        </w:rPr>
        <w:t>. The ASU requires entities to disclose information about certain types of government assistance they receive, including cash grants and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The new guidance requires expanded disclosure regarding the qualitative and quantitative characteristics of the nature, amount, timing, and significant terms and conditions of transactions with a government arising from a grant or other forms of assistance accounted for under a contribution model. The Company adopted this guidance on January 1, 2022 using a prospective method, and the adoption did not have a material impact on our combined financial statements.</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Contracts with Customers</w:t>
      </w:r>
      <w:r>
        <w:rPr>
          <w:rFonts w:ascii="Times New Roman" w:cs="Times New Roman" w:eastAsia="Times New Roman" w:hAnsi="Times New Roman"/>
          <w:sz w:val="18"/>
          <w:szCs w:val="18"/>
          <w:color w:val="auto"/>
        </w:rPr>
        <w:t>. The ASU requires companies to apply the definition of a performance obligation under ASC 606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relating to contracts with customers acquired in a business combination. Prior to the adoption of this ASU, an acquirer generally recognized assets acquired and liabilities assumed in a business combination, including contract assets and contract liabilities arising from revenue contracts with customers, at fair value on the acquisition date. The ASU results in the acquirer recording acquired contract assets and liabilities on the same basis that would have been recorded by the acquiree before the acquisition under ASC 606. The ASU is effective for fiscal years beginning after December 15, 2022, with early adoption permitted. The adoption of this ASU is not expected to have a material impact on our combined financial statements; however, the impact in future periods will be dependent upon the contract assets acquired and contract liabilities assumed in any future business combinations.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July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The ASU revises lessor lease classification guidance and requires accounting for certain leases with variable lease payments that do not depend on a reference index or rate as operating leases. Such classification is required if the lease would have been classified as a sales-type or direct financing lease in accordance with guidance in FASB ASC Topic 842 and the lessor would have otherwise recognized a day-one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loss. The ASU is effective for fiscal years beginning after December 15, 2021, including interim periods within those fiscal years. The Company adopted this guidance on January 1, 2022, and the adoption did not have a material impact on our combined financial statements.</w:t>
      </w:r>
    </w:p>
    <w:p>
      <w:pPr>
        <w:spacing w:after="0" w:line="266"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tab/>
        <w:t>REVENUE RECOGNITION</w:t>
      </w:r>
    </w:p>
    <w:p>
      <w:pPr>
        <w:spacing w:after="0" w:line="117"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AND OTHER DEFERRED ASSETS. </w:t>
      </w:r>
      <w:r>
        <w:rPr>
          <w:rFonts w:ascii="Times New Roman" w:cs="Times New Roman" w:eastAsia="Times New Roman" w:hAnsi="Times New Roman"/>
          <w:sz w:val="18"/>
          <w:szCs w:val="18"/>
          <w:color w:val="auto"/>
        </w:rPr>
        <w:t>Contract assets primarily reflect revenue recognized on contracts in excess of billings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contractual terms. Contract assets are classified as current or non-current based on the amount of time expected to lapse until the Company’s right to consideration becomes unconditional. Other deferred assets consist of costs to obtain contracts, primarily commissions, and other cost deferrals for shipped products, and deferred service, labor and direct overhead costs.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contract and other deferred assets from 2020 to 2021 was not significant.</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r>
      <w:tr>
        <w:trPr>
          <w:trHeight w:val="209"/>
        </w:trPr>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$ 433</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$ 478</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deferred assets</w:t>
            </w: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19"/>
                <w:szCs w:val="19"/>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and other deferred assets</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828</w:t>
            </w:r>
          </w:p>
        </w:tc>
      </w:tr>
      <w:tr>
        <w:trPr>
          <w:trHeight w:val="216"/>
        </w:trPr>
        <w:tc>
          <w:tcPr>
            <w:tcW w:w="7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Non-current contract assets</w:t>
            </w:r>
            <w:r>
              <w:rPr>
                <w:rFonts w:ascii="Times New Roman" w:cs="Times New Roman" w:eastAsia="Times New Roman" w:hAnsi="Times New Roman"/>
                <w:sz w:val="25"/>
                <w:szCs w:val="25"/>
                <w:color w:val="auto"/>
                <w:vertAlign w:val="superscript"/>
              </w:rPr>
              <w:t>(a)</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other deferred assets</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contract and other deferred assets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$ 898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$ 914</w:t>
            </w: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contract assets are included in All other assets in our combined Statements of Financial Position.</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Capitalized costs to obtain a contract were $176 million and $147 million as of December 31, 2021 and 2020, respectively. Generally, these costs are recognized within two years of being capitalized. When recognized, the costs to obtain a contract are recorded in Selling, general and administrative in the combined Statements of Income.</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Contract liabilities primarily include customer advances and deposits received when orders are placed and billings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advance of completion of performance obligations. Contract liabilities are classified as current or non-current based on the periods over which remaining performance obligations are expected to be satisfied and fulfilled with our customers.</w:t>
      </w:r>
    </w:p>
    <w:p>
      <w:pPr>
        <w:spacing w:after="0" w:line="175"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2021 and 2020, contract liabilities were approximately $2,496 million and $2,382 million, respectively, of which the non-current portion of $632 million and $569 million, respectively, was included in All other liabilities. Contract liabilities increased $114 million in 2021 primarily due to an increase in customer advances and deposits as a result of product orders growth relative to fulfillment. Revenue recognized related to the contract liabilities balance at the beginning of the year was approximately $1,552 million and $1,265 million for the years ended December 31, 2021 and 2020, respectively.</w:t>
      </w:r>
    </w:p>
    <w:p>
      <w:pPr>
        <w:spacing w:after="0" w:line="179"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REMAINING PERFORMANCE OBLIGATIONS</w:t>
      </w:r>
      <w:r>
        <w:rPr>
          <w:rFonts w:ascii="Times New Roman" w:cs="Times New Roman" w:eastAsia="Times New Roman" w:hAnsi="Times New Roman"/>
          <w:sz w:val="18"/>
          <w:szCs w:val="18"/>
          <w:color w:val="auto"/>
        </w:rPr>
        <w:t>. As of December 31, 2021, the aggregate amount of the contracted revenues allocated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unsatisfied (or partially unsatisfied) performance obligations was $14,571 million. We expect to recognize revenue as we satisfy our remaining performance obligations as follows: 1) product-related remaining performance obligation of $4,543 million of which 97% is expected to be recognized within two years, and the remaining thereafter; and 2) services-related remaining performance obligations of $10,028 million of which 64% and 96% is expected to be recognized within two and five years, respectively, and the remaining thereafter.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SEGMENT AND GEOGRAPHICAL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Operating segments include components of an enterprise about which separate financial information is available that is evaluated regularly by the Company’s Chief Operating Decision Maker (“CODM”) for the purpose of assessing performance and allocating resources. The Company’s CODM is its Chief Executive Officer (“CEO”). Our operating activities are managed through four operating segments: Imaging, Ultrasound, PCS, and PDx. These segments have been identified based on the nature of the products sold and how the Company manages its operations. No operating segments have been aggregated to form reportable segments.</w:t>
      </w:r>
    </w:p>
    <w:p>
      <w:pPr>
        <w:spacing w:after="0" w:line="183"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The performance of these segments is principally measured based on revenues and an earnings metric defined as Income from continuing operations before income taxes, less Interest and other financial charges — net, Non-operating benefit costs, restructuring costs, acquisition and disposition related charges, gains and losses on business dispositions, Spin-Off and separation costs, amortization of acquisition-related intangible assets, and investment revaluation gains and losses (“Segment EBIT”).</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Consistent accounting policies have been applied by all segments for all reporting periods. A description of our reportable segments as of and for the years ended December 31, 2021, 2020, and 2019 has been provided in Note 1, “Description of the Business and Basis of Presentation.”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disaggregates Total revenues to external customers by segment and product category: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6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Imaging</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Radiology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Interventional Guidance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Imaging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Ultrasound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Monitoring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Life Support Solutions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PCS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PDx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17,585</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17,164</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16,633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620" w:hanging="424"/>
        <w:spacing w:after="0" w:line="282" w:lineRule="auto"/>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the Company’s revenues for the years ended December 31, 2021, 2020, or 2019. Additionally, no customers accounted for more than 10% of accounts receivable as of December 31, 2021 or 2020.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EBIT</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r>
      <w:tr>
        <w:trPr>
          <w:trHeight w:val="209"/>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EBIT</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Imaging</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$1,240</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Ultrasound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PCS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PDx</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2,492</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disposition related charges</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business dispositions/divestments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Spin-Off and separation costs</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revaluation gain (loss)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benefit (costs)</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2,875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2,710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2,091</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0" w:hanging="424"/>
        <w:spacing w:after="0" w:line="28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report total assets by segment for internal or external reporting purposes as the Company’s CODM does not assess performance, make strategic decisions or allocate resources based on assets.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GEOGRAPHIC INFORMATION</w:t>
      </w:r>
      <w:r>
        <w:rPr>
          <w:rFonts w:ascii="Times New Roman" w:cs="Times New Roman" w:eastAsia="Times New Roman" w:hAnsi="Times New Roman"/>
          <w:sz w:val="18"/>
          <w:szCs w:val="18"/>
          <w:color w:val="auto"/>
        </w:rPr>
        <w:t>. Revenues are classified according to the region to which products and services are sold.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r>
      <w:tr>
        <w:trPr>
          <w:trHeight w:val="209"/>
        </w:trPr>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17,585</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17,164</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16,633</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580" w:type="dxa"/>
            <w:vAlign w:val="bottom"/>
            <w:tcBorders>
              <w:bottom w:val="single" w:sz="8" w:color="auto"/>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6"/>
                <w:szCs w:val="16"/>
                <w:color w:val="auto"/>
              </w:rPr>
            </w:pP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4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3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2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4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2,235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2,202</w:t>
            </w:r>
          </w:p>
        </w:tc>
      </w:tr>
      <w:tr>
        <w:trPr>
          <w:trHeight w:val="20"/>
        </w:trPr>
        <w:tc>
          <w:tcPr>
            <w:tcW w:w="2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41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color w:val="auto"/>
              </w:rPr>
              <w:t>F-33</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00"/>
          </w:cols>
          <w:pgMar w:left="320" w:top="455" w:right="10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RECEIVABLES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CURRENT RECEIVABLES.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09"/>
        </w:trPr>
        <w:tc>
          <w:tcPr>
            <w:tcW w:w="63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Current customer receivables</w:t>
            </w:r>
            <w:r>
              <w:rPr>
                <w:rFonts w:ascii="Times New Roman" w:cs="Times New Roman" w:eastAsia="Times New Roman" w:hAnsi="Times New Roman"/>
                <w:sz w:val="24"/>
                <w:szCs w:val="24"/>
                <w:color w:val="auto"/>
                <w:vertAlign w:val="superscript"/>
              </w:rPr>
              <w:t>(a)</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3,028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Non-income based tax receivables</w:t>
            </w: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sundry receivables</w:t>
            </w:r>
          </w:p>
        </w:tc>
        <w:tc>
          <w:tcPr>
            <w:tcW w:w="7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Sundry receivables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100" w:type="dxa"/>
            <w:vAlign w:val="bottom"/>
          </w:tcPr>
          <w:p>
            <w:pPr>
              <w:spacing w:after="0"/>
              <w:rPr>
                <w:sz w:val="19"/>
                <w:szCs w:val="19"/>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receivables — net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3,227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1,877</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60" w:hanging="424"/>
        <w:spacing w:after="0" w:line="266" w:lineRule="auto"/>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are primarily related to our PDx business and are recorded as a reduction to current customer receivables. Chargebacks are generally settled through issuance of credits, typically within one month of initial recognition. Balances related to chargebacks were $129 million and $119 million as of December 31, 2021 and 2020, respectively.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Activity in the allowance for credit losses related to current receivables for the years ended December 31, 2021, 2020, and 2019 consists of the following:</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2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$ 94</w:t>
            </w: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Impact of adopting ASU No. 2016-13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Write-offs</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Write-offs</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107</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Sales of customer receivables</w:t>
      </w:r>
      <w:r>
        <w:rPr>
          <w:rFonts w:ascii="Times New Roman" w:cs="Times New Roman" w:eastAsia="Times New Roman" w:hAnsi="Times New Roman"/>
          <w:sz w:val="18"/>
          <w:szCs w:val="18"/>
          <w:color w:val="auto"/>
        </w:rPr>
        <w:t>. The Company sells certain of its customer receivables to GE’s Working Capital Solutions (“WCS”) business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third parties, and any discount related to time value of money is recognized by the Company when the customer receivables are sold. When we sell customer receivables to WCS or third parties, we accelerate the receipt of cash that would otherwise have been collected from customers. In any given period, the amount of cash received from sales of customer receivables compared to the cash we would have otherwise collected had those customer receivables not been sold represents the cash generated or used in the period relating to this activity. As of December 31, 2020, the Company sold approximately 50% of our gross customer receivables to WCS or third parties.</w:t>
      </w:r>
    </w:p>
    <w:p>
      <w:pPr>
        <w:spacing w:after="0" w:line="18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During 2021, the Company discontinued the majority of its factoring programs. As of December 31, 2021, WCS no longer holds any of the Company’s receivables. Separately from the factoring programs that have been discontinued, the Company from time to time sells current or long-term receivables to third parties in response to customer-sponsored requests or programs, to facilitate sales, or for risk mitigation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related to customer receivables sold by the Company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 HealthCare businesses sales to WCS and third parties</w:t>
            </w:r>
            <w:r>
              <w:rPr>
                <w:rFonts w:ascii="Times New Roman" w:cs="Times New Roman" w:eastAsia="Times New Roman" w:hAnsi="Times New Roman"/>
                <w:sz w:val="25"/>
                <w:szCs w:val="25"/>
                <w:color w:val="auto"/>
                <w:vertAlign w:val="superscript"/>
              </w:rPr>
              <w:t>(a)</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10,457</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Collections and other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(7,076)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(10,503)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from long-term customer receivables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1,628</w:t>
            </w:r>
          </w:p>
        </w:tc>
      </w:tr>
      <w:tr>
        <w:trPr>
          <w:trHeight w:val="20"/>
        </w:trPr>
        <w:tc>
          <w:tcPr>
            <w:tcW w:w="5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400" w:hanging="424"/>
        <w:spacing w:after="0" w:line="282" w:lineRule="auto"/>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WCS are considered related party and were $5,442 million and $10,441 million for the years ended December 31, 2021 and 2020, respectively.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had factored receivables of $1,126 million without recourse as of December 31, 2020. The Company had factored receivables of $502 million with recourse as of December 31, 2020. Under the programs, the Company incurred interest expense and finance charges of $21 million, $46 million and $73 million for the years ended December 31, 2021, 2020, and 2019, respectively, which are included in Interest and other financial charges — net in the combined Statements of Income. The proceeds for the programs are included in Cash from operating activities in the combined Statements of Cash Flows.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LONG-TERM RECEIVABLES</w:t>
      </w:r>
      <w:r>
        <w:rPr>
          <w:rFonts w:ascii="Times New Roman" w:cs="Times New Roman" w:eastAsia="Times New Roman" w:hAnsi="Times New Roman"/>
          <w:sz w:val="18"/>
          <w:szCs w:val="18"/>
          <w:color w:val="auto"/>
        </w:rPr>
        <w:t>. Long-term receivables are included in All other assets in our combined Statements of Financial Position.</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09"/>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customer receivables</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Sundry receivables</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Non-income based tax receivables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advances</w:t>
            </w:r>
          </w:p>
        </w:tc>
        <w:tc>
          <w:tcPr>
            <w:tcW w:w="100" w:type="dxa"/>
            <w:vAlign w:val="bottom"/>
          </w:tcPr>
          <w:p>
            <w:pPr>
              <w:spacing w:after="0"/>
              <w:rPr>
                <w:sz w:val="18"/>
                <w:szCs w:val="18"/>
                <w:color w:val="auto"/>
              </w:rPr>
            </w:pPr>
          </w:p>
        </w:tc>
        <w:tc>
          <w:tcPr>
            <w:tcW w:w="5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Allowance for credit losses</w:t>
            </w:r>
            <w:r>
              <w:rPr>
                <w:rFonts w:ascii="Times New Roman" w:cs="Times New Roman" w:eastAsia="Times New Roman" w:hAnsi="Times New Roman"/>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long-term receivables —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138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long-term receivables were not material for the years ended December 31, 2021 and 2020.</w:t>
      </w:r>
    </w:p>
    <w:p>
      <w:pPr>
        <w:spacing w:after="0" w:line="329"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FINANCING RECEIVABLES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10"/>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deferred income</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financing leases, net of deferred income</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Allowance for credit losses</w:t>
            </w:r>
            <w:r>
              <w:rPr>
                <w:rFonts w:ascii="Times New Roman" w:cs="Times New Roman" w:eastAsia="Times New Roman" w:hAnsi="Times New Roman"/>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02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Current financing receivables — net</w:t>
            </w:r>
            <w:r>
              <w:rPr>
                <w:rFonts w:ascii="Times New Roman" w:cs="Times New Roman" w:eastAsia="Times New Roman" w:hAnsi="Times New Roman"/>
                <w:sz w:val="25"/>
                <w:szCs w:val="25"/>
                <w:color w:val="auto"/>
                <w:vertAlign w:val="superscript"/>
              </w:rPr>
              <w:t>(b)</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deferred income</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financing leases, net of deferred income</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185</w:t>
            </w:r>
          </w:p>
        </w:tc>
      </w:tr>
      <w:tr>
        <w:trPr>
          <w:trHeight w:val="216"/>
        </w:trPr>
        <w:tc>
          <w:tcPr>
            <w:tcW w:w="7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Allowance for credit losses</w:t>
            </w:r>
            <w:r>
              <w:rPr>
                <w:rFonts w:ascii="Times New Roman" w:cs="Times New Roman" w:eastAsia="Times New Roman" w:hAnsi="Times New Roman"/>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02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Non-current financing receivables — net</w:t>
            </w:r>
            <w:r>
              <w:rPr>
                <w:rFonts w:ascii="Times New Roman" w:cs="Times New Roman" w:eastAsia="Times New Roman" w:hAnsi="Times New Roman"/>
                <w:sz w:val="25"/>
                <w:szCs w:val="25"/>
                <w:color w:val="auto"/>
                <w:vertAlign w:val="superscript"/>
              </w:rPr>
              <w:t>(b)</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186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230</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1"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activity related to current and non-current financing receivables included write-offs, net of recoveries, of $2 million and $2 million for the years ended December 31, 2021 and 2020, respectively.</w:t>
      </w:r>
    </w:p>
    <w:p>
      <w:pPr>
        <w:ind w:left="540" w:right="20" w:hanging="424"/>
        <w:spacing w:after="0" w:line="260"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financing receivables and non-current financing receivables are included in All other current assets and All other assets, respectively, in our combined Statements of Financial Position.</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0920"/>
          </w:cols>
          <w:pgMar w:left="320" w:top="455" w:right="6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Total financing receivables classified as held for sale were $17 million and $17 million as of December 31, 2021 and 2020, respectively. Total financing receivables sold were $104 million, $52 million, and $10 million for the years ended December 31, 2021, 2020, and 2019, respectively.</w:t>
      </w:r>
    </w:p>
    <w:p>
      <w:pPr>
        <w:spacing w:after="0" w:line="140"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5%, 4%, and 5% of financing receivables were over 30 days past due, over 90 days past due and on nonaccrual, respectively, with the majority of nonaccrual financing receivables secured by collateral. As of December 31, 2020, 2%, 1%, and 2% of financing receivables were over 30 days past due, over 90 days past due and on nonaccrual, respectively.</w:t>
      </w:r>
    </w:p>
    <w:p>
      <w:pPr>
        <w:spacing w:after="0" w:line="280"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tab/>
        <w:t>LEASES</w:t>
      </w:r>
    </w:p>
    <w:p>
      <w:pPr>
        <w:spacing w:after="0" w:line="117"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 As a lessee, the Company leases certain logistics, office, and manufacturing facilities, as well as vehicles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Certain of the Company’s leases may include options to extend. Our ROU operating lease assets are included in Property, plant, and equipment — net in our combined Statements of Financial Position. Our operating lease liabilities, are included in All other current liabilities and All other liabilities in our combined Statements of Financial Position, as detailed below.</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358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405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366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411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EXPENSE</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(fixed)</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(variable)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8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Total operating lease expense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3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185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201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lease payments</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$ 93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$ 68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$ 33</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 as of December 31, 2021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366</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RELATED TO OPERATING LEASES</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3"/>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FINANCE LEASES</w:t>
      </w:r>
      <w:r>
        <w:rPr>
          <w:rFonts w:ascii="Times New Roman" w:cs="Times New Roman" w:eastAsia="Times New Roman" w:hAnsi="Times New Roman"/>
          <w:sz w:val="18"/>
          <w:szCs w:val="18"/>
          <w:color w:val="auto"/>
        </w:rPr>
        <w:t>. The Company leases equipment manufactured or sold by the Company to customers through sales-type leases. Sales-type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leases are included in financing receivables and are presented within All other current assets and All other assets in the combined Statements of Financial Position.</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Finance lease income was $16 million, $13 million, and $13 million for the years ended December 31, 2021, 2020 and 2019, respectively, and is recorded in Other (income) expense — net in the combined Statements of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 FINANCING LEASES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 receivable</w:t>
            </w: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$243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$305</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deferred income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lease receivable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Estimated unguaranteed residual value of leased assets, net of deferred income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 financing leases, net of deferred income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226</w:t>
            </w:r>
          </w:p>
        </w:tc>
        <w:tc>
          <w:tcPr>
            <w:tcW w:w="2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MATURITIES, DUE IN</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20" w:type="dxa"/>
            <w:vAlign w:val="bottom"/>
            <w:gridSpan w:val="3"/>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minimum lease payments receivable</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$ 84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$ 60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$ 28</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actual maturities to differ from contractual maturities, primarily as a result of prepayments.</w:t>
      </w:r>
    </w:p>
    <w:p>
      <w:pPr>
        <w:spacing w:after="0" w:line="329"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ACQUISITIONS, GOODWILL, AND OTHER INTANGIBLE ASSETS</w:t>
      </w:r>
    </w:p>
    <w:p>
      <w:pPr>
        <w:spacing w:after="0" w:line="11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 On December 21, 2021, the Company acquired 100% of the stock of BK Medical, a leader in surgical ultrasound imaging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technology, for $1,466 million. The preliminary purchase price allocation resulted in goodwill of $1,020 million, amortizable intangible assets of $393 million, net tangible assets of $114 million, and net deferred tax liabilities of $61 million. The allocation of the purchase price is preliminary and subject to change within the measurement period as the Company finalizes the purchase price allocation and fair value estimates. The goodwill associated with the acquired business is non-deductible for tax purposes and is reported in the Ultrasound segment.</w:t>
      </w:r>
    </w:p>
    <w:p>
      <w:pPr>
        <w:spacing w:after="0" w:line="18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On May 5, 2021, the Company acquired 100% of the stock of Zionexa, a French-based company that is a leading innovator of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oncology and neurology biomarkers for $32 million and potential earn-out payments valued at $91 million based primarily on sales targets and regulatory approvals. It is possible that our earn-out payments could exceed amounts accrued based on higher than forecasted sales. The purchase price allocation resulted in goodwill of $43 million, intangible assets of $114 million, deferred tax liabilities of $25 million, and other net liabilities assumed of $9 million. The goodwill associated with the acquired business is primarily deductible for tax purposes and is reported in the PDx segment.</w:t>
      </w:r>
    </w:p>
    <w:p>
      <w:pPr>
        <w:spacing w:after="0" w:line="17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December 30, 2020, the Company acquired the remaining 69% of the stock of Prismatic Sensors AB, a Swedish-based company developing novel sensor technology for CT machines, for $74 million and potential earn-out payments valued at $20 million. The Company had a previous equity ownership in Prismatic Sensors AB with a fair value of $35 million. The purchase price allocation resulted in goodwill of $89 million, indefinite-lived intangible assets of $48 million, and other net liabilities assumed of $8 million. The goodwill associated with the acquired business is primarily deductible for tax purposes and is reported in the Imaging segment.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GOODWILL BALANCES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Imaging</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Ultrasound</w:t>
            </w:r>
          </w:p>
        </w:tc>
        <w:tc>
          <w:tcPr>
            <w:tcW w:w="14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PCS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PDx</w:t>
            </w:r>
          </w:p>
        </w:tc>
        <w:tc>
          <w:tcPr>
            <w:tcW w:w="140" w:type="dxa"/>
            <w:vAlign w:val="bottom"/>
          </w:tcPr>
          <w:p>
            <w:pPr>
              <w:spacing w:after="0"/>
              <w:rPr>
                <w:sz w:val="15"/>
                <w:szCs w:val="15"/>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3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4,344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2,857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2,050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2,491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11,742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3260" w:type="dxa"/>
            <w:vAlign w:val="bottom"/>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260" w:type="dxa"/>
            <w:vAlign w:val="bottom"/>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11,868</w:t>
            </w:r>
          </w:p>
        </w:tc>
        <w:tc>
          <w:tcPr>
            <w:tcW w:w="60" w:type="dxa"/>
            <w:vAlign w:val="bottom"/>
          </w:tcPr>
          <w:p>
            <w:pPr>
              <w:spacing w:after="0"/>
              <w:rPr>
                <w:sz w:val="20"/>
                <w:szCs w:val="20"/>
                <w:color w:val="auto"/>
              </w:rPr>
            </w:pPr>
          </w:p>
        </w:tc>
      </w:tr>
      <w:tr>
        <w:trPr>
          <w:trHeight w:val="356"/>
        </w:trPr>
        <w:tc>
          <w:tcPr>
            <w:tcW w:w="3820" w:type="dxa"/>
            <w:vAlign w:val="bottom"/>
          </w:tcPr>
          <w:p>
            <w:pPr>
              <w:spacing w:after="0"/>
              <w:rPr>
                <w:sz w:val="24"/>
                <w:szCs w:val="24"/>
                <w:color w:val="auto"/>
              </w:rPr>
            </w:pPr>
          </w:p>
        </w:tc>
        <w:tc>
          <w:tcPr>
            <w:tcW w:w="392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F-37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Imaging</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Ultrasound</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PCS</w:t>
            </w:r>
          </w:p>
        </w:tc>
        <w:tc>
          <w:tcPr>
            <w:tcW w:w="12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PDx</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4,433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3,876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2,049</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2,534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12,892</w:t>
            </w:r>
          </w:p>
        </w:tc>
      </w:tr>
      <w:tr>
        <w:trPr>
          <w:trHeight w:val="20"/>
        </w:trPr>
        <w:tc>
          <w:tcPr>
            <w:tcW w:w="6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performing the annual goodwill impairment tests during 2021, 2020, and 2019, we determined that the fair values of each of our reporting units exceeded their carrying values. Therefore, no impairment was recorded.</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Determining the fair value of reporting units requires the use of estimates and significant judgments that are based on a number of factors including actual operating results and overall market valuations. It is reasonably possible that the judgments and estimates described above could change in future periods.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vMerge w:val="restart"/>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CCEEFF"/>
            </w:tcBorders>
            <w:gridSpan w:val="2"/>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2,148</w:t>
            </w:r>
          </w:p>
        </w:tc>
        <w:tc>
          <w:tcPr>
            <w:tcW w:w="18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1,060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Indefinite-lived assets</w:t>
            </w:r>
            <w:r>
              <w:rPr>
                <w:rFonts w:ascii="Times New Roman" w:cs="Times New Roman" w:eastAsia="Times New Roman" w:hAnsi="Times New Roman"/>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1,847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4,871</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Indefinite-lived intangible assets primarily relate to acquired IPR&amp;D prior to project completion, and are not amortized.</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During 2021, we recorded additions to intangible assets subject to amortization of $657 million with a weighted-average useful life of nine years, including patents and technology of $449 million, with a weighted-average amortizable period of 11 years.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was $400 million, $408 million, and $434 million for the years ended December 31, 2021, 2020, and 2019, respectively. No material impairments of intangible assets were recognized in the years ended December 31, 2021, 2020, or 2019.</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Estimated annual pre-tax amortization expense for intangible assets over the next five calendar years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annual pre-tax amortization</w:t>
            </w:r>
          </w:p>
        </w:tc>
        <w:tc>
          <w:tcPr>
            <w:tcW w:w="2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$425</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$353</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$242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1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BORROWINGS. </w:t>
      </w:r>
      <w:r>
        <w:rPr>
          <w:rFonts w:ascii="Times New Roman" w:cs="Times New Roman" w:eastAsia="Times New Roman" w:hAnsi="Times New Roman"/>
          <w:sz w:val="18"/>
          <w:szCs w:val="18"/>
          <w:color w:val="auto"/>
        </w:rPr>
        <w:t>The Company had total long-term borrowings of $31 million as of both December 31, 2021 and 2020. These borrowings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 of bank borrowings and a product financing arrangement. The Company had total short-term borrowings of $6 million and $4 million as of December 31, 2021 and 2020, respectively, of which $6 million and $3 million represent the current portion of long-term borrowings. These borrowings consist of bank borrowings and a product financing arrangement.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bank borrowings pertain to agreements made between the Company and Austrian-based banks that are guaranteed by the Austrian Research Promotion Agency and have maturities ranging from 2022 through 2026.</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These borrowings are used to fund R&amp;D initiatives of the Company. As of December 31, 2021 and 2020, the weighted-average interest rate on long-term bank borrowings was 0.53% and 0.67%, respectively. Interest expense recognized for these arrangements was not significant for the years ended December 31, 2021, 2020, and 2019. Interest expense is included in Interest and other financial charges — net in the combined Statements of Income.</w:t>
      </w:r>
    </w:p>
    <w:p>
      <w:pPr>
        <w:spacing w:after="0" w:line="158"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non-bank borrowings pertain to a product financing arrangement between the Company and a third party supplier whereby the supplier agreed to purchase inventory on the Company’s behalf. The Company signed a non-cancellable, non-returnable (“NCNR”) agreement to purchase the inventory from the supplier. The NCNR agreement was assigned to a bank as collateral for the financing that the supplier received from a bank to purchase the supplier’s inventory. The price that the Company paid the supplier for the inventory included the original price from the supplier plus management fees and financing costs. Interest expense recognized for these arrangements was not significant for the years ended December 31, 2021, 2020, and 2019.</w:t>
      </w:r>
    </w:p>
    <w:p>
      <w:pPr>
        <w:spacing w:after="0" w:line="16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LETTERS OF CREDIT, GUARANTEES AND OTHER COMMITMENTS. </w:t>
      </w:r>
      <w:r>
        <w:rPr>
          <w:rFonts w:ascii="Times New Roman" w:cs="Times New Roman" w:eastAsia="Times New Roman" w:hAnsi="Times New Roman"/>
          <w:sz w:val="18"/>
          <w:szCs w:val="18"/>
          <w:color w:val="auto"/>
        </w:rPr>
        <w:t>As of December 31, 2021 and 2020, the Company had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bank guarantees, bid bonds and surety bonds of approximately $808 million and $824 million, respectively, related to certain commercial contracts. Additionally, we have approximately $63 million and $79 million of guarantees as of December 31, 2021 and 2020, respectively, primarily related to residual value guarantees on equipment sold to third-party finance companies. Our combined Statements of Financial Position reflect a liability of $5 million and $6 million as of December 31, 2021 and 2020, respectively,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291"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POSTRETIREMENT BENEFIT PLANS</w:t>
      </w:r>
    </w:p>
    <w:p>
      <w:pPr>
        <w:spacing w:after="0" w:line="11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PENSION BENEFITS AND RETIREE HEALTH AND LIFE BENEFITS SPONSORED BY GE</w:t>
      </w:r>
      <w:r>
        <w:rPr>
          <w:rFonts w:ascii="Times New Roman" w:cs="Times New Roman" w:eastAsia="Times New Roman" w:hAnsi="Times New Roman"/>
          <w:sz w:val="18"/>
          <w:szCs w:val="18"/>
          <w:color w:val="auto"/>
        </w:rPr>
        <w:t>. Certain employees are covered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pension and retiree health and life plans sponsored by GE, including principal pension plans, other pension plans, and principal retiree benefit plans. These plans are accounted for as multiemployer plans. Certain of these pension plans have been closed to new participants. Relevant participation costs for certain GE-sponsored employee benefit plans have been allocated to the Company and are included in the combined Statements of Income. These include service costs for active employees in the U.S. GE Pension Plan, certain international pension plans, the U.S. GE Supplementary Pension Plan, and the U.S. retiree benefit plan. We have not recorded any liabilities associated with our participation in these plans in our combined Statements of Financial Position as of December 31, 2021 and 2020. Expenses associated with our employees’ participation in the U.S. GE principal pension and principal retiree benefit plans, which represent the majority of related expense, were $96 million, $194 million, and $209 million for the years ended December 31, 2021, 2020, and 2019, respectively. Expenses associated with our employees’ participation in the U.S. Retirement Savings Plan represent the employer matching contributions for GE HealthCare employees and were $119 million, $83 million, and $86 million for the years ended December 31, 2021, 2020, and 2019, respectively. Expenses associated with our employees’ participation in GE’s non-U.S. based pension were $22 million, $19 million, and $15 million for the years ended December 31, 2021, 2020, and 2019, respectively.</w:t>
      </w:r>
    </w:p>
    <w:p>
      <w:pPr>
        <w:spacing w:after="0" w:line="190"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PENSION PLANS SPONSORED BY GE HEALTHCARE</w:t>
      </w:r>
      <w:r>
        <w:rPr>
          <w:rFonts w:ascii="Times New Roman" w:cs="Times New Roman" w:eastAsia="Times New Roman" w:hAnsi="Times New Roman"/>
          <w:sz w:val="18"/>
          <w:szCs w:val="18"/>
          <w:color w:val="auto"/>
        </w:rPr>
        <w:t>. In addition to these GE-sponsored plans, certain of our employees also are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pension plans sponsored by the Company. Our pension plans in 2021 included 11 U.S. and non-U.S. pension plans with pension assets or obligations greater than $20 million. Smaller pension plans with pension assets or obligations less than $20 million are not presented in the following tables. We use a December 31 measurement date for these plans. These defined benefit plans generally provide benefits to employees based on formulas recognizing length of service and earnings. Certain of these pension plans have been closed to new participants.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 HealthCare Sponsored Pension Plan Participants</w:t>
      </w:r>
    </w:p>
    <w:p>
      <w:pPr>
        <w:spacing w:after="0" w:line="250"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Participants as of December 31, 2021</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employees</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former employees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2,418</w:t>
            </w:r>
          </w:p>
        </w:tc>
        <w:tc>
          <w:tcPr>
            <w:tcW w:w="4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Retirees and beneficiaries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3,621</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participants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Funding</w:t>
      </w:r>
      <w:r>
        <w:rPr>
          <w:rFonts w:ascii="Times New Roman" w:cs="Times New Roman" w:eastAsia="Times New Roman" w:hAnsi="Times New Roman"/>
          <w:sz w:val="18"/>
          <w:szCs w:val="18"/>
          <w:color w:val="auto"/>
        </w:rPr>
        <w:t>. The funding policy for our pension plans is to contribute amounts sufficient to meet minimum funding requirements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and tax laws plus any additional amounts as we may determine to be appropriate. In 2021, we contributed $20 million to fund certain pension plans. We expect to contribute approximately $20 million to our pension plans in 2022.</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Our Benefits Plans and Assumptions.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Components of expense (income)</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cost — Operating</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Curtailment/settlement loss (gain)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expense</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benefit obligations assumptions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benefit cost assumptions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1.80%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5.39</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5.40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Assumptions Used in Calculations and Sensitivities to Key Assumptions</w:t>
      </w:r>
      <w:r>
        <w:rPr>
          <w:rFonts w:ascii="Times New Roman" w:cs="Times New Roman" w:eastAsia="Times New Roman" w:hAnsi="Times New Roman"/>
          <w:sz w:val="18"/>
          <w:szCs w:val="18"/>
          <w:color w:val="auto"/>
        </w:rPr>
        <w:t>. Accounting requirements necessitate the use of assumptions to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uncertainties and the length of time over which the pension obligations will be paid. The actual amount of future benefit payments will depend upon when participants retire, the amount of their benefit at retirement, and how long they live. To reflect the obligation in today’s U.S. Dollars, we discount the future payments using a rate that matches the time frame over which the payments will be made. We also assume a long-term rate of return that will be earned on investments used to fund these payments.</w:t>
      </w:r>
    </w:p>
    <w:p>
      <w:pPr>
        <w:spacing w:after="0" w:line="18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evaluate these assumptions annually. We periodically evaluate other assumptions, such as retirement age, mortality, and turnover, and update them as necessary to reflect our actual experience and expectations for the future.</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determine the discount rate using the weighted average yields on high-quality fixed-income securities that have maturities consistent with the timing of benefit payments. Lower discount rates increase the size of the benefit obligations and pension expense in the following year; higher discount rates reduce the size of the benefit obligation and subsequent-year pension expense.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80"/>
          </w:cols>
          <w:pgMar w:left="320" w:top="455"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expected return on plan assets is the estimated long-term rate of return that will be earned on the investments used to fund the pension obligations. To determine this rate, we consider the current and target composition of plan investments, our historical returns earned and our expectations about the future.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key assumptions for our pension plans would have the following effects:</w:t>
      </w:r>
    </w:p>
    <w:p>
      <w:pPr>
        <w:spacing w:after="0" w:line="131" w:lineRule="exact"/>
        <w:rPr>
          <w:sz w:val="20"/>
          <w:szCs w:val="20"/>
          <w:color w:val="auto"/>
        </w:rPr>
      </w:pPr>
    </w:p>
    <w:p>
      <w:pPr>
        <w:ind w:left="108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 A 0.25 point increase in discount rate would decrease pension cost in 2022 by $2 million and would decrease the pension benefit obligation at December 31, 2021 by approximately $31 million.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return on assets — A 0.5 point decrease in the expected return on assets would increase pension cost in 2022 by $3 million.</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assumption is used to estimate the annual rate at which compensation of plan participants will grow. If the rate of growth assumed increases, the size of the pension obligations will increase, as will the amount recorded in equity attributable to the Company and amortized to earnings in subsequent periods.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amortize experience gains and losses, as well as the effects of changes in actuarial assumptions and plan provisions, over a period no longer than the average future service of employees.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Funded Status and Amounts Recorded in AOCI.</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Change in projected benefit obligations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8"/>
              </w:rPr>
              <w:t>1,048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 (gain) — net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Curtailments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537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gain (loss) on plan assets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Funded status — surplus (deficit)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(387)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recorded in the combined Statements of Financial Position</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 other</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 other</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 compensation and benefits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amount recorded</w:t>
            </w: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recorded in AOCI</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recorded in AOCI</w:t>
            </w: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F-41</w:t>
            </w: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estimate that we will amortize $4 million of prior service credit and $6 million of net actuarial loss from AOCI into pension expense.</w:t>
      </w:r>
    </w:p>
    <w:p>
      <w:pPr>
        <w:spacing w:after="0" w:line="221" w:lineRule="exact"/>
        <w:rPr>
          <w:sz w:val="20"/>
          <w:szCs w:val="20"/>
          <w:color w:val="auto"/>
        </w:rPr>
      </w:pPr>
    </w:p>
    <w:p>
      <w:pPr>
        <w:ind w:left="120" w:right="24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Composition of Our Plan Assets</w:t>
      </w:r>
      <w:r>
        <w:rPr>
          <w:rFonts w:ascii="Times New Roman" w:cs="Times New Roman" w:eastAsia="Times New Roman" w:hAnsi="Times New Roman"/>
          <w:sz w:val="17"/>
          <w:szCs w:val="17"/>
          <w:color w:val="auto"/>
        </w:rPr>
        <w:t>. The fair value of our pension plans’ investments is presented below. The inputs and valuation techniques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used to measure the fair value of the assets are consistently applied and described in Note 2, “Summary of Significant Accounting Policies.”</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r>
      <w:tr>
        <w:trPr>
          <w:trHeight w:val="209"/>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200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163</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equities and other investments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Plan assets measured at fair value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351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291</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Global equity securities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w:t>
            </w:r>
          </w:p>
        </w:tc>
        <w:tc>
          <w:tcPr>
            <w:tcW w:w="4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equities and other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246</w:t>
            </w:r>
          </w:p>
        </w:tc>
        <w:tc>
          <w:tcPr>
            <w:tcW w:w="4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553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537</w:t>
            </w:r>
          </w:p>
        </w:tc>
      </w:tr>
      <w:tr>
        <w:trPr>
          <w:trHeight w:val="20"/>
        </w:trPr>
        <w:tc>
          <w:tcPr>
            <w:tcW w:w="6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Those investments that were measured at net asset value (“NAV”) as a practical expedient were excluded from the fair value hierarchy. Investments with a fair value of $76 million and $70 million as of December 31, 2021 and 2020, respectively, were classified within Level 3 of the fair value hierarchy and primarily relate to private equities, insurance contracts and real estate. The remaining investments were all considered Level 1 and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Asset Allocation of Pension Plans.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 allocation</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4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20"/>
        </w:trPr>
        <w:tc>
          <w:tcPr>
            <w:tcW w:w="57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equity securities</w:t>
            </w:r>
          </w:p>
        </w:tc>
        <w:tc>
          <w:tcPr>
            <w:tcW w:w="7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 (including cash equivalents)</w:t>
            </w: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equities and other instruments</w:t>
            </w: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Plan fiduciaries of our pension plans set investment policies and strategies for the assets held in trust and oversee its investment allocation, which includes selecting investment managers, commissioning periodic asset-liability studies, and setting long-term strategic targets. Long-term strategic investment objectives take into consideration a number of factors, including the funded status of the plan, a balance between risk and return, and the plan’s liquidity needs. The plan utilizes a combination of long-dated corporate bonds, treasuries, and derivatives to implement its investment strategies as well as for hedging asset and liability risks. Target allocation percentages are established at an asset class level by plan fiduciaries. Target allocation ranges are guidelines, not limitations, and occasionally plan fiduciaries will approve allocations above or below a target range.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Expected Future Benefit Payments of Our Benefit Plans.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2027-2031</w:t>
            </w:r>
          </w:p>
        </w:tc>
        <w:tc>
          <w:tcPr>
            <w:tcW w:w="60" w:type="dxa"/>
            <w:vAlign w:val="bottom"/>
          </w:tcPr>
          <w:p>
            <w:pPr>
              <w:spacing w:after="0"/>
              <w:rPr>
                <w:sz w:val="15"/>
                <w:szCs w:val="15"/>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future benefit payments</w:t>
            </w:r>
          </w:p>
        </w:tc>
        <w:tc>
          <w:tcPr>
            <w:tcW w:w="3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3900" w:type="dxa"/>
            <w:vAlign w:val="bottom"/>
          </w:tcPr>
          <w:p>
            <w:pPr>
              <w:spacing w:after="0"/>
              <w:rPr>
                <w:sz w:val="24"/>
                <w:szCs w:val="24"/>
                <w:color w:val="auto"/>
              </w:rPr>
            </w:pPr>
          </w:p>
        </w:tc>
        <w:tc>
          <w:tcPr>
            <w:tcW w:w="40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F-42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PRE-TAX COST OF POSTRETIREMENT BENEFIT PLANS AND CHANGES IN OTHER COMPREHENSIVE INCOME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7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postretirement benefit plans</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$ 23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$ 29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Changes in other comprehensive loss (income)</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 current year</w:t>
            </w:r>
          </w:p>
        </w:tc>
        <w:tc>
          <w:tcPr>
            <w:tcW w:w="6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Reclassifications out of AOCI</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6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in other comprehensive loss (income)</w:t>
            </w:r>
          </w:p>
        </w:tc>
        <w:tc>
          <w:tcPr>
            <w:tcW w:w="6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(98)</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Cost (income) of postretirement benefit plans and changes in other comprehensive</w:t>
            </w: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6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(75)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$ 25</w:t>
            </w:r>
          </w:p>
        </w:tc>
        <w:tc>
          <w:tcPr>
            <w:tcW w:w="3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provision for income taxes calculations have been prepared on a separate return basis as if the Company were a separate group of companies under common ownership. However, the results have been combined as if the Company were filing on a combined basis for U.S. federal, U.S. state, and non-U.S. income tax purposes, where permissible by law. The Company is subject to income taxes in the U.S. (both federal and state) and in numerous foreign jurisdictions. Changes in the tax laws or regulations in these jurisdictions, or in positions by the relevant authorities regarding their application, administration or interpretation, may affect our tax liability, return on investments and business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3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income</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$1,620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Non-U.S. income</w:t>
            </w: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20" w:type="dxa"/>
            <w:vAlign w:val="bottom"/>
          </w:tcPr>
          <w:p>
            <w:pPr>
              <w:spacing w:after="0"/>
              <w:rPr>
                <w:sz w:val="19"/>
                <w:szCs w:val="19"/>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2,875</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2,710</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3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Federal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$ 141</w:t>
            </w: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$ 250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Federal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State</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$ 600</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$ 652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Tax Cuts and Jobs Act (“TCJA”) imposes tax on U.S. shareholders for global intangible low-taxed income (“GILTI”) earned by certain non-U.S. subsidiaries. The Company has elected to account for GILTI as a period cost.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5"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FEDERAL STATUTORY INCOME TAX RATE TO ACTUAL INCOME TAX RATE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2,875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2,710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expected at 21.0%</w:t>
            </w: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U.S. tax on foreign operations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R&amp;D benefits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income tax rate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UNRECOGNIZED TAX BENEFITS</w:t>
      </w:r>
      <w:r>
        <w:rPr>
          <w:rFonts w:ascii="Times New Roman" w:cs="Times New Roman" w:eastAsia="Times New Roman" w:hAnsi="Times New Roman"/>
          <w:sz w:val="18"/>
          <w:szCs w:val="18"/>
          <w:color w:val="auto"/>
        </w:rPr>
        <w:t>. The Company is subject to periodic tax audits by tax authorities in the U.S. (both federal and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numerous countries in which we operate. In 2021, the Company settled with tax authorities in certain foreign jurisdictions. While the Company currently is being audited in a number of jurisdictions for tax years 2004-2020, including China, Norway, France, Germany, the United Kingdom, and the U.S., we believe that there are no jurisdictions in which the ultimate outcome of unresolved issues or claims is likely to be material to the results of operations, financial position, or cash flows. We believe that we have made adequate provisions for all unrecognized tax benefits.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 RECONCILIATION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balance of unrecognized tax benefits, the amount of related interest and penalties, and what we believe to be the range of reasonably possible changes in the next 12 months are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$ 684</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$622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$650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the statute of limitations</w:t>
            </w:r>
          </w:p>
        </w:tc>
        <w:tc>
          <w:tcPr>
            <w:tcW w:w="16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$ 365</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$365</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$684</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unrecognized tax benefits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6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Reasonably possible reduction to the balance of unrecognized tax benefits in succeeding 12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months</w:t>
            </w: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Portion that, if recognized, would reduce tax expense and effective tax rate</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classify interest on tax deficiencies as interest expense; we classify income tax penalties as a provision for income taxes. For the years ended December 31, 2021, 2020, and 2019, $9 million, $6 million, and $1 million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40"/>
          </w:cols>
          <w:pgMar w:left="320" w:top="455" w:right="5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 Interest and other financial charges — net, respectively, was recognized in our combined Statements of Income. No accrual for penalties was made in the periods.</w:t>
      </w:r>
    </w:p>
    <w:p>
      <w:pPr>
        <w:spacing w:after="0" w:line="158"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DEFERRED INCOME TAXES</w:t>
      </w:r>
      <w:r>
        <w:rPr>
          <w:rFonts w:ascii="Times New Roman" w:cs="Times New Roman" w:eastAsia="Times New Roman" w:hAnsi="Times New Roman"/>
          <w:sz w:val="18"/>
          <w:szCs w:val="18"/>
          <w:color w:val="auto"/>
        </w:rPr>
        <w:t>. We regularly evaluate the recoverability of our deferred tax assets and establish a valuation allowance,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reduce the deferred tax assets to an amount that is more likely than not to be realized (a likelihood of more than 50%). Significant judgment is required in determining whether a valuation allowance is necessary and the amount of such valuation allowance. In assessing the recoverability of our deferred tax assets at December 31, 2021, we considered all available evidence, including the nature of financial statement losses, reversing taxable temporary differences, estimated future operating profits, and tax planning strategies.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asset (liability)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902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3"/>
              </w:rPr>
              <w:t>1,030</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THE NET DEFERRED INCOME TAX ASSET (LIABILITY)</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R&amp;D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asset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3"/>
              </w:rPr>
              <w:t>1,763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asset after valuation allowance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8"/>
              </w:rPr>
              <w:t>1,508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3"/>
              </w:rPr>
              <w:t>1,513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&amp; other intangible assets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liability</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asset (liability)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902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3"/>
              </w:rPr>
              <w:t>1,030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2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F-45</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Valuation allowances primarily relate to non-U.S. deferred taxes where there were historical losses and U.S. federal/state credit carryforwards.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Activity in the valuation allowance for the years ended December 31, 2021, 2020, and 2019 consists of the following:</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4"/>
              </w:rPr>
              <w:t>$214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Write-offs of valuation allowances were not material for the years ended December 31, 2021, 2020, and 2019.</w:t>
      </w:r>
    </w:p>
    <w:p>
      <w:pPr>
        <w:spacing w:after="0" w:line="221" w:lineRule="exact"/>
        <w:rPr>
          <w:sz w:val="20"/>
          <w:szCs w:val="20"/>
          <w:color w:val="auto"/>
        </w:rPr>
      </w:pPr>
    </w:p>
    <w:p>
      <w:pPr>
        <w:ind w:left="120" w:right="50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Net Operating Losses</w:t>
      </w:r>
      <w:r>
        <w:rPr>
          <w:rFonts w:ascii="Times New Roman" w:cs="Times New Roman" w:eastAsia="Times New Roman" w:hAnsi="Times New Roman"/>
          <w:sz w:val="18"/>
          <w:szCs w:val="18"/>
          <w:color w:val="auto"/>
        </w:rPr>
        <w:t>. As of December 31, 2021, the Company had net operating loss carryforwards of $1,586 million (primarily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Sweden and Brazil, which can be carried forward indefinitely). The gross net operating loss carryforwards resulted in a deferred tax asset of</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$349 million at December 31, 2021. This amount excludes accruals of $211 million for unrecognized tax benefits the Company has recorded related to the underlying tax positions which generated the net operating losses.</w:t>
      </w:r>
    </w:p>
    <w:p>
      <w:pPr>
        <w:spacing w:after="0" w:line="17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Undistributed Earnings</w:t>
      </w:r>
      <w:r>
        <w:rPr>
          <w:rFonts w:ascii="Times New Roman" w:cs="Times New Roman" w:eastAsia="Times New Roman" w:hAnsi="Times New Roman"/>
          <w:sz w:val="18"/>
          <w:szCs w:val="18"/>
          <w:color w:val="auto"/>
        </w:rPr>
        <w:t>. Substantially all of the undistributed earnings of our foreign subsidiaries are indefinitely reinvested in active non-U.S.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operations, and there are no current plans to repatriate these earnings to fund U.S. operations. As of December 31, 2021, the cumulative amount of indefinitely reinvested foreign earnings was approximately $11,742 million. Computation of any deferred tax liability associated with any other remaining basis differences is not practicable.</w:t>
      </w:r>
    </w:p>
    <w:p>
      <w:pPr>
        <w:spacing w:after="0" w:line="284" w:lineRule="exact"/>
        <w:rPr>
          <w:sz w:val="20"/>
          <w:szCs w:val="20"/>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 — NET</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820" w:type="dxa"/>
            <w:vAlign w:val="bottom"/>
            <w:gridSpan w:val="3"/>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Cash</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20" w:type="dxa"/>
            <w:vAlign w:val="bottom"/>
            <w:gridSpan w:val="3"/>
            <w:vMerge w:val="continue"/>
          </w:tcPr>
          <w:p>
            <w:pPr>
              <w:spacing w:after="0"/>
              <w:rPr>
                <w:sz w:val="12"/>
                <w:szCs w:val="12"/>
                <w:color w:val="auto"/>
              </w:rPr>
            </w:pPr>
          </w:p>
        </w:tc>
        <w:tc>
          <w:tcPr>
            <w:tcW w:w="820" w:type="dxa"/>
            <w:vAlign w:val="bottom"/>
            <w:gridSpan w:val="3"/>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flow</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2019</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(22)</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AOCI before reclasses — net of taxes of $23, $(29) and $(3)</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6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Reclasses from AOCI — net of taxes of $—, $(22) and $(6)</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AOCI before reclasses — net of taxes of $(16), $21 and $(10)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Reclasses from AOCI — net of taxes of $—, $40 and $6(a)</w:t>
            </w:r>
          </w:p>
        </w:tc>
        <w:tc>
          <w:tcPr>
            <w:tcW w:w="1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(136)</w:t>
            </w:r>
          </w:p>
        </w:tc>
        <w:tc>
          <w:tcPr>
            <w:tcW w:w="140" w:type="dxa"/>
            <w:vAlign w:val="bottom"/>
          </w:tcPr>
          <w:p>
            <w:pPr>
              <w:spacing w:after="0"/>
              <w:rPr>
                <w:sz w:val="18"/>
                <w:szCs w:val="18"/>
                <w:color w:val="auto"/>
              </w:rPr>
            </w:pPr>
          </w:p>
        </w:tc>
        <w:tc>
          <w:tcPr>
            <w:tcW w:w="6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16</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AOCI before reclasses — net of taxes of $9, $57 and $12</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6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Reclasses from AOCI — net of taxes of $—, $(37) and $3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40" w:hanging="424"/>
        <w:spacing w:after="0" w:line="282" w:lineRule="auto"/>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reclassification from AOCI included $836 million related to the sale of our BioPharma business in 2020, including currency translation of $688 million, net of taxes.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DERIVATIVES AND HEDGING</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Borders>
              <w:top w:val="single" w:sz="8" w:color="auto"/>
            </w:tcBorders>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5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6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5"/>
                <w:szCs w:val="15"/>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exchange contracts, accounted for as hedges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1,608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exchange</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accounted for as hedges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10,786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5,592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CASH FLOW HEDGES</w:t>
      </w:r>
      <w:r>
        <w:rPr>
          <w:rFonts w:ascii="Times New Roman" w:cs="Times New Roman" w:eastAsia="Times New Roman" w:hAnsi="Times New Roman"/>
          <w:sz w:val="18"/>
          <w:szCs w:val="18"/>
          <w:color w:val="auto"/>
        </w:rPr>
        <w:t>. Cash flow hedges primarily relate to foreign exchange contracts. Gains (losses) recognized in AOCI related to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flow hedges were $40 million, $(36) million, and $(17) million for the years ended December 31, 2021, 2020, and 2019, respectively.</w:t>
      </w:r>
    </w:p>
    <w:p>
      <w:pPr>
        <w:spacing w:after="0" w:line="15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Changes in the fair value of cash flow hedges are recorded in AOCI and recorded in earnings in the period in which the hedged transaction occurs. The total amount in AOCI related to cash flow hedges of forecasted transactions was a $32 million loss at December 31, 2021. We expect to reclassify $27 million of gains to earnings in the next 12 months contemporaneously with the earnings effects of the related forecasted transactions. Net gains (losses) reclassified from AOCI into earnings were $8 million, $27 million, and $(12) million for the years ended December 31, 2021, 2020, and 2019, respectively. At December 31, 2021, the maximum term of derivative instruments that hedge forecasted transactions was approximately 3 years.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gains (losses) of our derivative financial instruments in the combined Statements of Income: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24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26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2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expense —</w:t>
            </w:r>
          </w:p>
        </w:tc>
        <w:tc>
          <w:tcPr>
            <w:tcW w:w="6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expense —</w:t>
            </w:r>
          </w:p>
        </w:tc>
        <w:tc>
          <w:tcPr>
            <w:tcW w:w="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expense —</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Effects of cash flow hedges</w:t>
            </w:r>
            <w:r>
              <w:rPr>
                <w:rFonts w:ascii="Times New Roman" w:cs="Times New Roman" w:eastAsia="Times New Roman" w:hAnsi="Times New Roman"/>
                <w:sz w:val="24"/>
                <w:szCs w:val="24"/>
                <w:color w:val="auto"/>
                <w:vertAlign w:val="superscript"/>
              </w:rPr>
              <w:t>(a)</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Effects of fair value hedges</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Effects of derivatives not designated as hedges</w:t>
            </w:r>
            <w:r>
              <w:rPr>
                <w:rFonts w:ascii="Times New Roman" w:cs="Times New Roman" w:eastAsia="Times New Roman" w:hAnsi="Times New Roman"/>
                <w:sz w:val="25"/>
                <w:szCs w:val="25"/>
                <w:color w:val="auto"/>
                <w:vertAlign w:val="superscript"/>
              </w:rPr>
              <w:t>(c)</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cash flow hedges represent the net impact for derivatives maintained in a cash flow hedging relationship.</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fair value hedges represent the net impact of hedges of monetary assets and liabilities subject to remeasurement.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derivatives not designated as hedges represent stand-alone economic hedges.</w:t>
      </w:r>
    </w:p>
    <w:p>
      <w:pPr>
        <w:spacing w:after="0" w:line="311"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COMMITMENTS, GUARANTEES, PRODUCT WARRANTIES, AND OTHER LOSS CONTINGENCIES</w:t>
      </w:r>
    </w:p>
    <w:p>
      <w:pPr>
        <w:spacing w:after="0" w:line="117"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The Company has off-balance sheet credit exposure through standby letters of credit, bank guarantees, bid bonds, and surety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bonds. See Note 9, “Borrowings” for further information. In addition, GE has provided parent company guarantees in certain jurisdictions where we lack the legal structure to issue the requisite guarantees required on certain projects.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PRODUCT WARRANTIES</w:t>
      </w:r>
      <w:r>
        <w:rPr>
          <w:rFonts w:ascii="Times New Roman" w:cs="Times New Roman" w:eastAsia="Times New Roman" w:hAnsi="Times New Roman"/>
          <w:sz w:val="18"/>
          <w:szCs w:val="18"/>
          <w:color w:val="auto"/>
        </w:rPr>
        <w:t>. We provide warranty coverage to our customers as part of customary practices in the market to provide assurance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products we sell comply with agreed upon specifications. We provide for estimated product warranty expenses when we sell the related products. Because warranty accruals are estimates that are based on the best available information, mostly historical claims experience, claims costs may differ from amounts provided. An analysis of changes in the liability for product warranties follows.</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$ 157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$ 152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Current-year provisions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w:t>
            </w:r>
          </w:p>
        </w:tc>
        <w:tc>
          <w:tcPr>
            <w:tcW w:w="3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24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$ 161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and 2020, warranty obligations are primarily expected to be incurred in less than 12 months and therefore are classified as a current liability in All other current liabilities. See Note 16, “Supplemental Financial Information” for further information.</w:t>
      </w:r>
    </w:p>
    <w:p>
      <w:pPr>
        <w:spacing w:after="0" w:line="15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LEGAL MATTERS</w:t>
      </w:r>
      <w:r>
        <w:rPr>
          <w:rFonts w:ascii="Times New Roman" w:cs="Times New Roman" w:eastAsia="Times New Roman" w:hAnsi="Times New Roman"/>
          <w:sz w:val="18"/>
          <w:szCs w:val="18"/>
          <w:color w:val="auto"/>
        </w:rPr>
        <w:t>. In the normal course of our business, we are involved from time to time in various arbitrations; class actions;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Contracts with Iraqi Ministry of Health</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w:t>
      </w:r>
    </w:p>
    <w:p>
      <w:pPr>
        <w:spacing w:after="0" w:line="185"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ENVIRONMENTAL AND ASSET RETIREMENT OBLIGATIONS</w:t>
      </w:r>
      <w:r>
        <w:rPr>
          <w:rFonts w:ascii="Times New Roman" w:cs="Times New Roman" w:eastAsia="Times New Roman" w:hAnsi="Times New Roman"/>
          <w:sz w:val="18"/>
          <w:szCs w:val="18"/>
          <w:color w:val="auto"/>
        </w:rPr>
        <w:t>. Our operations, like operations of other companies engaged in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involve the use, disposal, and cleanup of substances regulated under environmental protection laws and nuclear decommissioning regulations. We have obligations for ongoing and future environmental remediation activities. Liabilities for environmental remediation and nuclear decommissioning exclude possible insurance recoveries. Due to uncertainties or changes regarding the status of laws, regulations, technology, and information related to individual sites and lawsuits, it is reasonably possible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that our exposure will exceed amounts accrued, and amounts not currently reasonably estimable and or probable may need to be accrued in future periods.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environmental remediation liabilities, which are measured on an undiscounted basis, were $9 million and $6 million at December 31, 2021 and 2020, respectively.</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record asset retirement obligations, which primarily relate to nuclear decommissioning, associated with the retirement of tangible long-lived assets as a liability in the period in which the obligation is incurred and its fair value can be reasonably estimated. The liability is measured at the present value of the obligation when incurred and is adjusted in subsequent periods. Corresponding asset retirement costs are generally capitalized as part of the carrying value of the related long-lived assets and depreciated over the asset’s useful life. Our asset retirement obligations were $264 million and</w:t>
      </w:r>
    </w:p>
    <w:p>
      <w:pPr>
        <w:spacing w:after="0" w:line="3" w:lineRule="exact"/>
        <w:rPr>
          <w:sz w:val="20"/>
          <w:szCs w:val="20"/>
          <w:color w:val="auto"/>
        </w:rPr>
      </w:pPr>
    </w:p>
    <w:p>
      <w:pPr>
        <w:jc w:val="both"/>
        <w:ind w:left="120" w:right="420"/>
        <w:spacing w:after="0" w:line="255" w:lineRule="auto"/>
        <w:rPr>
          <w:sz w:val="20"/>
          <w:szCs w:val="20"/>
          <w:color w:val="auto"/>
        </w:rPr>
      </w:pPr>
      <w:r>
        <w:rPr>
          <w:rFonts w:ascii="Times New Roman" w:cs="Times New Roman" w:eastAsia="Times New Roman" w:hAnsi="Times New Roman"/>
          <w:sz w:val="18"/>
          <w:szCs w:val="18"/>
          <w:color w:val="auto"/>
        </w:rPr>
        <w:t>$257 million at December 31, 2021 and 2020, respectively, and are recorded in All other current liabilities and All other liabilities in our combined Statements of Financial Position. Changes in the liability balance were mainly due to settlement, accretion and revisions in fair value, and were not material for the years ended December 31, 2021, 2020, and 2019.</w:t>
      </w:r>
    </w:p>
    <w:p>
      <w:pPr>
        <w:spacing w:after="0" w:line="290"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15.</w:t>
        <w:tab/>
        <w:t>RESTRUCTURING AND OTHER ACTIVITIES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Restructuring and other activities relate primarily to costs incurred to reduce headcount and consolidate facilities. Specifically, restructuring and other charges primarily include facility exit costs, employee-related termination benefits associated with workforce reductions, asset write-downs, and cease-use costs. For segment reporting, restructuring and other activities are not allocated.</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 result of restructuring initiatives, we recorded expenses of $155 million, $134 million, and $160 million for the years ended December 31, 2021, 2020, and 2019, respectively. These restructuring initiatives are expected to result in additional expenses of approximately $12 million, to be incurred primarily in 2022, substantially related to employee-related separation costs. Restructuring expenses are included as part of Cost of products, Cost of services, or Selling, general and administrative, as appropriate, in the combined Statements of Income.</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09"/>
        </w:trPr>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and other exit costs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write-downs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Restructuring and other activities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r>
              <w:rPr>
                <w:rFonts w:ascii="Times New Roman" w:cs="Times New Roman" w:eastAsia="Times New Roman" w:hAnsi="Times New Roman"/>
                <w:sz w:val="18"/>
                <w:szCs w:val="18"/>
                <w:b w:val="1"/>
                <w:bCs w:val="1"/>
                <w:color w:val="auto"/>
                <w:w w:val="88"/>
              </w:rPr>
              <w:t>155</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134</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160</w:t>
            </w: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Liabilities related to restructuring are primarily included in All other current liabilities and totaled $58 million and $49 million as of December 31, 2021 and 2020.</w:t>
      </w:r>
    </w:p>
    <w:p>
      <w:pPr>
        <w:spacing w:after="0" w:line="266"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SUPPLEMENTAL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6"/>
                <w:szCs w:val="16"/>
                <w:color w:val="auto"/>
              </w:rPr>
            </w:pP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1,946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1,594</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Certain inventory items are long-term in nature and therefore have been classified within All other assets in the combined Statements of Financial Position. See the supplemental table for All other assets for further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 NET.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100" w:type="dxa"/>
            <w:vAlign w:val="bottom"/>
          </w:tcPr>
          <w:p>
            <w:pPr>
              <w:spacing w:after="0"/>
              <w:rPr>
                <w:sz w:val="13"/>
                <w:szCs w:val="13"/>
                <w:color w:val="auto"/>
              </w:rPr>
            </w:pPr>
          </w:p>
        </w:tc>
        <w:tc>
          <w:tcPr>
            <w:tcW w:w="144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Original cost</w:t>
            </w:r>
          </w:p>
        </w:tc>
        <w:tc>
          <w:tcPr>
            <w:tcW w:w="100" w:type="dxa"/>
            <w:vAlign w:val="bottom"/>
          </w:tcPr>
          <w:p>
            <w:pPr>
              <w:spacing w:after="0"/>
              <w:rPr>
                <w:sz w:val="13"/>
                <w:szCs w:val="13"/>
                <w:color w:val="auto"/>
              </w:rPr>
            </w:pPr>
          </w:p>
        </w:tc>
        <w:tc>
          <w:tcPr>
            <w:tcW w:w="16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62"/>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lives</w:t>
            </w:r>
          </w:p>
        </w:tc>
        <w:tc>
          <w:tcPr>
            <w:tcW w:w="100" w:type="dxa"/>
            <w:vAlign w:val="bottom"/>
          </w:tcPr>
          <w:p>
            <w:pPr>
              <w:spacing w:after="0"/>
              <w:rPr>
                <w:sz w:val="14"/>
                <w:szCs w:val="14"/>
                <w:color w:val="auto"/>
              </w:rPr>
            </w:pPr>
          </w:p>
        </w:tc>
        <w:tc>
          <w:tcPr>
            <w:tcW w:w="14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Land and improvements</w:t>
            </w:r>
            <w:r>
              <w:rPr>
                <w:rFonts w:ascii="Times New Roman" w:cs="Times New Roman" w:eastAsia="Times New Roman" w:hAnsi="Times New Roman"/>
                <w:sz w:val="24"/>
                <w:szCs w:val="24"/>
                <w:color w:val="auto"/>
                <w:vertAlign w:val="superscript"/>
              </w:rPr>
              <w:t>(a)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Buildings, structures, and related equipment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8 - 40</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1,736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(1,006)</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Machinery and equipment</w:t>
            </w:r>
            <w:r>
              <w:rPr>
                <w:rFonts w:ascii="Times New Roman" w:cs="Times New Roman" w:eastAsia="Times New Roman" w:hAnsi="Times New Roman"/>
                <w:sz w:val="25"/>
                <w:szCs w:val="25"/>
                <w:color w:val="auto"/>
                <w:vertAlign w:val="superscript"/>
              </w:rPr>
              <w:t>(b)</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4 - 20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2,466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2,346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(1,746)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(1,665)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Leasehold costs and manufacturing plants under construction</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1 - 10</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194"/>
        </w:trPr>
        <w:tc>
          <w:tcPr>
            <w:tcW w:w="5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Property, plant, and equipment — net, exclusive of ROU operating</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3"/>
              </w:rPr>
              <w:t>4,693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4,485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(2,816)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5"/>
              </w:rPr>
              <w:t>(2,688)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3"/>
              </w:rPr>
              <w:t>1,877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1,797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ROU operating lease assets</w:t>
            </w:r>
            <w:r>
              <w:rPr>
                <w:rFonts w:ascii="Times New Roman" w:cs="Times New Roman" w:eastAsia="Times New Roman" w:hAnsi="Times New Roman"/>
                <w:sz w:val="26"/>
                <w:szCs w:val="26"/>
                <w:color w:val="auto"/>
                <w:vertAlign w:val="superscript"/>
              </w:rPr>
              <w:t>(c)</w:t>
            </w: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3"/>
              </w:rPr>
              <w:t>2,235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2,202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Depreciable lives exclude land.</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leased to others is included in Machinery and equipment. This is equipment we own that is leased to customers and is stated at cost less accumulated depreciation, and was equal to $40 million and $37 million as of December 31, 2021 and 2020, respectively.</w:t>
      </w:r>
    </w:p>
    <w:p>
      <w:pPr>
        <w:ind w:left="540" w:hanging="424"/>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“Leases” for further information.</w:t>
      </w:r>
    </w:p>
    <w:p>
      <w:pPr>
        <w:spacing w:after="0" w:line="20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related to property, plant, and equipment was $225 million, $222 million, and $225 million for the years ended December 31, 2021, 2020, and 2019,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 OTHER CURRENT AND NON-CURRENT ASSETS.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deferred costs</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receivables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other current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413</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receivables —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receivables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contract and other deferred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 non-current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1,047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Other primarily consists of miscellaneous deferred charges.</w:t>
      </w:r>
    </w:p>
    <w:p>
      <w:pPr>
        <w:spacing w:after="0" w:line="27" w:lineRule="exact"/>
        <w:rPr>
          <w:rFonts w:ascii="Times New Roman" w:cs="Times New Roman" w:eastAsia="Times New Roman" w:hAnsi="Times New Roman"/>
          <w:sz w:val="18"/>
          <w:szCs w:val="18"/>
          <w:color w:val="auto"/>
        </w:rPr>
      </w:pPr>
    </w:p>
    <w:p>
      <w:pPr>
        <w:ind w:left="540" w:right="180" w:hanging="424"/>
        <w:spacing w:after="0" w:line="260"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Other primarily consists of long-term prepaid expenses, overfunded pension and other postretirement benefit plans, and advances to suppliers.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Equity method income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8"/>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vMerge w:val="restart"/>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0" w:type="dxa"/>
            <w:vAlign w:val="bottom"/>
          </w:tcPr>
          <w:p>
            <w:pPr>
              <w:spacing w:after="0"/>
              <w:rPr>
                <w:sz w:val="15"/>
                <w:szCs w:val="15"/>
                <w:color w:val="auto"/>
              </w:rPr>
            </w:pPr>
          </w:p>
        </w:tc>
        <w:tc>
          <w:tcPr>
            <w:tcW w:w="11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Nihon Medi-Physics Limited</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$ 251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CURRENT AND NON-CURRENT LIABILITIES.</w:t>
            </w: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2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Employee compensation and benefit liabilities</w:t>
            </w:r>
            <w:r>
              <w:rPr>
                <w:rFonts w:ascii="Times New Roman" w:cs="Times New Roman" w:eastAsia="Times New Roman" w:hAnsi="Times New Roman"/>
                <w:sz w:val="24"/>
                <w:szCs w:val="24"/>
                <w:color w:val="auto"/>
                <w:vertAlign w:val="superscript"/>
              </w:rPr>
              <w:t>(a)</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allowances, equipment projects, and other commercial liabilities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and other income taxes and related liabilities</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warranties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freight and utilities</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and asset retirement obligations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 current liabilities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2,162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2,320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and asset retirement obligations</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and other income taxes and related liabilities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allowances, equipment projects and other commercial liabilities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(b)</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 non-current liabilities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1,484</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1,435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00" w:hanging="424"/>
        <w:spacing w:after="0" w:line="261"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 liabilities primarily consists of accrued payroll, commissions, employee compensation and benefits, pension, and other postretirement benefit obligations.</w:t>
      </w: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Other primarily consists of acquisition-related contingent consideration.</w:t>
      </w:r>
    </w:p>
    <w:p>
      <w:pPr>
        <w:spacing w:after="0" w:line="203"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REDEEMABLE NONCONTROLLING INTERESTS. </w:t>
      </w:r>
      <w:r>
        <w:rPr>
          <w:rFonts w:ascii="Times New Roman" w:cs="Times New Roman" w:eastAsia="Times New Roman" w:hAnsi="Times New Roman"/>
          <w:sz w:val="18"/>
          <w:szCs w:val="18"/>
          <w:color w:val="auto"/>
        </w:rPr>
        <w:t>All noncontrolling interests with redemption features, such as put options, that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solely within our control are reported in the combined Statements of Financial Position between liabilities and equity at the greater of redemption value or initial carrying value. The activity attributable to redeemable noncontrolling interests for the years ended December 31, 2021, 2020, and 2019 is presented below.</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$223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$217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and exercise of redeemable noncontrolling interests</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1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F-51</w:t>
            </w: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 NET.</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4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03"/>
        </w:trPr>
        <w:tc>
          <w:tcPr>
            <w:tcW w:w="7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interest and investment income</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$ 49</w:t>
            </w: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$ 36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items, net</w:t>
            </w:r>
            <w:r>
              <w:rPr>
                <w:rFonts w:ascii="Times New Roman" w:cs="Times New Roman" w:eastAsia="Times New Roman" w:hAnsi="Times New Roman"/>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 net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123</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$ 61</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$ 64</w:t>
            </w:r>
          </w:p>
        </w:tc>
        <w:tc>
          <w:tcPr>
            <w:tcW w:w="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primarily consists of licensing and royalty income and realized foreign exchange gains and losses related to derivatives.</w:t>
      </w:r>
    </w:p>
    <w:p>
      <w:pPr>
        <w:spacing w:after="0" w:line="329"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GE provides the Company with significant corporate, infrastructure and shared services. Some of these services will continue to be provided by GE to the Company on a temporary basis after the separation is completed under transition services agreements. Accordingly, as described in Note 1, “Description of the Business and Basis of Presentation,” certain corporate and shared costs have been charged on the basis of direct usage by the Company as follows:</w:t>
      </w:r>
    </w:p>
    <w:p>
      <w:pPr>
        <w:spacing w:after="0" w:line="85" w:lineRule="exact"/>
        <w:rPr>
          <w:sz w:val="20"/>
          <w:szCs w:val="20"/>
          <w:color w:val="auto"/>
        </w:rPr>
      </w:pPr>
    </w:p>
    <w:p>
      <w:pPr>
        <w:ind w:left="1080" w:right="140" w:hanging="532"/>
        <w:spacing w:after="0" w:line="261"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 participate in pensions and benefit plans that are sponsored by GE. The Company was charged $237 million, $296 million, and $310 million for the years ended December 31, 2021, 2020, and 2019, respectively. These costs are charged directly to the Company based on the specific employee eligibility for those benefits. See Note 10, “Postretirement Benefit Plans” for further information.</w:t>
      </w:r>
    </w:p>
    <w:p>
      <w:pPr>
        <w:spacing w:after="0" w:line="85"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grants various employee benefits to its group employees, including those of the Company, under the GE Long-Term Incentive Plan. These benefits primarily include stock options and restricted stock units. Compensation expense associated with this plan was $76 million, $80 million, and $74 million for the years ended December 31, 2021, 2020, and 2019, respectively, which are included primarily in Selling, general and administrative in the combined Statements of Income. These costs are charged directly to the Company based on the specific employees receiving awards.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certain GE Corporate Costs are charged to the Company based on allocation methodologies as follows:</w:t>
      </w:r>
    </w:p>
    <w:p>
      <w:pPr>
        <w:spacing w:after="0" w:line="131" w:lineRule="exact"/>
        <w:rPr>
          <w:sz w:val="20"/>
          <w:szCs w:val="20"/>
          <w:color w:val="auto"/>
        </w:rPr>
      </w:pPr>
    </w:p>
    <w:p>
      <w:pPr>
        <w:ind w:left="1080" w:right="240" w:hanging="532"/>
        <w:spacing w:after="0" w:line="258"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services such as public relations, investor relations, treasury and cash management, executive management, security, government relations, community outreach and corporate internal audit services are charged to the Company on a pro rata basis of GE’s estimates of each company’s usage at the beginning of the fiscal year and are recorded in Selling, general and administrative. Costs of $56 million, $67 million, and $71 million for the years ended December 31, 2021, 2020, and 2019, respectively, were recorded in the combined Statements of Income.</w:t>
      </w:r>
    </w:p>
    <w:p>
      <w:pPr>
        <w:spacing w:after="0" w:line="88"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employee medical insurance totaling $132 million, $137 million, and $139 million for the years ended December 31, 2021, 2020, and 2019, respectively, were charged to the Company based on employee headcount and are recorded in Cost of product, Cost of services, Selling, general and administrative, or Research and development based on the employee population.</w:t>
      </w:r>
    </w:p>
    <w:p>
      <w:pPr>
        <w:spacing w:after="0" w:line="81"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finance, insurance, research, supply chain, human resources, tax, and facilities activities are charged to the Company based on headcount, revenue, or other allocation methodologies. The Company incurred expenses for these services of $455 million, $503 million, and $685 million for the years ended December 31, 2021, 2020, and 2019, respectively, which are primarily included in Selling, general and administrative and Research and development in the combined Statements of Income.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Management believes that the expense and cost allocations have been determined on a basis that is a reasonable reflection of the utilization of services provided or the benefit received by the Company during 2021,</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2020, and 2019. The amounts that would have been, or will be incurred, on a stand-alone basis could materially differ from the amounts allocated due to economies of scale, difference in management judgment, a requirement for more or fewer employees, or other factors. Management does not believe, however, that it is practicable to estimate what these expenses would have been had the Company operated as an independent entity, including any expenses associated with obtaining any of these services from unaffiliated entities. In addition, the future results of operations, financial position and cash flows could differ materially from the historical results presented herein.</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participates in factoring programs, the majority of which were discontinued in 2021. The Company factored U.S. and non-U.S. receivables through WCS on a recourse and nonrecourse basis pursuant to various factoring and servicing agreements. See Note 5, “Receivables” for further information.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participates in centralized GE Treasury programs. This arrangement is not reflective of the manner in which the Company would have financed its operations had it been a stand-alone business separate from GE during the periods presented. Long-term intercompany financing, including strategic financing, and centralized cash management arrangements, are used to fund expansion or certain working capital needs. All adjustments relating to certain transactions among the Company, GE and GE entities, which include the transfer of the balance of cash to GE, transfer of the balance of cash held in centralized cash management arrangements to GE, settlement of certain intercompany debt between the Company and GE or GE entities, and pushdown of all costs of doing business that were paid on behalf of the Company by GE or GE entities, are excluded from the asset and liability balances in the combined Statements of Financial Position. These amounts have instead been reported within Net parent investment as a component of equity. As of December 31, 2021 and 2020, respectively, aggregate related party liabilities (net) of $195 million and $139 million were reclassified to Net parent investment in the combined Statements of Financial Position.</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Company’s related party revenues were not significant for the years ended December 31, 2021, 2020, and 2019. The majority of related party revenues were generated from sales made to former GE industrial business units.</w:t>
      </w:r>
    </w:p>
    <w:p>
      <w:pPr>
        <w:spacing w:after="0" w:line="266"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February 2019, we announced an agreement to sell our BioPharma business to Danaher Corporation. On March 31, 2020, we completed the sale for $20,718 million, after certain working capital adjustments. The consideration consisted of $20,301 million in cash and $417 million of pension liabilities that were assumed by Danaher Corporation. The combined Statements of Income present the results of the BioPharma business as discontinued operations in the historical periods prior to sale, as further disclosed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DISCONTINUED OPERATIONS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6"/>
                <w:szCs w:val="16"/>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2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shd w:val="clear" w:color="auto" w:fill="CCEEFF"/>
          </w:tcPr>
          <w:p>
            <w:pPr>
              <w:spacing w:after="0"/>
              <w:rPr>
                <w:sz w:val="18"/>
                <w:szCs w:val="18"/>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of discontinued operations</w:t>
            </w: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Non-operating income (loss)</w:t>
            </w:r>
            <w:r>
              <w:rPr>
                <w:rFonts w:ascii="Times New Roman" w:cs="Times New Roman" w:eastAsia="Times New Roman" w:hAnsi="Times New Roman"/>
                <w:sz w:val="25"/>
                <w:szCs w:val="25"/>
                <w:color w:val="auto"/>
                <w:vertAlign w:val="superscript"/>
              </w:rPr>
              <w:t>(a)</w:t>
            </w: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w:t>
            </w:r>
          </w:p>
        </w:tc>
        <w:tc>
          <w:tcPr>
            <w:tcW w:w="2720" w:type="dxa"/>
            <w:vAlign w:val="bottom"/>
            <w:gridSpan w:val="2"/>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100" w:type="dxa"/>
            <w:vAlign w:val="bottom"/>
            <w:gridSpan w:val="3"/>
          </w:tcPr>
          <w:p>
            <w:pPr>
              <w:jc w:val="right"/>
              <w:ind w:right="2170"/>
              <w:spacing w:after="0"/>
              <w:rPr>
                <w:sz w:val="20"/>
                <w:szCs w:val="20"/>
                <w:color w:val="auto"/>
              </w:rPr>
            </w:pPr>
            <w:r>
              <w:rPr>
                <w:rFonts w:ascii="Times New Roman" w:cs="Times New Roman" w:eastAsia="Times New Roman" w:hAnsi="Times New Roman"/>
                <w:sz w:val="18"/>
                <w:szCs w:val="18"/>
                <w:color w:val="auto"/>
              </w:rPr>
              <w:t>F-53</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of discontinued operations before</w:t>
            </w:r>
          </w:p>
        </w:tc>
        <w:tc>
          <w:tcPr>
            <w:tcW w:w="4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13,161</w:t>
            </w: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Benefit (provision) for income taxes</w:t>
            </w:r>
            <w:r>
              <w:rPr>
                <w:rFonts w:ascii="Times New Roman" w:cs="Times New Roman" w:eastAsia="Times New Roman" w:hAnsi="Times New Roman"/>
                <w:sz w:val="25"/>
                <w:szCs w:val="25"/>
                <w:color w:val="auto"/>
                <w:vertAlign w:val="superscript"/>
              </w:rPr>
              <w:t>(b)</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(1,317)</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from discontinued operations, net of taxes before deduction for</w:t>
            </w:r>
          </w:p>
        </w:tc>
        <w:tc>
          <w:tcPr>
            <w:tcW w:w="44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11,844</w:t>
            </w: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of discontinued operations, net of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11,839</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line="261"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Non-operating income (loss) includes Interest and other financial charges — net, Non-operating benefit costs, and Other (income) expense — net related to the discontinued operations of the BioPharma business.</w:t>
      </w: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provision recognized in 2019 is driven primarily by accelerated taxes in association with the sale of the BioPharma business.</w:t>
      </w:r>
    </w:p>
    <w:p>
      <w:pPr>
        <w:spacing w:after="0" w:line="311"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19.</w:t>
        <w:tab/>
        <w:t>SUBSEQUENT EVENTS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that occurred after the date of our accompanying combined Statements of Financial Position through July 29, 2022, the date these financial statements were available for issuance, for potential recognition or disclosure in the combined financial statements. There were no material recognized or unrecognized subsequent events.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20"/>
          </w:cols>
          <w:pgMar w:left="320" w:top="455" w:right="5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INCOME (UNAUDITED)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nine months ended September 30 ($ in millions)</w:t>
            </w:r>
          </w:p>
        </w:tc>
        <w:tc>
          <w:tcPr>
            <w:tcW w:w="100" w:type="dxa"/>
            <w:vAlign w:val="bottom"/>
          </w:tcPr>
          <w:p>
            <w:pPr>
              <w:spacing w:after="0"/>
              <w:rPr>
                <w:sz w:val="16"/>
                <w:szCs w:val="16"/>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209"/>
        </w:trPr>
        <w:tc>
          <w:tcPr>
            <w:tcW w:w="8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4,787</w:t>
            </w:r>
          </w:p>
        </w:tc>
      </w:tr>
      <w:tr>
        <w:trPr>
          <w:trHeight w:val="27"/>
        </w:trPr>
        <w:tc>
          <w:tcPr>
            <w:tcW w:w="8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13,403</w:t>
            </w: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12,996</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20" w:type="dxa"/>
            <w:vAlign w:val="bottom"/>
          </w:tcPr>
          <w:p>
            <w:pPr>
              <w:spacing w:after="0"/>
              <w:rPr>
                <w:sz w:val="19"/>
                <w:szCs w:val="19"/>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2,389</w:t>
            </w:r>
          </w:p>
        </w:tc>
      </w:tr>
      <w:tr>
        <w:trPr>
          <w:trHeight w:val="230"/>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5,312</w:t>
            </w:r>
          </w:p>
        </w:tc>
        <w:tc>
          <w:tcPr>
            <w:tcW w:w="120" w:type="dxa"/>
            <w:vAlign w:val="bottom"/>
          </w:tcPr>
          <w:p>
            <w:pPr>
              <w:spacing w:after="0"/>
              <w:rPr>
                <w:sz w:val="20"/>
                <w:szCs w:val="20"/>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2,653</w:t>
            </w: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8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3,244</w:t>
            </w:r>
          </w:p>
        </w:tc>
      </w:tr>
      <w:tr>
        <w:trPr>
          <w:trHeight w:val="230"/>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2,068</w:t>
            </w:r>
          </w:p>
        </w:tc>
        <w:tc>
          <w:tcPr>
            <w:tcW w:w="120" w:type="dxa"/>
            <w:vAlign w:val="bottom"/>
          </w:tcPr>
          <w:p>
            <w:pPr>
              <w:spacing w:after="0"/>
              <w:rPr>
                <w:sz w:val="20"/>
                <w:szCs w:val="20"/>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benefit (income) costs</w:t>
            </w: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120" w:type="dxa"/>
            <w:vAlign w:val="bottom"/>
          </w:tcPr>
          <w:p>
            <w:pPr>
              <w:spacing w:after="0"/>
              <w:rPr>
                <w:sz w:val="19"/>
                <w:szCs w:val="19"/>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w:t>
            </w:r>
          </w:p>
        </w:tc>
        <w:tc>
          <w:tcPr>
            <w:tcW w:w="120" w:type="dxa"/>
            <w:vAlign w:val="bottom"/>
          </w:tcPr>
          <w:p>
            <w:pPr>
              <w:spacing w:after="0"/>
              <w:rPr>
                <w:sz w:val="19"/>
                <w:szCs w:val="19"/>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20" w:type="dxa"/>
            <w:vAlign w:val="bottom"/>
          </w:tcPr>
          <w:p>
            <w:pPr>
              <w:spacing w:after="0"/>
              <w:rPr>
                <w:sz w:val="19"/>
                <w:szCs w:val="19"/>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1,683</w:t>
            </w:r>
          </w:p>
        </w:tc>
        <w:tc>
          <w:tcPr>
            <w:tcW w:w="12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(UNAUDITED)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nine months ended September 30 ($ in millions)</w:t>
            </w:r>
          </w:p>
        </w:tc>
        <w:tc>
          <w:tcPr>
            <w:tcW w:w="100" w:type="dxa"/>
            <w:vAlign w:val="bottom"/>
          </w:tcPr>
          <w:p>
            <w:pPr>
              <w:spacing w:after="0"/>
              <w:rPr>
                <w:sz w:val="16"/>
                <w:szCs w:val="16"/>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210"/>
        </w:trPr>
        <w:tc>
          <w:tcPr>
            <w:tcW w:w="9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 HealthCare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$1,683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3"/>
              </w:rPr>
              <w:t>1,394</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1,717</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 net of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(937)</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 — net of taxes</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and cash flow hedges — net of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(905)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spacing w:after="0"/>
              <w:rPr>
                <w:sz w:val="20"/>
                <w:szCs w:val="20"/>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489</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1,639</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GE HealthCare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457</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1,605</w:t>
            </w:r>
          </w:p>
        </w:tc>
      </w:tr>
      <w:tr>
        <w:trPr>
          <w:trHeight w:val="20"/>
        </w:trPr>
        <w:tc>
          <w:tcPr>
            <w:tcW w:w="9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FINANCIAL POSITION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0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 net of allowances of $91 and $107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3,075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2,200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and other deferred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7,278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7,000</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12,767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12,892</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1,598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26,067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26,308</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2,034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6,635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6,761</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1,334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8,991</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198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220</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 net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(1,942)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GE HealthCare</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16,859</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16,878</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equity</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26,067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26,308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Net parent</w:t>
            </w:r>
          </w:p>
        </w:tc>
        <w:tc>
          <w:tcPr>
            <w:tcW w:w="120" w:type="dxa"/>
            <w:vAlign w:val="bottom"/>
          </w:tcPr>
          <w:p>
            <w:pPr>
              <w:spacing w:after="0"/>
              <w:rPr>
                <w:sz w:val="12"/>
                <w:szCs w:val="12"/>
                <w:color w:val="auto"/>
              </w:rPr>
            </w:pPr>
          </w:p>
        </w:tc>
        <w:tc>
          <w:tcPr>
            <w:tcW w:w="15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14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income (loss) —</w:t>
            </w:r>
          </w:p>
        </w:tc>
        <w:tc>
          <w:tcPr>
            <w:tcW w:w="60" w:type="dxa"/>
            <w:vAlign w:val="bottom"/>
          </w:tcPr>
          <w:p>
            <w:pPr>
              <w:spacing w:after="0"/>
              <w:rPr>
                <w:sz w:val="12"/>
                <w:szCs w:val="12"/>
                <w:color w:val="auto"/>
              </w:rPr>
            </w:pPr>
          </w:p>
        </w:tc>
        <w:tc>
          <w:tcPr>
            <w:tcW w:w="14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2022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$ 17,692</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$16,676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 net of taxes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 — net of taxes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and cash flow hedges — net of taxes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(to) Parent</w:t>
            </w:r>
          </w:p>
        </w:tc>
        <w:tc>
          <w:tcPr>
            <w:tcW w:w="158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equity attributable to noncontrolling interests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as of September 30, 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$ 18,801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16,878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6"/>
              </w:rPr>
              <w:t>Net parent</w:t>
            </w:r>
          </w:p>
        </w:tc>
        <w:tc>
          <w:tcPr>
            <w:tcW w:w="1620" w:type="dxa"/>
            <w:vAlign w:val="bottom"/>
            <w:gridSpan w:val="5"/>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620" w:type="dxa"/>
            <w:vAlign w:val="bottom"/>
            <w:gridSpan w:val="5"/>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income (loss) —</w:t>
            </w:r>
          </w:p>
        </w:tc>
        <w:tc>
          <w:tcPr>
            <w:tcW w:w="15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7"/>
              </w:rPr>
              <w:t>investment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2021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$ 15,566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$14,751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1,683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 net of taxes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 — net of taxes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and cash flow hedges — net of taxes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(to) Parent</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(1,699)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equity attributable to noncontrolling interests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as of September 30, 2021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$ 15,550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14,660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nine months ended September 30 ($ in millions)</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r>
      <w:tr>
        <w:trPr>
          <w:trHeight w:val="21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1,382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1,699</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from continuing operations to Cash from (used for) operating activities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effects of acquisitions and dispositions: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Contract and other deferred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other operating activities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from (used for) operating activities — continuing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1,618</w:t>
            </w:r>
          </w:p>
        </w:tc>
      </w:tr>
      <w:tr>
        <w:trPr>
          <w:trHeight w:val="223"/>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Dispositions of property, plant, and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internal-use software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investing activities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(used for) investing activities — continuing operations</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20" w:type="dxa"/>
            <w:vAlign w:val="bottom"/>
          </w:tcPr>
          <w:p>
            <w:pPr>
              <w:spacing w:after="0"/>
              <w:rPr>
                <w:sz w:val="20"/>
                <w:szCs w:val="20"/>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borrowings (maturities of 90 days or less)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Newly issued debt (maturities longer than 90 days)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Repayments and other reductions (maturities longer than 90 days)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Parent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(1,633)</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All other financing activities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from (used for) financing activities — continuing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(1,664)</w:t>
            </w:r>
          </w:p>
        </w:tc>
      </w:tr>
      <w:tr>
        <w:trPr>
          <w:trHeight w:val="230"/>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cash equivalents, and restricted cash</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cash equivalents, and restricted cash</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(298)</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w:t>
            </w:r>
          </w:p>
        </w:tc>
      </w:tr>
      <w:tr>
        <w:trPr>
          <w:trHeight w:val="27"/>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 HEALTHCARE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 BUSINESS OF GENERAL ELECTRIC COMPANY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Dollars in millions unless otherwise stated)</w:t>
      </w:r>
    </w:p>
    <w:p>
      <w:pPr>
        <w:spacing w:after="0" w:line="221"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GE HealthCare (“the Company,” “our,” or “we”) historically operated as a consolidated business of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 Company (“GE” or “Parent”). The unaudited condensed combined financial statements have been derived from the consolidated financial statements and accounting records of GE, including the historical cost basis of assets and liabilities comprising the Company, as well as the historical revenues and direct costs, and allocations of indirect costs attributable to the operations of the Company, using the historical accounting policies applied by GE. These unaudited condensed combined financial statements do not purport to reflect what the results of operations, comprehensive income, financial position, or cash flows would have been had the Company operated as a separate, stand-alone entity during the periods presented.</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condensed combined financial statements pursuant to the rules and regulations of the Securities and Exchange Commission (“SEC”) applicable to interim financial statements. Accordingly, certain information related to our significant accounting policies and footnote disclosures normally included in financial statements prepared in accordance with U.S. generally accepted accounting principles (“U.S. GAAP”) have been condensed or omitted. These unaudited condensed combined financial statements reflect, in the opinion of management, all material adjustments (which include only normally recurring adjustments) necessary to fairly state, in all material respects, our financial position, results of operations, and cash flows for the periods presented. These unaudited condensed combined financial statements should be read in conjunction with the financial statements and notes included in our audited combined financial statements for the year ended December 31, 2021.</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All intercompany balances and transactions within the Company have been eliminated in the condensed combined financial statements. As described in Note 16, “Related Parties,” certain transactions between the Company and GE have been included in these condensed combined financial statements.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condensed combined Statements of Financial Position reflect all of the assets and liabilities of GE that are specifically identifiable as being directly attributable to the Company, including Net parent investment as a component of equity. Net parent investment represents GE’s historical investment in the Company and includes accumulated net income attributable to the Company, and the net effect of transactions with GE and its subsidiaries. Certain financing transactions with GE are non-cash in nature and therefore have not been reflected in the condensed combined Statements of Cash Flows.</w:t>
      </w:r>
    </w:p>
    <w:p>
      <w:pPr>
        <w:spacing w:after="0" w:line="183"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GE uses a centralized approach to cash management and financing of its operations. These arrangements may not be reflective of the way the Company would have financed its operations had it been a separate, stand-alone entity during the periods presented. The centralized cash management arrangements are excluded from the asset and liability balances in the condensed combined Statements of Financial Position. These amounts have instead been included in Net parent investment as a component of equity. GE’s third-party debt and related interest expense have not been attributed to the Company because the Company is not the legal obligor of the debt and the borrowings are not specifically identifiable to the Company.</w:t>
      </w:r>
    </w:p>
    <w:p>
      <w:pPr>
        <w:spacing w:after="0" w:line="168"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condensed combined Statements of Income include expense allocations for certain corporate, infrastructure, and shared services expenses provided by GE on a centralized basis (“GE Corporate Costs”), including, but not limited to finance, supply chain, human resources, information technology, insurance, employee benefits, and other expenses that are either specifically identifiable or clearly applicable to the Company. These expenses have been allocated to the Company on the basis of direct usage when identifiable,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with the remainder allocated on a pro rata basis using an applicable measure of headcount, revenue, or other allocation methodologies that are considered to be a reasonable reflection of the utilization of services provided or the benefit received by GE HealthCare during the periods presented. However, the GE Corporate Costs allocations may not be indicative of the actual expense that would have been incurred had the Company operated as an independent, stand-alone public entity, nor are they indicative of the Company’s future expenses. See Note 16, “Related Parties,” for further information.</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The preparation of the condensed combined financial statements in conformity with U.S. GAAP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based on assumptions about current, and for some estimates, future, economic, and market conditions, which affect the reported amounts and related disclosures in the condensed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18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there has not been a material impact to our accounting estimates as of September 30, 2022 or December 31, 2021, nor on the results for the nine months ended September 30, 2022 and 2021, a number of estimates could be affected by the ongoing Coronavirus Disease 2019 (“COVID-19”) pandemic. The severity, magnitude, and duration, as well as the economic consequences of the COVID-19 pandemic, are uncertain and difficult to predict. As a result, our accounting estimates and assumptions may change over time in response to COVID-19. Such changes could result in future impairments of goodwill, intangible assets, long-lived assets, and investment securities, incremental credit losses on receivables, a decrease in the realizability of our tax assets, or an increase in our related obligations as of the time of a relevant measurement event.</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ACCOUNTING CHANGES. </w:t>
      </w:r>
      <w:r>
        <w:rPr>
          <w:rFonts w:ascii="Times New Roman" w:cs="Times New Roman" w:eastAsia="Times New Roman" w:hAnsi="Times New Roman"/>
          <w:sz w:val="18"/>
          <w:szCs w:val="18"/>
          <w:color w:val="auto"/>
        </w:rPr>
        <w:t>In September 2022, the FASB issued ASU No. 2022-04,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Liabilities — Supplier Finance Programs (Subtopic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405-50)</w:t>
      </w:r>
      <w:r>
        <w:rPr>
          <w:rFonts w:ascii="Times New Roman" w:cs="Times New Roman" w:eastAsia="Times New Roman" w:hAnsi="Times New Roman"/>
          <w:sz w:val="18"/>
          <w:szCs w:val="18"/>
          <w:color w:val="auto"/>
        </w:rPr>
        <w:t>. The ASU requires companies to disclose information about supplier finance programs, including key terms of the program,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amounts as of the end of the period, a rollforward of such amounts during each annual period, and a description of where the amounts are presented. The new standard does not affect the recognition, measurement, or financial statement presentation of supplier finance obligations. The ASU is effective for fiscal years beginning after December 15, 2022, including interim periods, except for rollforward information, which is effective for fiscal years beginning after December 15, 2023. We are currently evaluating the impact that this guidance will have on our combined financial statements.</w:t>
      </w:r>
    </w:p>
    <w:p>
      <w:pPr>
        <w:spacing w:after="0" w:line="291"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tab/>
        <w:t>REVENUE RECOGNITION</w:t>
      </w:r>
    </w:p>
    <w:p>
      <w:pPr>
        <w:spacing w:after="0" w:line="117"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AND OTHER DEFERRED ASSETS. </w:t>
      </w:r>
      <w:r>
        <w:rPr>
          <w:rFonts w:ascii="Times New Roman" w:cs="Times New Roman" w:eastAsia="Times New Roman" w:hAnsi="Times New Roman"/>
          <w:sz w:val="18"/>
          <w:szCs w:val="18"/>
          <w:color w:val="auto"/>
        </w:rPr>
        <w:t>Contract assets primarily reflect revenue recognized on contracts in excess of billings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contractual terms. Contract assets are classified as current or non-current based on the amount of time expected to lapse until the Company’s right to consideration becomes unconditional. Other deferred assets consist of costs to obtain contracts, primarily commissions, and other cost deferrals for shipped products, and deferred service, labor and direct overhead costs.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and other deferred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902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802</w:t>
            </w: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Non-current contract assets</w:t>
            </w:r>
            <w:r>
              <w:rPr>
                <w:rFonts w:ascii="Times New Roman" w:cs="Times New Roman" w:eastAsia="Times New Roman" w:hAnsi="Times New Roman"/>
                <w:sz w:val="25"/>
                <w:szCs w:val="25"/>
                <w:color w:val="auto"/>
                <w:vertAlign w:val="superscript"/>
              </w:rPr>
              <w:t>(a)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Non-current other deferred assets</w:t>
            </w:r>
            <w:r>
              <w:rPr>
                <w:rFonts w:ascii="Times New Roman" w:cs="Times New Roman" w:eastAsia="Times New Roman" w:hAnsi="Times New Roman"/>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 and other deferred assets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4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contract and other deferred assets are included in All other assets in our condensed combined Statements of Financial Position.</w:t>
      </w:r>
    </w:p>
    <w:p>
      <w:pPr>
        <w:spacing w:after="0" w:line="15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F-61</w:t>
      </w:r>
    </w:p>
    <w:p>
      <w:pPr>
        <w:sectPr>
          <w:pgSz w:w="11900" w:h="16838" w:orient="portrait"/>
          <w:cols w:equalWidth="0" w:num="1">
            <w:col w:w="11100"/>
          </w:cols>
          <w:pgMar w:left="320" w:top="455" w:right="4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Contract liabilities primarily include customer advances and deposits received when orders are placed and billings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advance of completion of performance obligations. Contract liabilities are classified as current or non-current based on the periods over which remaining performance obligations are expected to be satisfied and fulfilled with our customers.</w:t>
      </w:r>
    </w:p>
    <w:p>
      <w:pPr>
        <w:spacing w:after="0" w:line="17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contract liabilities were approximately $2,352 million and $2,496 million, respectively, of which the non-current portion of $588 million and $632 million, respectively, was included in All other liabilities. Contract liabilities decreased by $144 million in 2022 primarily due to timing of customer advances and deposits and related order fulfillment. Revenue recognized related to the contract liabilities at the beginning of the year was approximately $1,377 million and $1,323 million for the nine months ended September 30, 2022 and 2021, respectively.</w:t>
      </w:r>
    </w:p>
    <w:p>
      <w:pPr>
        <w:spacing w:after="0" w:line="179"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w:t>
      </w:r>
      <w:r>
        <w:rPr>
          <w:rFonts w:ascii="Times New Roman" w:cs="Times New Roman" w:eastAsia="Times New Roman" w:hAnsi="Times New Roman"/>
          <w:sz w:val="18"/>
          <w:szCs w:val="18"/>
          <w:color w:val="auto"/>
        </w:rPr>
        <w:t>As of September 30, 2022, the aggregate amount of the contracted revenues allocated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unsatisfied (or partially unsatisfied) performance obligations was $14,026 million. We expect to recognize revenue as we satisfy our remaining performance obligations as follows: 1) product-related remaining performance obligation of $4,721 million of which 98% is expected to be recognized within two years, and the remaining thereafter; and 2) services-related remaining performance obligations of $9,305 million of which 67% and 96% is expected to be recognized within two and five years, respectively, and the remaining thereafter.</w:t>
      </w:r>
    </w:p>
    <w:p>
      <w:pPr>
        <w:spacing w:after="0" w:line="287"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Our operating activities are managed through four operating segments: Imaging, Ultrasound, Patient Care Solutions (“PCS”), and Pharmaceutical Diagnostics (“PDx”). These segments have been identified based on the nature of the products sold and how the Company manages its operations.</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performance of these segments is principally measured based on revenues and an earnings metric defined as Income from continuing operations before income taxes, less Interest and other financial charges – net, Non-operating benefit (income) costs, restructuring costs, acquisition and disposition related charges, gains and losses on business dispositions, Spin-Off and separation costs, amortization of acquisition related intangible assets, and investment revaluation gains and losses (“Segment EBIT”).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disaggregates Total revenues to external customers by segment and product category: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Imaging</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Radiology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5,954</w:t>
            </w:r>
          </w:p>
        </w:tc>
      </w:tr>
      <w:tr>
        <w:trPr>
          <w:trHeight w:val="216"/>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Interventional Guidance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Imaging</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6,996</w:t>
            </w:r>
          </w:p>
        </w:tc>
        <w:tc>
          <w:tcPr>
            <w:tcW w:w="60" w:type="dxa"/>
            <w:vAlign w:val="bottom"/>
          </w:tcPr>
          <w:p>
            <w:pPr>
              <w:spacing w:after="0"/>
              <w:rPr>
                <w:sz w:val="19"/>
                <w:szCs w:val="19"/>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Ultrasound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2,274</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Monitoring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1,588</w:t>
            </w:r>
          </w:p>
        </w:tc>
      </w:tr>
      <w:tr>
        <w:trPr>
          <w:trHeight w:val="216"/>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Life Support 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w:t>
            </w:r>
          </w:p>
        </w:tc>
      </w:tr>
      <w:tr>
        <w:trPr>
          <w:trHeight w:val="27"/>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PCS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2,180</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PDx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1,518</w:t>
            </w: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13,403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12,996</w:t>
            </w:r>
          </w:p>
        </w:tc>
        <w:tc>
          <w:tcPr>
            <w:tcW w:w="6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640" w:hanging="424"/>
        <w:spacing w:after="0" w:line="282"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EBIT</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09"/>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EBIT</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Imaging</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Ultrasound</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PCS</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PDx</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6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(a)</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3"/>
              </w:rPr>
              <w:t>2,345</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disposition related (charges) benefits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business dispositions/divestments</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Spin-Off and separation costs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revaluation gain (loss)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financial charges — net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benefit income (costs)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1"/>
        </w:trPr>
        <w:tc>
          <w:tcPr>
            <w:tcW w:w="6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 from continuing operations before income</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1,794</w:t>
            </w:r>
          </w:p>
        </w:tc>
        <w:tc>
          <w:tcPr>
            <w:tcW w:w="2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3"/>
              </w:rPr>
              <w:t>2,120</w:t>
            </w:r>
          </w:p>
        </w:tc>
      </w:tr>
      <w:tr>
        <w:trPr>
          <w:trHeight w:val="20"/>
        </w:trPr>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300" w:hanging="424"/>
        <w:spacing w:after="0" w:line="282"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not presented within the reportable segments, shown within the Other category, represents the HFS business and certain other investments which do not meet the definition of an operating segment.</w:t>
      </w:r>
    </w:p>
    <w:p>
      <w:pPr>
        <w:spacing w:after="0" w:line="266"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RECEIVABLES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CURRENT RECEIVABLES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10"/>
        </w:trPr>
        <w:tc>
          <w:tcPr>
            <w:tcW w:w="56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Current customer receivables</w:t>
            </w:r>
            <w:r>
              <w:rPr>
                <w:rFonts w:ascii="Times New Roman" w:cs="Times New Roman" w:eastAsia="Times New Roman" w:hAnsi="Times New Roman"/>
                <w:sz w:val="24"/>
                <w:szCs w:val="24"/>
                <w:color w:val="auto"/>
                <w:vertAlign w:val="superscript"/>
              </w:rPr>
              <w:t>(a)</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2,884</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3,028</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Non-income based tax receivables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sundry receivables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Sundry receivables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receivables — net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3,227</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61" w:lineRule="auto"/>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are primarily related to our PDx business and are recorded as a reduction to current customer receivables. Chargebacks are generally settled through issuance of credits, typically within one month of initial recognition. Balances related to chargebacks were $240 million and $129 million as of September 30, 2022 and December 31, 2021, respectively. The increase in chargebacks is primarily due to higher wholesaler product demand.</w:t>
      </w:r>
    </w:p>
    <w:p>
      <w:pPr>
        <w:spacing w:after="0" w:line="178" w:lineRule="exact"/>
        <w:rPr>
          <w:sz w:val="20"/>
          <w:szCs w:val="20"/>
          <w:color w:val="auto"/>
        </w:rPr>
      </w:pPr>
    </w:p>
    <w:p>
      <w:pPr>
        <w:jc w:val="both"/>
        <w:ind w:left="120" w:right="2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of customer receivables. </w:t>
      </w:r>
      <w:r>
        <w:rPr>
          <w:rFonts w:ascii="Times New Roman" w:cs="Times New Roman" w:eastAsia="Times New Roman" w:hAnsi="Times New Roman"/>
          <w:sz w:val="18"/>
          <w:szCs w:val="18"/>
          <w:color w:val="auto"/>
        </w:rPr>
        <w:t>Previously, the Company sold customer receivables to our Working Capital Solutions (“WCS”) business.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were discontinued in 2021. Separately, the Company from time to time sells current or long-term receivables to third parties in response to customer-sponsored requests or programs, to facilitate sales, or for risk mitigation purposes.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60"/>
          </w:cols>
          <w:pgMar w:left="320" w:top="455" w:right="5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related to customer receivables sold by the Company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 HealthCare businesses sales to WCS and third parties</w:t>
            </w:r>
            <w:r>
              <w:rPr>
                <w:rFonts w:ascii="Times New Roman" w:cs="Times New Roman" w:eastAsia="Times New Roman" w:hAnsi="Times New Roman"/>
                <w:sz w:val="25"/>
                <w:szCs w:val="25"/>
                <w:color w:val="auto"/>
                <w:vertAlign w:val="superscript"/>
              </w:rPr>
              <w:t>(a)</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Collections and other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3"/>
              </w:rPr>
              <w:t>(17)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(5,947)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from long-term customer receivables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w:t>
            </w:r>
          </w:p>
        </w:tc>
      </w:tr>
      <w:tr>
        <w:trPr>
          <w:trHeight w:val="20"/>
        </w:trPr>
        <w:tc>
          <w:tcPr>
            <w:tcW w:w="5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82"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WCS are considered related party and were $5,092 million for the nine months ended September 30, 2021. There were no sales to WCS for the nine months ended September 30, 2022.</w:t>
      </w:r>
    </w:p>
    <w:p>
      <w:pPr>
        <w:spacing w:after="0" w:line="158"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LONG-TERM RECEIVABLES. </w:t>
      </w:r>
      <w:r>
        <w:rPr>
          <w:rFonts w:ascii="Times New Roman" w:cs="Times New Roman" w:eastAsia="Times New Roman" w:hAnsi="Times New Roman"/>
          <w:sz w:val="18"/>
          <w:szCs w:val="18"/>
          <w:color w:val="auto"/>
        </w:rPr>
        <w:t>Long-term receivables are included in All other assets in our condensed combined Statements of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customer receivables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sundry receivables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Non-income based tax receivables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receivables — net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147</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FINANCING RECEIVABLES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deferred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financing leases, net of deferred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Current financing receivables — net</w:t>
            </w:r>
            <w:r>
              <w:rPr>
                <w:rFonts w:ascii="Times New Roman" w:cs="Times New Roman" w:eastAsia="Times New Roman" w:hAnsi="Times New Roman"/>
                <w:sz w:val="25"/>
                <w:szCs w:val="25"/>
                <w:color w:val="auto"/>
                <w:vertAlign w:val="superscript"/>
              </w:rPr>
              <w:t>(a)</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deferred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financing leases, net of deferred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Non-current financing receivables — net</w:t>
            </w:r>
            <w:r>
              <w:rPr>
                <w:rFonts w:ascii="Times New Roman" w:cs="Times New Roman" w:eastAsia="Times New Roman" w:hAnsi="Times New Roman"/>
                <w:sz w:val="25"/>
                <w:szCs w:val="25"/>
                <w:color w:val="auto"/>
                <w:vertAlign w:val="superscript"/>
              </w:rPr>
              <w:t>(a)</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82" w:lineRule="auto"/>
        <w:tabs>
          <w:tab w:leader="none" w:pos="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financing receivables and non-current financing receivables are included in All other current assets and All other assets, respectively, in our condensed combined Statements of Financial Position.</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Total financing receivables classified as held for sale were $1 million and $17 million as of September 30, 2022 and December 31, 2021, respectively. Total financing receivables sold were $28 million and $75 million for the nine months ended September 30, 2022 and 2021, respectively.</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2022, 7%, 7%, and 7% of financing receivables were over 30 days past due, over 90 days past due, and on nonaccrual, respectively, with the vast majority of nonaccrual financing receivables secured by collateral. As of December 31, 2021, 5%, 4%, and 5% of financing receivables were over 30 days past due, over 90 days past due, and on nonaccrual, respectively.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0940"/>
          </w:cols>
          <w:pgMar w:left="320" w:top="455" w:right="6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tab/>
        <w:t>LEASES</w:t>
      </w:r>
    </w:p>
    <w:p>
      <w:pPr>
        <w:spacing w:after="0" w:line="117" w:lineRule="exact"/>
        <w:rPr>
          <w:sz w:val="20"/>
          <w:szCs w:val="20"/>
          <w:color w:val="auto"/>
        </w:rPr>
      </w:pPr>
    </w:p>
    <w:p>
      <w:pPr>
        <w:jc w:val="both"/>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OPERATING LEASE LIABILITIES. </w:t>
      </w:r>
      <w:r>
        <w:rPr>
          <w:rFonts w:ascii="Times New Roman" w:cs="Times New Roman" w:eastAsia="Times New Roman" w:hAnsi="Times New Roman"/>
          <w:sz w:val="18"/>
          <w:szCs w:val="18"/>
          <w:color w:val="auto"/>
        </w:rPr>
        <w:t>Our combined operating lease liabilities, included in All other current liabilities and All other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our condensed combined Statements of Financial Position, were $321 million and $366 million, as of September 30, 2022 and December 31, 2021, respectively. Expenses related to our operating lease portfolio, primarily related to our long-term fixed leases, were $143 million and $139 million for the nine months ended September 30, 2022 and 2021, respectively.</w:t>
      </w:r>
    </w:p>
    <w:p>
      <w:pPr>
        <w:spacing w:after="0" w:line="284"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ACQUISITIONS, GOODWILL, AND OTHER INTANGIBLE ASSETS</w:t>
      </w:r>
    </w:p>
    <w:p>
      <w:pPr>
        <w:spacing w:after="0" w:line="117"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During the nine months ended September 30, 2022, we recorded a benefit of $49 million from fair value adjustments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remeasurement of contingent consideration liabilities. The benefit is reflected in Selling, general and administrative in the condensed combined Statements of Income.</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GOODWILL BALANCES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Imaging</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Ultrasound</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PCS</w:t>
            </w:r>
          </w:p>
        </w:tc>
        <w:tc>
          <w:tcPr>
            <w:tcW w:w="12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PDx</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3,876</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$2,534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$12,892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Foreign exchange and other </w:t>
            </w:r>
            <w:r>
              <w:rPr>
                <w:rFonts w:ascii="Times New Roman" w:cs="Times New Roman" w:eastAsia="Times New Roman" w:hAnsi="Times New Roman"/>
                <w:sz w:val="25"/>
                <w:szCs w:val="25"/>
                <w:color w:val="auto"/>
                <w:vertAlign w:val="superscript"/>
              </w:rPr>
              <w:t>(a)</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6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4,389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2,027</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2,531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12,767</w:t>
            </w:r>
          </w:p>
        </w:tc>
      </w:tr>
      <w:tr>
        <w:trPr>
          <w:trHeight w:val="20"/>
        </w:trPr>
        <w:tc>
          <w:tcPr>
            <w:tcW w:w="6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jc w:val="both"/>
        <w:ind w:left="540" w:right="140" w:hanging="424"/>
        <w:spacing w:after="0" w:line="266"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purchase accounting adjustments related to the acquisition of BK Medical, included within the Ultrasound segment, which closed on December 21, 2021. There were no significant changes for the nine months ended September 30, 2022 to the preliminary fair values that were recognized as of December 31, 2021.</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Substantially all other intangible assets are subject to amortization. Intangible assets decreased during the nine months ended September 30, 2022, primarily as a result of amortization, partially offset by additions of capitalized software. Amortization expense was $307 million and $303 million for the nine months ended September 30, 2022 and 2021, respectively.</w:t>
      </w:r>
    </w:p>
    <w:p>
      <w:pPr>
        <w:spacing w:after="0" w:line="280"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17" w:lineRule="exact"/>
        <w:rPr>
          <w:sz w:val="20"/>
          <w:szCs w:val="20"/>
          <w:color w:val="auto"/>
        </w:rPr>
      </w:pPr>
    </w:p>
    <w:p>
      <w:pPr>
        <w:jc w:val="both"/>
        <w:ind w:left="120" w:right="4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BORROWINGS. </w:t>
      </w:r>
      <w:r>
        <w:rPr>
          <w:rFonts w:ascii="Times New Roman" w:cs="Times New Roman" w:eastAsia="Times New Roman" w:hAnsi="Times New Roman"/>
          <w:sz w:val="18"/>
          <w:szCs w:val="18"/>
          <w:color w:val="auto"/>
        </w:rPr>
        <w:t>The Company had total long-term borrowings of $31 million as of both September 30, 2022 and December 31,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had total short-term borrowings of $12 million and $6 million as of September 30, 2022 and December 31, 2021, respectively, of which $5 million and $6 million, respectively, represent the current portion of long-term borrowings. These borrowings consist of bank borrowings and a product financing arrangement.</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bank borrowings pertain to agreements made between the Company and Austrian-based banks that are guaranteed by the Austrian Research Promotion Agency and have maturities ranging from 2022 through 2026. These borrowings are used to fund R&amp;D initiatives of the Company. As of September 30, 2022 and December 31, 2021, the weighted-average interest rate on long-term bank borrowings was 0.36% and 0.53%, respectively. Interest expense recognized for these arrangements was not significant for the nine months ended September 30, 2022 and 2021. Interest expense is included in Interest and other financial charges — net in the condensed combined Statements of Income.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non-bank borrowings pertain to a product financing arrangement between the Company and a third-party supplier whereby the supplier agreed to purchase inventory on the Company’s behalf. The Company signed a non-cancellable, non-returnable (“NCNR”) agreement to purchase the inventory from the supplier. The NCNR agreement was assigned to a bank as collateral for the financing that the supplier received from a bank to purchase the supplier’s inventory. The price that the Company paid the supplier for the inventory included the original price from the supplier plus management fees and financing costs. Interest expense recognized for these arrangements was not significant for the nine months ended September 30, 2022 and 2021.</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LETTERS OF CREDIT, GUARANTEES AND OTHER COMMITMENTS. </w:t>
      </w:r>
      <w:r>
        <w:rPr>
          <w:rFonts w:ascii="Times New Roman" w:cs="Times New Roman" w:eastAsia="Times New Roman" w:hAnsi="Times New Roman"/>
          <w:sz w:val="18"/>
          <w:szCs w:val="18"/>
          <w:color w:val="auto"/>
        </w:rPr>
        <w:t>As of September 30, 2022 and December 31,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had unused letters of credit, bank guarantees, bid bonds and surety bonds of approximately $678 million and $808 million, respectively, related to certain commercial contracts. Additionally, we have approximately $48 million and $63 million of guarantees as of September 30, 2022 and December 31, 2021, respectively, primarily related to residual value guarantees on equipment sold to third-party finance companies. Our condensed combined Statements of Financial Position reflect a liability of $4 million and $5 million as of September 30, 2022 and December 31, 2021, respectively,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291"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tab/>
        <w:t>POSTRETIREMENT BENEFIT PLANS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PENSION BENEFITS AND RETIREE HEALTH AND LIFE BENEFITS SPONSORED BY GE. </w:t>
      </w:r>
      <w:r>
        <w:rPr>
          <w:rFonts w:ascii="Times New Roman" w:cs="Times New Roman" w:eastAsia="Times New Roman" w:hAnsi="Times New Roman"/>
          <w:sz w:val="18"/>
          <w:szCs w:val="18"/>
          <w:color w:val="auto"/>
        </w:rPr>
        <w:t>Certain employees are covered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pension and retiree health and life plans sponsored by GE, including principal pension plans, other pension plans, and principal retiree benefit plans. These plans are accounted for as multiemployer plans. We have not recorded any liabilities associated with our participation in these plans in our condensed combined Statements of Financial Position as of September 30, 2022 and December 31, 2021. Expenses associated with our employees’ participation in the U.S. GE principal pension and principal retiree benefit plans, which represent the majority of related expense, were $73 million for both the nine months ended September 30, 2022 and 2021. Expenses associated with our employees’ participation in the U.S. Retirement Savings Plan represent the employer matching contributions for GE HealthCare employees and were $96 million and $92 million for the nine months ended September 30, 2022 and 2021, respectively. Expenses associated with our employees’ participation in GE’s non-U.S. based pension were $13 million and $24 million for the nine months ended September 30, 2022 and 2021, respectively.</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of GE HealthCare from GE, these plans will be separated and GE will transfer certain liabilities and assets of these plans to GE HealthCare.</w:t>
      </w:r>
    </w:p>
    <w:p>
      <w:pPr>
        <w:spacing w:after="0" w:line="158"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PENSION PLANS SPONSORED BY GE HEALTHCARE</w:t>
      </w:r>
      <w:r>
        <w:rPr>
          <w:rFonts w:ascii="Times New Roman" w:cs="Times New Roman" w:eastAsia="Times New Roman" w:hAnsi="Times New Roman"/>
          <w:sz w:val="18"/>
          <w:szCs w:val="18"/>
          <w:color w:val="auto"/>
        </w:rPr>
        <w:t>. In addition to these GE-sponsored plans, certain of our employees also are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pension plans sponsored by the Company.</w:t>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Our Benefits Plans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cost — Operating</w:t>
            </w:r>
          </w:p>
        </w:tc>
        <w:tc>
          <w:tcPr>
            <w:tcW w:w="3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3"/>
              </w:rPr>
              <w:t>(21)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w:t>
            </w: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expense</w:t>
            </w: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0"/>
        </w:trPr>
        <w:tc>
          <w:tcPr>
            <w:tcW w:w="3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3800" w:type="dxa"/>
            <w:vAlign w:val="bottom"/>
            <w:gridSpan w:val="3"/>
          </w:tcPr>
          <w:p>
            <w:pPr>
              <w:jc w:val="right"/>
              <w:ind w:right="2636"/>
              <w:spacing w:after="0"/>
              <w:rPr>
                <w:sz w:val="20"/>
                <w:szCs w:val="20"/>
                <w:color w:val="auto"/>
              </w:rPr>
            </w:pPr>
            <w:r>
              <w:rPr>
                <w:rFonts w:ascii="Times New Roman" w:cs="Times New Roman" w:eastAsia="Times New Roman" w:hAnsi="Times New Roman"/>
                <w:sz w:val="18"/>
                <w:szCs w:val="18"/>
                <w:color w:val="auto"/>
              </w:rPr>
              <w:t>F-66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income tax rate was 23.0% and 19.9% for the nine months ended September 30, 2022 and 2021, respectively. The tax rate for 2022 is higher than the U.S. statutory rate primarily due to the cost of global activities, including the U.S. taxation on international operations and from state taxes. The tax rate for 2021 is lower than the U.S. statutory rate primarily due to the deferred tax benefit recorded related to the enactment of changes in the United Kingdom tax law in Q2 2021, specifically the future increase in the United Kingdom corporate tax rate.</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that includes a new alternative minimum tax based upon financial statement income (book minimum tax), an excise tax on stock buybacks and tax incentives for energy and climate initiatives, among other provisions. The new book minimum tax has the potential to slow but not eliminate the favorable tax impact of our deferred tax assets, resulting in higher cash tax in some years that would generate future tax credits. The impact of the book minimum tax will depend on our facts in each year and anticipated guidance from the U.S. Department of the Treasury.</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is currently being audited in a number of jurisdictions for tax years 2004 through 2020, including China, Norway, France, Germany, the United Kingdom, and the U.S.</w:t>
      </w:r>
    </w:p>
    <w:p>
      <w:pPr>
        <w:spacing w:after="0" w:line="266" w:lineRule="exact"/>
        <w:rPr>
          <w:sz w:val="20"/>
          <w:szCs w:val="20"/>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 — NET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60" w:type="dxa"/>
            <w:vAlign w:val="bottom"/>
          </w:tcPr>
          <w:p>
            <w:pPr>
              <w:spacing w:after="0"/>
              <w:rPr>
                <w:sz w:val="13"/>
                <w:szCs w:val="13"/>
                <w:color w:val="auto"/>
              </w:rPr>
            </w:pPr>
          </w:p>
        </w:tc>
        <w:tc>
          <w:tcPr>
            <w:tcW w:w="620" w:type="dxa"/>
            <w:vAlign w:val="bottom"/>
            <w:gridSpan w:val="4"/>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7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flow</w:t>
            </w:r>
          </w:p>
        </w:tc>
        <w:tc>
          <w:tcPr>
            <w:tcW w:w="6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7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 w:type="dxa"/>
            <w:vAlign w:val="bottom"/>
          </w:tcPr>
          <w:p>
            <w:pPr>
              <w:spacing w:after="0"/>
              <w:rPr>
                <w:sz w:val="15"/>
                <w:szCs w:val="15"/>
                <w:color w:val="auto"/>
              </w:rPr>
            </w:pPr>
          </w:p>
        </w:tc>
        <w:tc>
          <w:tcPr>
            <w:tcW w:w="62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 (100)</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$(1,037)</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AOCI before reclasses — net of taxes of $(6), $(13) and $(11)</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20" w:type="dxa"/>
            <w:vAlign w:val="bottom"/>
            <w:gridSpan w:val="7"/>
          </w:tcPr>
          <w:p>
            <w:pPr>
              <w:jc w:val="right"/>
              <w:ind w:right="24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Reclasses from AOCI — net of taxes of $-, $- and $4</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7"/>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(1,942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374"/>
        </w:trPr>
        <w:tc>
          <w:tcPr>
            <w:tcW w:w="4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6"/>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5"/>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7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flow</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1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 (180)</w:t>
            </w:r>
          </w:p>
        </w:tc>
        <w:tc>
          <w:tcPr>
            <w:tcW w:w="38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(16)</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$(839)</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AOCI before reclasses — net of taxes of $(7), $- and $(11)</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Reclasses from AOCI — net of taxes of $-, $(5) and $(2)</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(169</w:t>
            </w:r>
          </w:p>
        </w:tc>
        <w:tc>
          <w:tcPr>
            <w:tcW w:w="38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(917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7"/>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DERIVATIVES AND HEDGING</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8"/>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10"/>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All</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4"/>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All</w:t>
            </w:r>
          </w:p>
        </w:tc>
        <w:tc>
          <w:tcPr>
            <w:tcW w:w="60" w:type="dxa"/>
            <w:vAlign w:val="bottom"/>
          </w:tcPr>
          <w:p>
            <w:pPr>
              <w:spacing w:after="0"/>
              <w:rPr>
                <w:sz w:val="10"/>
                <w:szCs w:val="10"/>
                <w:color w:val="auto"/>
              </w:rPr>
            </w:pPr>
          </w:p>
        </w:tc>
        <w:tc>
          <w:tcPr>
            <w:tcW w:w="620" w:type="dxa"/>
            <w:vAlign w:val="bottom"/>
            <w:gridSpan w:val="4"/>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2"/>
                <w:szCs w:val="12"/>
                <w:color w:val="auto"/>
              </w:rPr>
            </w:pPr>
          </w:p>
        </w:tc>
        <w:tc>
          <w:tcPr>
            <w:tcW w:w="6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6"/>
            <w:vMerge w:val="restart"/>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tcPr>
          <w:p>
            <w:pPr>
              <w:jc w:val="right"/>
              <w:ind w:right="321"/>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7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60" w:type="dxa"/>
            <w:vAlign w:val="bottom"/>
          </w:tcPr>
          <w:p>
            <w:pPr>
              <w:spacing w:after="0"/>
              <w:rPr>
                <w:sz w:val="12"/>
                <w:szCs w:val="12"/>
                <w:color w:val="auto"/>
              </w:rPr>
            </w:pPr>
          </w:p>
        </w:tc>
        <w:tc>
          <w:tcPr>
            <w:tcW w:w="620" w:type="dxa"/>
            <w:vAlign w:val="bottom"/>
            <w:gridSpan w:val="4"/>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60" w:type="dxa"/>
            <w:vAlign w:val="bottom"/>
          </w:tcPr>
          <w:p>
            <w:pPr>
              <w:spacing w:after="0"/>
              <w:rPr>
                <w:sz w:val="15"/>
                <w:szCs w:val="15"/>
                <w:color w:val="auto"/>
              </w:rPr>
            </w:pPr>
          </w:p>
        </w:tc>
        <w:tc>
          <w:tcPr>
            <w:tcW w:w="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5"/>
                <w:szCs w:val="15"/>
                <w:color w:val="auto"/>
              </w:rPr>
            </w:pPr>
          </w:p>
        </w:tc>
        <w:tc>
          <w:tcPr>
            <w:tcW w:w="1000" w:type="dxa"/>
            <w:vAlign w:val="bottom"/>
            <w:gridSpan w:val="6"/>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7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60" w:type="dxa"/>
            <w:vAlign w:val="bottom"/>
          </w:tcPr>
          <w:p>
            <w:pPr>
              <w:spacing w:after="0"/>
              <w:rPr>
                <w:sz w:val="15"/>
                <w:szCs w:val="15"/>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exchange contracts, accounted for as hedges</w:t>
            </w:r>
          </w:p>
        </w:tc>
        <w:tc>
          <w:tcPr>
            <w:tcW w:w="1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$ 1,565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$ 2,463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Commodity exchange</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accounted for as hedges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8,323</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0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$ 5,502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10,786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156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F-67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FLOW HEDGES. </w:t>
      </w:r>
      <w:r>
        <w:rPr>
          <w:rFonts w:ascii="Times New Roman" w:cs="Times New Roman" w:eastAsia="Times New Roman" w:hAnsi="Times New Roman"/>
          <w:sz w:val="18"/>
          <w:szCs w:val="18"/>
          <w:color w:val="auto"/>
        </w:rPr>
        <w:t>Cash flow hedges primarily relate to foreign exchange contracts. Gains recognized in AOCI related to cash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hedges were $54 million and $33 million for the nine months ended September 30, 2022 and 2021, respectively.</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Changes in the fair value of cash flow hedges are recorded in AOCI and recorded in earnings in the period in which the hedged transaction occurs. The total amount in AOCI related to cash flow hedges of forecasted transactions was a $56 million gain at September 30, 2022. We expect to reclassify $61 million of gains to earnings in the next 12 months contemporaneously with the earnings effects of the related forecasted transactions. Net gains (losses) reclassified from AOCI into earnings were $30 million and $(8) million for the nine months ended September 30, 2022 and 2021, respectively. At September 30, 2022, the maximum term of derivative instruments that hedge forecasted transactions was approximately 2 years.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gains (losses) of our derivative financial instruments in the condensed combined Statements of Income: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0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Cost of</w:t>
            </w: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4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expense - net</w:t>
            </w:r>
          </w:p>
        </w:tc>
        <w:tc>
          <w:tcPr>
            <w:tcW w:w="2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products</w:t>
            </w:r>
          </w:p>
        </w:tc>
        <w:tc>
          <w:tcPr>
            <w:tcW w:w="420" w:type="dxa"/>
            <w:vAlign w:val="bottom"/>
          </w:tcPr>
          <w:p>
            <w:pPr>
              <w:spacing w:after="0"/>
              <w:rPr>
                <w:sz w:val="15"/>
                <w:szCs w:val="15"/>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expense - net</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Effects of cash flow hedges</w:t>
            </w:r>
            <w:r>
              <w:rPr>
                <w:rFonts w:ascii="Times New Roman" w:cs="Times New Roman" w:eastAsia="Times New Roman" w:hAnsi="Times New Roman"/>
                <w:sz w:val="24"/>
                <w:szCs w:val="24"/>
                <w:color w:val="auto"/>
                <w:vertAlign w:val="superscript"/>
              </w:rPr>
              <w:t>(a)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Effects of fair value hedges</w:t>
            </w:r>
            <w:r>
              <w:rPr>
                <w:rFonts w:ascii="Times New Roman" w:cs="Times New Roman" w:eastAsia="Times New Roman" w:hAnsi="Times New Roman"/>
                <w:sz w:val="25"/>
                <w:szCs w:val="25"/>
                <w:color w:val="auto"/>
                <w:vertAlign w:val="superscript"/>
              </w:rPr>
              <w:t>(b)</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5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Effects of derivatives not designated as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hedges</w:t>
            </w:r>
            <w:r>
              <w:rPr>
                <w:rFonts w:ascii="Times New Roman" w:cs="Times New Roman" w:eastAsia="Times New Roman" w:hAnsi="Times New Roman"/>
                <w:sz w:val="26"/>
                <w:szCs w:val="26"/>
                <w:color w:val="auto"/>
                <w:vertAlign w:val="superscript"/>
              </w:rPr>
              <w:t>(c)</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cash flow hedges represent the net impact for derivatives maintained in a cash flow hedging relationship.</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fair value hedges represent the net impact of hedges of monetary assets and liabilities subject to remeasurement.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derivatives not designated as hedges represent stand-alone economic hedges.</w:t>
      </w:r>
    </w:p>
    <w:p>
      <w:pPr>
        <w:spacing w:after="0" w:line="311"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COMMITMENTS, GUARANTEES, PRODUCT WARRANTIES, AND OTHER LOSS CONTINGENCIES</w:t>
      </w:r>
    </w:p>
    <w:p>
      <w:pPr>
        <w:spacing w:after="0" w:line="117"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The Company has off-balance sheet credit exposure through standby letters of credit, bank guarantees, bid bonds, and surety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bonds. See Note 8, “Borrowings” for further information. In addition, GE has provided parent company guarantees in certain jurisdictions where we lack the legal structure to issue the requisite guarantees required on certain projects.</w:t>
      </w:r>
    </w:p>
    <w:p>
      <w:pPr>
        <w:spacing w:after="0" w:line="17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PRODUCT WARRANTIES. </w:t>
      </w:r>
      <w:r>
        <w:rPr>
          <w:rFonts w:ascii="Times New Roman" w:cs="Times New Roman" w:eastAsia="Times New Roman" w:hAnsi="Times New Roman"/>
          <w:sz w:val="18"/>
          <w:szCs w:val="18"/>
          <w:color w:val="auto"/>
        </w:rPr>
        <w:t>We provide for estimated product warranty expenses when we sell the related products. Because warranty accruals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estimates that are based on the best available information, mostly historical claims experience, claims costs may differ from amounts provided. An analysis of changes in the liability for product warranties follows.</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Current-year provisions</w:t>
            </w:r>
          </w:p>
        </w:tc>
        <w:tc>
          <w:tcPr>
            <w:tcW w:w="3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w:t>
            </w:r>
          </w:p>
        </w:tc>
        <w:tc>
          <w:tcPr>
            <w:tcW w:w="3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25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252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warranty obligations are primarily expected to be incurred in less than 12 months and therefore are classified as a current liability in All other current liabilities.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In the normal course of our business, we are involved from time to time in various arbitrations; class actions;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Contracts with Iraqi Ministry of Health</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w:t>
      </w:r>
    </w:p>
    <w:p>
      <w:pPr>
        <w:spacing w:after="0" w:line="293"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14.</w:t>
        <w:tab/>
        <w:t>RESTRUCTURING AND OTHER ACTIVITIES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Restructuring and other activities relate primarily to costs incurred to reduce headcount and consolidate facilities. For segment reporting, restructuring and other activities are not allocated.</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a result of restructuring initiatives, we recorded expenses of $110 million and $127 million for the nine months ended September 30, 2022 and 2021, respectively. These restructuring initiatives are expected to result in additional expenses of approximately $63 million, to be incurred primarily over the next six months, substantially related to employee-related separation costs. Restructuring expenses are included as part of Cost of products, Cost of services, or Selling, general and administrative, as appropriate, in the condensed combined Statements of Income.</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and other exit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write-downs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Restructuring and other activities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110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127</w:t>
            </w:r>
          </w:p>
        </w:tc>
        <w:tc>
          <w:tcPr>
            <w:tcW w:w="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40" w:firstLine="440"/>
        <w:spacing w:after="0" w:line="282" w:lineRule="auto"/>
        <w:rPr>
          <w:sz w:val="20"/>
          <w:szCs w:val="20"/>
          <w:color w:val="auto"/>
        </w:rPr>
      </w:pPr>
      <w:r>
        <w:rPr>
          <w:rFonts w:ascii="Times New Roman" w:cs="Times New Roman" w:eastAsia="Times New Roman" w:hAnsi="Times New Roman"/>
          <w:sz w:val="18"/>
          <w:szCs w:val="18"/>
          <w:color w:val="auto"/>
        </w:rPr>
        <w:t>Liabilities related to restructuring are primarily included in All other current liabilities and totaled $79 million and $58 million as of September 30, 2022 and December 31, 2021,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55" w:right="4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SUPPLEMENTAL FINANCIAL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Short-term restricted cash</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as presented on the condensed</w:t>
            </w: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combined Statements of Financial Position</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500</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556</w:t>
            </w:r>
          </w:p>
        </w:tc>
      </w:tr>
      <w:tr>
        <w:trPr>
          <w:trHeight w:val="223"/>
        </w:trPr>
        <w:tc>
          <w:tcPr>
            <w:tcW w:w="20" w:type="dxa"/>
            <w:vAlign w:val="bottom"/>
          </w:tcPr>
          <w:p>
            <w:pPr>
              <w:spacing w:after="0"/>
              <w:rPr>
                <w:sz w:val="19"/>
                <w:szCs w:val="19"/>
                <w:color w:val="auto"/>
              </w:rPr>
            </w:pPr>
          </w:p>
        </w:tc>
        <w:tc>
          <w:tcPr>
            <w:tcW w:w="7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Long-term restricted cash </w:t>
            </w:r>
            <w:r>
              <w:rPr>
                <w:rFonts w:ascii="Times New Roman" w:cs="Times New Roman" w:eastAsia="Times New Roman" w:hAnsi="Times New Roman"/>
                <w:sz w:val="25"/>
                <w:szCs w:val="25"/>
                <w:color w:val="auto"/>
                <w:vertAlign w:val="superscript"/>
              </w:rPr>
              <w:t>(a)</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as presented on the condensed</w:t>
            </w: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504</w:t>
            </w: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561</w:t>
            </w: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restricted cash is presented in All other assets on the condensed combined Statements of Financial Position.</w:t>
      </w:r>
    </w:p>
    <w:p>
      <w:pPr>
        <w:spacing w:after="0" w:line="32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INVENTORIES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c>
          <w:tcPr>
            <w:tcW w:w="4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Certain inventory items are not included above as they are long-term in nature and therefore have been classified within All other assets in the condensed combined Statements of Financial Position.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 NET</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8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cost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(2,816)</w:t>
            </w:r>
          </w:p>
        </w:tc>
      </w:tr>
      <w:tr>
        <w:trPr>
          <w:trHeight w:val="194"/>
        </w:trPr>
        <w:tc>
          <w:tcPr>
            <w:tcW w:w="20" w:type="dxa"/>
            <w:vAlign w:val="bottom"/>
          </w:tcPr>
          <w:p>
            <w:pPr>
              <w:spacing w:after="0"/>
              <w:rPr>
                <w:sz w:val="16"/>
                <w:szCs w:val="16"/>
                <w:color w:val="auto"/>
              </w:rPr>
            </w:pPr>
          </w:p>
        </w:tc>
        <w:tc>
          <w:tcPr>
            <w:tcW w:w="6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Property, plant, and equipment — net, exclusive of right-of-use operating</w:t>
            </w:r>
          </w:p>
        </w:tc>
        <w:tc>
          <w:tcPr>
            <w:tcW w:w="4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w:t>
            </w:r>
          </w:p>
        </w:tc>
        <w:tc>
          <w:tcPr>
            <w:tcW w:w="4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w:t>
            </w:r>
          </w:p>
        </w:tc>
        <w:tc>
          <w:tcPr>
            <w:tcW w:w="120" w:type="dxa"/>
            <w:vAlign w:val="bottom"/>
            <w:shd w:val="clear" w:color="auto" w:fill="CCEEFF"/>
          </w:tcPr>
          <w:p>
            <w:pPr>
              <w:spacing w:after="0"/>
              <w:rPr>
                <w:sz w:val="20"/>
                <w:szCs w:val="20"/>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operating lease assets — net</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 net</w:t>
            </w:r>
          </w:p>
        </w:tc>
        <w:tc>
          <w:tcPr>
            <w:tcW w:w="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CURRENT AND NON-CURRENT ASSETS. </w:t>
      </w:r>
      <w:r>
        <w:rPr>
          <w:rFonts w:ascii="Times New Roman" w:cs="Times New Roman" w:eastAsia="Times New Roman" w:hAnsi="Times New Roman"/>
          <w:sz w:val="18"/>
          <w:szCs w:val="18"/>
          <w:color w:val="auto"/>
        </w:rPr>
        <w:t>All other current assets primarily includes prepaid expenses and deferred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receivables, and derivative instruments. All other assets primarily includes equity method and other investments, financing receivables, long-term customer and sundry receivables, long-term inventories, and long-term contract and other deferred assets.</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CURRENT AND NON-CURRENT LIABILITIES. </w:t>
      </w:r>
      <w:r>
        <w:rPr>
          <w:rFonts w:ascii="Times New Roman" w:cs="Times New Roman" w:eastAsia="Times New Roman" w:hAnsi="Times New Roman"/>
          <w:sz w:val="18"/>
          <w:szCs w:val="18"/>
          <w:color w:val="auto"/>
        </w:rPr>
        <w:t>All other current liabilities and All other liabilities primarily include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employee compensation and benefits, income taxes payable and uncertain tax positions, sales allowances, equipment project, and other commercial liabilities, operating lease liabilities, environmental and asset retirement obligations, and product warranties.</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60"/>
          </w:cols>
          <w:pgMar w:left="320" w:top="455"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 NET</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
        </w:trPr>
        <w:tc>
          <w:tcPr>
            <w:tcW w:w="666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2"/>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and investment income (expense)</w:t>
            </w:r>
          </w:p>
        </w:tc>
        <w:tc>
          <w:tcPr>
            <w:tcW w:w="500" w:type="dxa"/>
            <w:vAlign w:val="bottom"/>
            <w:tcBorders>
              <w:right w:val="single" w:sz="8" w:color="CCEEFF"/>
            </w:tcBorders>
            <w:vMerge w:val="continue"/>
            <w:shd w:val="clear" w:color="auto" w:fill="CCEEFF"/>
          </w:tcPr>
          <w:p>
            <w:pPr>
              <w:spacing w:after="0"/>
              <w:rPr>
                <w:sz w:val="18"/>
                <w:szCs w:val="18"/>
                <w:color w:val="auto"/>
              </w:rPr>
            </w:pPr>
          </w:p>
        </w:tc>
        <w:tc>
          <w:tcPr>
            <w:tcW w:w="8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 (8)</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$ 28</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16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items, net</w:t>
            </w:r>
            <w:r>
              <w:rPr>
                <w:rFonts w:ascii="Times New Roman" w:cs="Times New Roman" w:eastAsia="Times New Roman" w:hAnsi="Times New Roman"/>
                <w:sz w:val="25"/>
                <w:szCs w:val="25"/>
                <w:color w:val="auto"/>
                <w:vertAlign w:val="superscript"/>
              </w:rPr>
              <w:t>(a)</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 net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$ 63</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$ 88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820" w:hanging="424"/>
        <w:spacing w:after="0" w:line="282"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primarily consists of licensing and royalty income and realized foreign exchange gains and losses related to non-qualifying derivatives.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REDEEMABLE NONCONTROLLING INTERESTS. </w:t>
      </w:r>
      <w:r>
        <w:rPr>
          <w:rFonts w:ascii="Times New Roman" w:cs="Times New Roman" w:eastAsia="Times New Roman" w:hAnsi="Times New Roman"/>
          <w:sz w:val="18"/>
          <w:szCs w:val="18"/>
          <w:color w:val="auto"/>
        </w:rPr>
        <w:t>The Company has noncontrolling interests with redemption features. These redemption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features, such as put options, could require the Company to purchase the noncontrolling interests upon the occurrence of certain events, such as a change of control of the Company. All noncontrolling interests with redemption features that are not solely within our control are reported in the condensed combined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As of September 30, 2022, the Company does not believe it is probable the redemption features related to these noncontrolling interests will be triggered. In particular, a change in control is generally not considered probable until it occurs. As such, these noncontrolling interests have not been remeasured to redemption value. As of September 30, 2022, the triggering event associated with a change of control could result in incremental redemption value of $167 million. The activity attributable to redeemable noncontrolling interests for the nine months ended September 30, 2022 and 2021 is presented below.</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redeemable noncontrolling</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and exercise of redeemable noncontrolling interests</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September 30</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198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241</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GE provides the Company with significant corporate, infrastructure and shared services. Some of these services will continue to be provided by GE to the Company on a temporary basis after the separation is completed under transition services agreements. Accordingly, as described in Note 1, “Basis of Presentation,” certain corporate and shared costs have been charged on the basis of direct usage by the Company as follows:</w:t>
      </w:r>
    </w:p>
    <w:p>
      <w:pPr>
        <w:spacing w:after="0" w:line="81" w:lineRule="exact"/>
        <w:rPr>
          <w:sz w:val="20"/>
          <w:szCs w:val="20"/>
          <w:color w:val="auto"/>
        </w:rPr>
      </w:pPr>
    </w:p>
    <w:p>
      <w:pPr>
        <w:ind w:left="1080" w:right="140" w:hanging="532"/>
        <w:spacing w:after="0" w:line="266"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 participate in pensions and benefit plans that are sponsored by GE. The Company was charged $182 million and $189 million for the nine months ended September 30, 2022 and 2021, respectively. These costs are charged directly to the Company based on the specific employee eligibility for those benefits.</w:t>
      </w:r>
    </w:p>
    <w:p>
      <w:pPr>
        <w:spacing w:after="0" w:line="81"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grants various employee benefits to its group employees, including those of the Company, under the GE Long-Term Incentive Plan. These benefits primarily include stock options and restricted stock units. Compensation expense associated with this plan was $58 million and $57 million for the nine months ended September 30, 2022 and 2021, respectively, which are included primarily in Selling, general and administrative in the condensed combined Statements of Income. These costs are charged directly to the Company based on the specific employees receiving awards.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certain GE Corporate Costs are charged to the Company based on allocation methodologies as follows:</w:t>
      </w:r>
    </w:p>
    <w:p>
      <w:pPr>
        <w:spacing w:after="0" w:line="131" w:lineRule="exact"/>
        <w:rPr>
          <w:sz w:val="20"/>
          <w:szCs w:val="20"/>
          <w:color w:val="auto"/>
        </w:rPr>
      </w:pPr>
    </w:p>
    <w:p>
      <w:pPr>
        <w:ind w:left="1080" w:right="240" w:hanging="532"/>
        <w:spacing w:after="0" w:line="281" w:lineRule="auto"/>
        <w:tabs>
          <w:tab w:leader="none" w:pos="10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Centralized services such as public relations, investor relations, treasury and cash management, executive management, security, government relations, community outreach and corporate internal audit services are charged to the Company on a pro rata basis of GE’s estimates of each company’s usage and are recorded in Selling, general and administrative. Costs of $38 million and $42 million for the nine months ended September 30, 2022 and 2021, respectively, were recorded in the condensed combined Statements of Income.</w:t>
      </w:r>
    </w:p>
    <w:p>
      <w:pPr>
        <w:spacing w:after="0" w:line="69" w:lineRule="exact"/>
        <w:rPr>
          <w:rFonts w:ascii="Times New Roman" w:cs="Times New Roman" w:eastAsia="Times New Roman" w:hAnsi="Times New Roman"/>
          <w:sz w:val="17"/>
          <w:szCs w:val="17"/>
          <w:color w:val="auto"/>
        </w:rPr>
      </w:pPr>
    </w:p>
    <w:p>
      <w:pPr>
        <w:ind w:left="1080" w:right="60" w:hanging="532"/>
        <w:spacing w:after="0" w:line="26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employee medical insurance totaling $91 million and $101 million for the nine months ended September 30, 2022 and 2021, respectively, were charged to the Company based on employee headcount and are recorded in Cost of product, Cost of services, Selling, general and administrative, or Research and development based on the employee population.</w:t>
      </w:r>
    </w:p>
    <w:p>
      <w:pPr>
        <w:spacing w:after="0" w:line="81" w:lineRule="exact"/>
        <w:rPr>
          <w:rFonts w:ascii="Times New Roman" w:cs="Times New Roman" w:eastAsia="Times New Roman" w:hAnsi="Times New Roman"/>
          <w:sz w:val="18"/>
          <w:szCs w:val="18"/>
          <w:color w:val="auto"/>
        </w:rPr>
      </w:pPr>
    </w:p>
    <w:p>
      <w:pPr>
        <w:ind w:left="1080" w:right="380" w:hanging="532"/>
        <w:spacing w:after="0" w:line="261"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finance, insurance, research, supply chain, human resources, tax, and facilities activities are charged to the Company based on headcount, revenue, or other allocation methodologies. The Company incurred expenses for these services of $343 million and $346 million for the nine months ended September 30, 2022 and 2021, respectively, which are primarily included in Selling, general and administrative and Research and development in the condensed combined Statements of Income.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Management believes that the expense and cost allocations have been determined on a basis that is a reasonable reflection of the utilization of services provided or the benefit received by the Company during the nine months ended September 30, 2022 and 2021. The amounts that would have been, or will be incurred, on a stand-alone basis could materially differ from the amounts allocated due to economies of scale, difference in management judgment, a requirement for more or fewer employees, or other factors. Management does not believe, however, that it is practicable to estimate what these expenses would have been had the Company operated as an independent entity, including any expenses associated with obtaining any of these services from unaffiliated entities. In addition, the future results of operations, financial position and cash flows could differ materially from the historical results presented herein.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participates in factoring programs, the majority of which were discontinued in 2021. The Company factored U.S. and non-U.S.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receivables through WCS on a recourse and nonrecourse basis pursuant to various factoring and servicing agreements.</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participates in centralized GE Treasury programs. This arrangement is not reflective of the manner in which the Company would have financed its operations had it been a stand-alone business separate from GE during the periods presented. Long-term intercompany financing, including strategic financing, and centralized cash management arrangements, are used to fund expansion or certain working capital needs. All adjustments relating to certain transactions among the Company, GE and GE entities, which include the transfer of the balance of cash to GE, transfer of the balance of cash held in centralized cash management arrangements to GE, settlement of certain intercompany debt between the Company and GE or GE entities, and pushdown of all costs of doing business that were paid on behalf of the Company by GE or GE entities, are excluded from the asset and liability balances in the condensed combined Statements of Financial Position. These amounts have instead been reported within Net parent investment as a component of equity. As of December 31, 2021 aggregate related party liabilities (net) of $195 million were reclassified to Net parent investment in the condensed combined Statements of Financial Position. Such amounts were not significant as of September 30, 2022.</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related party revenues were not significant for the nine months ended September 30, 2022 and 2021. The majority of related party revenues were generated from sales made to former GE industrial business units.</w:t>
      </w:r>
    </w:p>
    <w:p>
      <w:pPr>
        <w:spacing w:after="0" w:line="266"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17.</w:t>
        <w:tab/>
        <w:t>SUBSEQUENT EVENTS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and transactions that occurred after the date of our accompanying Statement of Financial Position through November 7, 2022, the date these condensed combined financial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00"/>
          </w:cols>
          <w:pgMar w:left="320" w:top="455"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statements were available for issuance, for potential recognition or disclosure in the condensed combined financial statements. On November 4, 2022, GE Healthcare Holding LLC, a subsidiary of GE, entered into credit agreements providing for a $2.5 billion unsecured, unsubordinated 5-year revolving credit facility, a $2.0 billion unsecured, unsubordinated 3-year term loan credit facility, and a $1.0 billion unsecured, unsubordinated 364-day revolving credit facility. Funds under the facilities are not available until certain closing conditions have been met, including consummation of the separation from GE. In connection with the separation, GE Healthcare Holding LLC will become a holding corporation for the assets of the Company.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Events Subsequent to Original Issuance of the Condensed Combined Financial Statements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reissuance of the condensed combined financial statements, the Company has evaluated unrecognized subsequent events through November 18, 2022, the date these condensed combined financial statements were available for reissuance.</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November 9, 2022, GE Healthcare Holding LLC offered $8.25 billion of unsecured senior notes consisting of the following: $1.0 billion of 5.550% senior notes due 2024, $1.5 billion of 5.600% senior notes due 2025, $1.75 billion of 5.650% senior notes due 2027, $1.25 billion of 5.857% senior notes due 2030, $1.75 billion of 5.905% senior notes due 2032 and $1.0 billion of 6.377% senior notes due 2052 (collectively, the “Notes”). The Notes offering is expected to close on November 22, 2022. In addition, GE Healthcare Holding LLC entered into certain Euro to U.S. Dollar cross currency interest rate swap arrangements with a notional amount of $2.0 billion and maturities ranging from 2024 to 2025.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costs and expenses payable by the registrant in connection with the issuance of the securities being registered.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amounts are estimates except the Securities and Exchange Commission registration fee.</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2,635.28</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402,635.28</w:t>
            </w:r>
          </w:p>
        </w:tc>
      </w:tr>
    </w:tbl>
    <w:p>
      <w:pPr>
        <w:spacing w:after="0" w:line="34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Delaware law authorizes corporations to limit or eliminate the personal liability of directors and officers to corporations and their stockholders for monetary damages for breaches of directors’ and officers’ fiduciary duties as directors or officers, as applicable, and our certificate of incorporation will include such an exculpation provision. Our bylaws will include provisions that indemnify, to the fullest extent allowable under the Delaware General Corporation Law (“DGCL”), the personal liability of directors or officers for monetary damages for actions taken as a director or officer of the Company, or for serving at our request as a director, officer, employee, or agent at another corporation or enterprise, as the case may be. Our bylaws will also provide that we must indemnify and advance expenses to our directors, officers, and employees, subject to our receipt of an undertaking from the indemnified party as may be required under the DGCL.</w:t>
      </w:r>
    </w:p>
    <w:p>
      <w:pPr>
        <w:spacing w:after="0" w:line="18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will be included in our certificate of incorporation and bylaws, respectively,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 There is currently no pending material litigation or proceeding against any of our directors, officers, or employees for which indemnification is sought.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Reference is made to Item 9 for our undertakings with respect to indemnification for liabilities arising under the Securities Act.</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currently maintain insurance policies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the Company.</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enter into an indemnification agreement with each of our executive officers and directors that provides, in general, that we will indemnify them to the fullest extent permitted by law in connection with their service to us or on our behalf.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On May 16, 2022, GE HealthCare issued 100 shares representing the limited liability interests in GE Healthcare Holding LLC, par value $0.01 per share, to GE for an aggregate consideration of $1.0. The shares of common stock described above were issued in reliance on the exemption contained in Section 4(a)(2) of the Securities Act on the basis that the transaction did not involve a public offering. No underwriters were involved in the transaction.</w:t>
      </w:r>
    </w:p>
    <w:p>
      <w:pPr>
        <w:spacing w:after="0" w:line="30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Financial Statements and Financial Statement Schedules.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jc w:val="both"/>
        <w:ind w:left="1000" w:right="540" w:hanging="80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457">
        <w:r>
          <w:rPr>
            <w:rFonts w:ascii="Times New Roman" w:cs="Times New Roman" w:eastAsia="Times New Roman" w:hAnsi="Times New Roman"/>
            <w:sz w:val="18"/>
            <w:szCs w:val="18"/>
            <w:u w:val="single" w:color="auto"/>
            <w:color w:val="0000EE"/>
          </w:rPr>
          <w:t>Separation and Distribution Agreement, dated as of November 7, 2022, by and between General Electric Company and the registrant</w:t>
        </w:r>
      </w:hyperlink>
      <w:r>
        <w:rPr>
          <w:rFonts w:ascii="Times New Roman" w:cs="Times New Roman" w:eastAsia="Times New Roman" w:hAnsi="Times New Roman"/>
          <w:sz w:val="18"/>
          <w:szCs w:val="18"/>
          <w:u w:val="single" w:color="auto"/>
          <w:color w:val="0000EE"/>
        </w:rPr>
        <w:t xml:space="preserve"> </w:t>
      </w:r>
      <w:hyperlink r:id="rId457">
        <w:r>
          <w:rPr>
            <w:rFonts w:ascii="Times New Roman" w:cs="Times New Roman" w:eastAsia="Times New Roman" w:hAnsi="Times New Roman"/>
            <w:sz w:val="18"/>
            <w:szCs w:val="18"/>
            <w:u w:val="single" w:color="auto"/>
            <w:color w:val="0000EE"/>
          </w:rPr>
          <w:t>(incorporated by reference to Exhibit 2.1 of GE Healthcare Holding LLC’s Registration Statement on Form 10 filed with the SEC on</w:t>
        </w:r>
      </w:hyperlink>
      <w:r>
        <w:rPr>
          <w:rFonts w:ascii="Times New Roman" w:cs="Times New Roman" w:eastAsia="Times New Roman" w:hAnsi="Times New Roman"/>
          <w:sz w:val="18"/>
          <w:szCs w:val="18"/>
          <w:u w:val="single" w:color="auto"/>
          <w:color w:val="0000EE"/>
        </w:rPr>
        <w:t xml:space="preserve"> </w:t>
      </w:r>
      <w:hyperlink r:id="rId457">
        <w:r>
          <w:rPr>
            <w:rFonts w:ascii="Times New Roman" w:cs="Times New Roman" w:eastAsia="Times New Roman" w:hAnsi="Times New Roman"/>
            <w:sz w:val="18"/>
            <w:szCs w:val="18"/>
            <w:u w:val="single" w:color="auto"/>
            <w:color w:val="0000EE"/>
          </w:rPr>
          <w:t>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1000" w:right="900" w:hanging="80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58">
        <w:r>
          <w:rPr>
            <w:rFonts w:ascii="Times New Roman" w:cs="Times New Roman" w:eastAsia="Times New Roman" w:hAnsi="Times New Roman"/>
            <w:sz w:val="18"/>
            <w:szCs w:val="18"/>
            <w:u w:val="single" w:color="auto"/>
            <w:color w:val="0000EE"/>
          </w:rPr>
          <w:t>Form of Certificate of Incorporation of the registrant (incorporated by reference to Exhibit 3.1 of GE Healthcare Holding LLC’s</w:t>
        </w:r>
      </w:hyperlink>
      <w:r>
        <w:rPr>
          <w:rFonts w:ascii="Times New Roman" w:cs="Times New Roman" w:eastAsia="Times New Roman" w:hAnsi="Times New Roman"/>
          <w:sz w:val="18"/>
          <w:szCs w:val="18"/>
          <w:u w:val="single" w:color="auto"/>
          <w:color w:val="0000EE"/>
        </w:rPr>
        <w:t xml:space="preserve"> </w:t>
      </w:r>
      <w:hyperlink r:id="rId458">
        <w:r>
          <w:rPr>
            <w:rFonts w:ascii="Times New Roman" w:cs="Times New Roman" w:eastAsia="Times New Roman" w:hAnsi="Times New Roman"/>
            <w:sz w:val="18"/>
            <w:szCs w:val="18"/>
            <w:u w:val="single" w:color="auto"/>
            <w:color w:val="0000EE"/>
          </w:rPr>
          <w:t>Registration Statement on Form 10 filed with the SEC on December 2, 2022, File No. 001-41528).</w:t>
        </w:r>
      </w:hyperlink>
    </w:p>
    <w:p>
      <w:pPr>
        <w:spacing w:after="0" w:line="54" w:lineRule="exact"/>
        <w:rPr>
          <w:sz w:val="20"/>
          <w:szCs w:val="20"/>
          <w:color w:val="auto"/>
        </w:rPr>
      </w:pPr>
    </w:p>
    <w:p>
      <w:pPr>
        <w:ind w:left="1000" w:right="420" w:hanging="80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459">
        <w:r>
          <w:rPr>
            <w:rFonts w:ascii="Times New Roman" w:cs="Times New Roman" w:eastAsia="Times New Roman" w:hAnsi="Times New Roman"/>
            <w:sz w:val="18"/>
            <w:szCs w:val="18"/>
            <w:u w:val="single" w:color="auto"/>
            <w:color w:val="0000EE"/>
          </w:rPr>
          <w:t>Form of Bylaws of the registrant (incorporated by reference to Exhibit 3.2 of GE Healthcare Holding LLC’s Registration Statement on</w:t>
        </w:r>
      </w:hyperlink>
      <w:r>
        <w:rPr>
          <w:rFonts w:ascii="Times New Roman" w:cs="Times New Roman" w:eastAsia="Times New Roman" w:hAnsi="Times New Roman"/>
          <w:sz w:val="18"/>
          <w:szCs w:val="18"/>
          <w:u w:val="single" w:color="auto"/>
          <w:color w:val="0000EE"/>
        </w:rPr>
        <w:t xml:space="preserve"> </w:t>
      </w:r>
      <w:hyperlink r:id="rId459">
        <w:r>
          <w:rPr>
            <w:rFonts w:ascii="Times New Roman" w:cs="Times New Roman" w:eastAsia="Times New Roman" w:hAnsi="Times New Roman"/>
            <w:sz w:val="18"/>
            <w:szCs w:val="18"/>
            <w:u w:val="single" w:color="auto"/>
            <w:color w:val="0000EE"/>
          </w:rPr>
          <w:t>Form 10 filed with the SEC on December 2, 2022, File No. 001-41528).</w:t>
        </w:r>
      </w:hyperlink>
    </w:p>
    <w:p>
      <w:pPr>
        <w:spacing w:after="0" w:line="54" w:lineRule="exact"/>
        <w:rPr>
          <w:sz w:val="20"/>
          <w:szCs w:val="20"/>
          <w:color w:val="auto"/>
        </w:rPr>
      </w:pPr>
    </w:p>
    <w:p>
      <w:pPr>
        <w:jc w:val="both"/>
        <w:ind w:left="1000" w:right="560" w:hanging="80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460">
        <w:r>
          <w:rPr>
            <w:rFonts w:ascii="Times New Roman" w:cs="Times New Roman" w:eastAsia="Times New Roman" w:hAnsi="Times New Roman"/>
            <w:sz w:val="18"/>
            <w:szCs w:val="18"/>
            <w:u w:val="single" w:color="auto"/>
            <w:color w:val="0000EE"/>
          </w:rPr>
          <w:t>Base Indenture, dated as of November 22, 2022, among GE Healthcare Holding LLC and The Bank of New York Mellon, as trustee</w:t>
        </w:r>
      </w:hyperlink>
      <w:r>
        <w:rPr>
          <w:rFonts w:ascii="Times New Roman" w:cs="Times New Roman" w:eastAsia="Times New Roman" w:hAnsi="Times New Roman"/>
          <w:sz w:val="18"/>
          <w:szCs w:val="18"/>
          <w:u w:val="single" w:color="auto"/>
          <w:color w:val="0000EE"/>
        </w:rPr>
        <w:t xml:space="preserve"> </w:t>
      </w:r>
      <w:hyperlink r:id="rId460">
        <w:r>
          <w:rPr>
            <w:rFonts w:ascii="Times New Roman" w:cs="Times New Roman" w:eastAsia="Times New Roman" w:hAnsi="Times New Roman"/>
            <w:sz w:val="18"/>
            <w:szCs w:val="18"/>
            <w:u w:val="single" w:color="auto"/>
            <w:color w:val="0000EE"/>
          </w:rPr>
          <w:t>(incorporated by reference to Exhibit 4.1 of GE Healthcare Holding LLC’s Registration Statement on Form 10 filed with the SEC on</w:t>
        </w:r>
      </w:hyperlink>
      <w:r>
        <w:rPr>
          <w:rFonts w:ascii="Times New Roman" w:cs="Times New Roman" w:eastAsia="Times New Roman" w:hAnsi="Times New Roman"/>
          <w:sz w:val="18"/>
          <w:szCs w:val="18"/>
          <w:u w:val="single" w:color="auto"/>
          <w:color w:val="0000EE"/>
        </w:rPr>
        <w:t xml:space="preserve"> </w:t>
      </w:r>
      <w:hyperlink r:id="rId460">
        <w:r>
          <w:rPr>
            <w:rFonts w:ascii="Times New Roman" w:cs="Times New Roman" w:eastAsia="Times New Roman" w:hAnsi="Times New Roman"/>
            <w:sz w:val="18"/>
            <w:szCs w:val="18"/>
            <w:u w:val="single" w:color="auto"/>
            <w:color w:val="0000EE"/>
          </w:rPr>
          <w:t>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1000" w:right="60" w:hanging="80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461">
        <w:r>
          <w:rPr>
            <w:rFonts w:ascii="Times New Roman" w:cs="Times New Roman" w:eastAsia="Times New Roman" w:hAnsi="Times New Roman"/>
            <w:sz w:val="18"/>
            <w:szCs w:val="18"/>
            <w:u w:val="single" w:color="auto"/>
            <w:color w:val="0000EE"/>
          </w:rPr>
          <w:t>First Supplemental Indenture, dated as of November 22, 2022, between GE Healthcare Holding LLC and The Bank of New York Mellon,</w:t>
        </w:r>
      </w:hyperlink>
      <w:r>
        <w:rPr>
          <w:rFonts w:ascii="Times New Roman" w:cs="Times New Roman" w:eastAsia="Times New Roman" w:hAnsi="Times New Roman"/>
          <w:sz w:val="18"/>
          <w:szCs w:val="18"/>
          <w:u w:val="single" w:color="auto"/>
          <w:color w:val="0000EE"/>
        </w:rPr>
        <w:t xml:space="preserve"> </w:t>
      </w:r>
      <w:hyperlink r:id="rId461">
        <w:r>
          <w:rPr>
            <w:rFonts w:ascii="Times New Roman" w:cs="Times New Roman" w:eastAsia="Times New Roman" w:hAnsi="Times New Roman"/>
            <w:sz w:val="18"/>
            <w:szCs w:val="18"/>
            <w:u w:val="single" w:color="auto"/>
            <w:color w:val="0000EE"/>
          </w:rPr>
          <w:t>as trustee (incorporated by reference to Exhibit 4.2 of GE Healthcare Holding LLC’s Registration Statement on Form 10 filed with the SEC</w:t>
        </w:r>
      </w:hyperlink>
      <w:r>
        <w:rPr>
          <w:rFonts w:ascii="Times New Roman" w:cs="Times New Roman" w:eastAsia="Times New Roman" w:hAnsi="Times New Roman"/>
          <w:sz w:val="18"/>
          <w:szCs w:val="18"/>
          <w:u w:val="single" w:color="auto"/>
          <w:color w:val="0000EE"/>
        </w:rPr>
        <w:t xml:space="preserve"> </w:t>
      </w:r>
      <w:hyperlink r:id="rId461">
        <w:r>
          <w:rPr>
            <w:rFonts w:ascii="Times New Roman" w:cs="Times New Roman" w:eastAsia="Times New Roman" w:hAnsi="Times New Roman"/>
            <w:sz w:val="18"/>
            <w:szCs w:val="18"/>
            <w:u w:val="single" w:color="auto"/>
            <w:color w:val="0000EE"/>
          </w:rPr>
          <w:t>on 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1000" w:right="200" w:hanging="80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462">
        <w:r>
          <w:rPr>
            <w:rFonts w:ascii="Times New Roman" w:cs="Times New Roman" w:eastAsia="Times New Roman" w:hAnsi="Times New Roman"/>
            <w:sz w:val="18"/>
            <w:szCs w:val="18"/>
            <w:u w:val="single" w:color="auto"/>
            <w:color w:val="0000EE"/>
          </w:rPr>
          <w:t>Registration Rights Agreement, dated as of November 22, 2022, among GE Healthcare Holding LLC, BofA Securities, Inc., and Morgan</w:t>
        </w:r>
      </w:hyperlink>
      <w:r>
        <w:rPr>
          <w:rFonts w:ascii="Times New Roman" w:cs="Times New Roman" w:eastAsia="Times New Roman" w:hAnsi="Times New Roman"/>
          <w:sz w:val="18"/>
          <w:szCs w:val="18"/>
          <w:u w:val="single" w:color="auto"/>
          <w:color w:val="0000EE"/>
        </w:rPr>
        <w:t xml:space="preserve"> </w:t>
      </w:r>
      <w:hyperlink r:id="rId462">
        <w:r>
          <w:rPr>
            <w:rFonts w:ascii="Times New Roman" w:cs="Times New Roman" w:eastAsia="Times New Roman" w:hAnsi="Times New Roman"/>
            <w:sz w:val="18"/>
            <w:szCs w:val="18"/>
            <w:u w:val="single" w:color="auto"/>
            <w:color w:val="0000EE"/>
          </w:rPr>
          <w:t>Stanley &amp; Co. LLC (incorporated by reference to Exhibit 4.3 of General Electric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462">
        <w:r>
          <w:rPr>
            <w:rFonts w:ascii="Times New Roman" w:cs="Times New Roman" w:eastAsia="Times New Roman" w:hAnsi="Times New Roman"/>
            <w:sz w:val="18"/>
            <w:szCs w:val="18"/>
            <w:u w:val="single" w:color="auto"/>
            <w:color w:val="0000EE"/>
          </w:rPr>
          <w:t>SEC on November 23, 2022).</w:t>
        </w:r>
      </w:hyperlink>
    </w:p>
    <w:p>
      <w:pPr>
        <w:spacing w:after="0" w:line="68" w:lineRule="exact"/>
        <w:rPr>
          <w:rFonts w:ascii="Times New Roman" w:cs="Times New Roman" w:eastAsia="Times New Roman" w:hAnsi="Times New Roman"/>
          <w:sz w:val="18"/>
          <w:szCs w:val="18"/>
          <w:u w:val="single" w:color="auto"/>
          <w:color w:val="0000EE"/>
        </w:rPr>
      </w:pPr>
    </w:p>
    <w:p>
      <w:pPr>
        <w:ind w:left="200"/>
        <w:spacing w:after="0"/>
        <w:tabs>
          <w:tab w:leader="none" w:pos="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Opinion of Paul, Weiss, Rifkind, Wharton &amp; Garrison LLP.*</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463">
        <w:r>
          <w:rPr>
            <w:rFonts w:ascii="Times New Roman" w:cs="Times New Roman" w:eastAsia="Times New Roman" w:hAnsi="Times New Roman"/>
            <w:sz w:val="17"/>
            <w:szCs w:val="17"/>
            <w:u w:val="single" w:color="auto"/>
            <w:color w:val="0000EE"/>
          </w:rPr>
          <w:t>Form of Transition Services Agreement, by and between General Electric Company and the registrant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1000"/>
        <w:spacing w:after="0"/>
        <w:rPr>
          <w:rFonts w:ascii="Times New Roman" w:cs="Times New Roman" w:eastAsia="Times New Roman" w:hAnsi="Times New Roman"/>
          <w:sz w:val="18"/>
          <w:szCs w:val="18"/>
          <w:u w:val="single" w:color="auto"/>
          <w:color w:val="0000EE"/>
        </w:rPr>
      </w:pPr>
      <w:hyperlink r:id="rId463">
        <w:r>
          <w:rPr>
            <w:rFonts w:ascii="Times New Roman" w:cs="Times New Roman" w:eastAsia="Times New Roman" w:hAnsi="Times New Roman"/>
            <w:sz w:val="18"/>
            <w:szCs w:val="18"/>
            <w:u w:val="single" w:color="auto"/>
            <w:color w:val="0000EE"/>
          </w:rPr>
          <w:t>10.1 of GE Healthcare Holding LLC’s Registration Statement on Form 10 filed with the SEC on December 2, 2022, File No. 001-41528).</w:t>
        </w:r>
      </w:hyperlink>
    </w:p>
    <w:p>
      <w:pPr>
        <w:spacing w:after="0" w:line="99" w:lineRule="exact"/>
        <w:rPr>
          <w:rFonts w:ascii="Times New Roman" w:cs="Times New Roman" w:eastAsia="Times New Roman" w:hAnsi="Times New Roman"/>
          <w:sz w:val="18"/>
          <w:szCs w:val="18"/>
          <w:u w:val="single" w:color="auto"/>
          <w:color w:val="0000EE"/>
        </w:rPr>
      </w:pPr>
    </w:p>
    <w:p>
      <w:pPr>
        <w:ind w:left="1000" w:right="4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464">
        <w:r>
          <w:rPr>
            <w:rFonts w:ascii="Times New Roman" w:cs="Times New Roman" w:eastAsia="Times New Roman" w:hAnsi="Times New Roman"/>
            <w:sz w:val="18"/>
            <w:szCs w:val="18"/>
            <w:u w:val="single" w:color="auto"/>
            <w:color w:val="0000EE"/>
          </w:rPr>
          <w:t>Form of Tax Matters Agreement, by and between General Electric Company and the registrant (incorporated by reference to Exhibit 10.2 of</w:t>
        </w:r>
      </w:hyperlink>
      <w:r>
        <w:rPr>
          <w:rFonts w:ascii="Times New Roman" w:cs="Times New Roman" w:eastAsia="Times New Roman" w:hAnsi="Times New Roman"/>
          <w:sz w:val="18"/>
          <w:szCs w:val="18"/>
          <w:u w:val="single" w:color="auto"/>
          <w:color w:val="0000EE"/>
        </w:rPr>
        <w:t xml:space="preserve"> </w:t>
      </w:r>
      <w:hyperlink r:id="rId464">
        <w:r>
          <w:rPr>
            <w:rFonts w:ascii="Times New Roman" w:cs="Times New Roman" w:eastAsia="Times New Roman" w:hAnsi="Times New Roman"/>
            <w:sz w:val="18"/>
            <w:szCs w:val="18"/>
            <w:u w:val="single" w:color="auto"/>
            <w:color w:val="0000EE"/>
          </w:rPr>
          <w:t>GE Healthcare Holding LLC’s Registration Statement on Form 10 filed with the SEC on December 2, 2022, File No. 001-41528).</w:t>
        </w:r>
      </w:hyperlink>
    </w:p>
    <w:p>
      <w:pPr>
        <w:spacing w:after="0" w:line="54" w:lineRule="exact"/>
        <w:rPr>
          <w:sz w:val="20"/>
          <w:szCs w:val="20"/>
          <w:color w:val="auto"/>
        </w:rPr>
      </w:pPr>
    </w:p>
    <w:p>
      <w:pPr>
        <w:ind w:left="12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465">
        <w:r>
          <w:rPr>
            <w:rFonts w:ascii="Times New Roman" w:cs="Times New Roman" w:eastAsia="Times New Roman" w:hAnsi="Times New Roman"/>
            <w:sz w:val="18"/>
            <w:szCs w:val="18"/>
            <w:u w:val="single" w:color="auto"/>
            <w:color w:val="0000EE"/>
          </w:rPr>
          <w:t>Form of Employee Matters Agreement, by and between General Electric Company and the registrant (incorporated by reference to Exhibit</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EE"/>
        </w:rPr>
      </w:pPr>
      <w:hyperlink r:id="rId465">
        <w:r>
          <w:rPr>
            <w:rFonts w:ascii="Times New Roman" w:cs="Times New Roman" w:eastAsia="Times New Roman" w:hAnsi="Times New Roman"/>
            <w:sz w:val="18"/>
            <w:szCs w:val="18"/>
            <w:u w:val="single" w:color="auto"/>
            <w:color w:val="0000EE"/>
          </w:rPr>
          <w:t>10.3 of GE Healthcare Holding LLC’s Registration Statement on Form 10 filed with the SEC on December 2, 2022, File No. 001-41528).</w:t>
        </w:r>
      </w:hyperlink>
    </w:p>
    <w:p>
      <w:pPr>
        <w:spacing w:after="0" w:line="99" w:lineRule="exact"/>
        <w:rPr>
          <w:sz w:val="20"/>
          <w:szCs w:val="20"/>
          <w:color w:val="auto"/>
        </w:rPr>
      </w:pPr>
    </w:p>
    <w:p>
      <w:pPr>
        <w:ind w:left="1000" w:right="280" w:hanging="89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466">
        <w:r>
          <w:rPr>
            <w:rFonts w:ascii="Times New Roman" w:cs="Times New Roman" w:eastAsia="Times New Roman" w:hAnsi="Times New Roman"/>
            <w:sz w:val="18"/>
            <w:szCs w:val="18"/>
            <w:u w:val="single" w:color="auto"/>
            <w:color w:val="0000EE"/>
          </w:rPr>
          <w:t>Form of Trademark License Agreement, by and between General Electric Company and a subsidiary of the registrant (incorporated by</w:t>
        </w:r>
      </w:hyperlink>
      <w:r>
        <w:rPr>
          <w:rFonts w:ascii="Times New Roman" w:cs="Times New Roman" w:eastAsia="Times New Roman" w:hAnsi="Times New Roman"/>
          <w:sz w:val="18"/>
          <w:szCs w:val="18"/>
          <w:u w:val="single" w:color="auto"/>
          <w:color w:val="0000EE"/>
        </w:rPr>
        <w:t xml:space="preserve"> </w:t>
      </w:r>
      <w:hyperlink r:id="rId466">
        <w:r>
          <w:rPr>
            <w:rFonts w:ascii="Times New Roman" w:cs="Times New Roman" w:eastAsia="Times New Roman" w:hAnsi="Times New Roman"/>
            <w:sz w:val="18"/>
            <w:szCs w:val="18"/>
            <w:u w:val="single" w:color="auto"/>
            <w:color w:val="0000EE"/>
          </w:rPr>
          <w:t>reference to Exhibit 10.4 of GE Healthcare Holding LLC’s Registration Statement on Form 10 filed with the SEC on December 2, 2022,</w:t>
        </w:r>
      </w:hyperlink>
      <w:r>
        <w:rPr>
          <w:rFonts w:ascii="Times New Roman" w:cs="Times New Roman" w:eastAsia="Times New Roman" w:hAnsi="Times New Roman"/>
          <w:sz w:val="18"/>
          <w:szCs w:val="18"/>
          <w:u w:val="single" w:color="auto"/>
          <w:color w:val="0000EE"/>
        </w:rPr>
        <w:t xml:space="preserve"> </w:t>
      </w:r>
      <w:hyperlink r:id="rId466">
        <w:r>
          <w:rPr>
            <w:rFonts w:ascii="Times New Roman" w:cs="Times New Roman" w:eastAsia="Times New Roman" w:hAnsi="Times New Roman"/>
            <w:sz w:val="18"/>
            <w:szCs w:val="18"/>
            <w:u w:val="single" w:color="auto"/>
            <w:color w:val="0000EE"/>
          </w:rPr>
          <w:t>File No. 001-41528).†</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ind w:left="12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468">
        <w:r>
          <w:rPr>
            <w:rFonts w:ascii="Times New Roman" w:cs="Times New Roman" w:eastAsia="Times New Roman" w:hAnsi="Times New Roman"/>
            <w:sz w:val="18"/>
            <w:szCs w:val="18"/>
            <w:u w:val="single" w:color="auto"/>
            <w:color w:val="0000EE"/>
          </w:rPr>
          <w:t>Form of Real Estate Matters Agreement, by and between General Electric Company and the registrant (incorporated by reference to Exhibit</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EE"/>
        </w:rPr>
      </w:pPr>
      <w:hyperlink r:id="rId468">
        <w:r>
          <w:rPr>
            <w:rFonts w:ascii="Times New Roman" w:cs="Times New Roman" w:eastAsia="Times New Roman" w:hAnsi="Times New Roman"/>
            <w:sz w:val="18"/>
            <w:szCs w:val="18"/>
            <w:u w:val="single" w:color="auto"/>
            <w:color w:val="0000EE"/>
          </w:rPr>
          <w:t>10.5 of GE Healthcare Holding LLC’s Registration Statement on Form 10 filed with the SEC on December 2, 2022, File No. 001-41528).†</w:t>
        </w:r>
      </w:hyperlink>
    </w:p>
    <w:p>
      <w:pPr>
        <w:spacing w:after="0" w:line="99" w:lineRule="exact"/>
        <w:rPr>
          <w:sz w:val="20"/>
          <w:szCs w:val="20"/>
          <w:color w:val="auto"/>
        </w:rPr>
      </w:pPr>
    </w:p>
    <w:p>
      <w:pPr>
        <w:jc w:val="both"/>
        <w:ind w:left="1000" w:right="240" w:hanging="89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469">
        <w:r>
          <w:rPr>
            <w:rFonts w:ascii="Times New Roman" w:cs="Times New Roman" w:eastAsia="Times New Roman" w:hAnsi="Times New Roman"/>
            <w:sz w:val="18"/>
            <w:szCs w:val="18"/>
            <w:u w:val="single" w:color="auto"/>
            <w:color w:val="0000EE"/>
          </w:rPr>
          <w:t>Form of Stockholder and Registration Rights Agreement, by and between General Electric Company and the registrant (incorporated by</w:t>
        </w:r>
      </w:hyperlink>
      <w:r>
        <w:rPr>
          <w:rFonts w:ascii="Times New Roman" w:cs="Times New Roman" w:eastAsia="Times New Roman" w:hAnsi="Times New Roman"/>
          <w:sz w:val="18"/>
          <w:szCs w:val="18"/>
          <w:u w:val="single" w:color="auto"/>
          <w:color w:val="0000EE"/>
        </w:rPr>
        <w:t xml:space="preserve"> </w:t>
      </w:r>
      <w:hyperlink r:id="rId469">
        <w:r>
          <w:rPr>
            <w:rFonts w:ascii="Times New Roman" w:cs="Times New Roman" w:eastAsia="Times New Roman" w:hAnsi="Times New Roman"/>
            <w:sz w:val="18"/>
            <w:szCs w:val="18"/>
            <w:u w:val="single" w:color="auto"/>
            <w:color w:val="0000EE"/>
          </w:rPr>
          <w:t>reference to Exhibit 10.6 of GE Healthcare Holding LLC’s Registration Statement on Form 10 filed with the SEC on December 2, 2022,</w:t>
        </w:r>
      </w:hyperlink>
      <w:r>
        <w:rPr>
          <w:rFonts w:ascii="Times New Roman" w:cs="Times New Roman" w:eastAsia="Times New Roman" w:hAnsi="Times New Roman"/>
          <w:sz w:val="18"/>
          <w:szCs w:val="18"/>
          <w:u w:val="single" w:color="auto"/>
          <w:color w:val="0000EE"/>
        </w:rPr>
        <w:t xml:space="preserve"> </w:t>
      </w:r>
      <w:hyperlink r:id="rId469">
        <w:r>
          <w:rPr>
            <w:rFonts w:ascii="Times New Roman" w:cs="Times New Roman" w:eastAsia="Times New Roman" w:hAnsi="Times New Roman"/>
            <w:sz w:val="18"/>
            <w:szCs w:val="18"/>
            <w:u w:val="single" w:color="auto"/>
            <w:color w:val="0000EE"/>
          </w:rPr>
          <w:t>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1000" w:right="2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470">
        <w:r>
          <w:rPr>
            <w:rFonts w:ascii="Times New Roman" w:cs="Times New Roman" w:eastAsia="Times New Roman" w:hAnsi="Times New Roman"/>
            <w:sz w:val="18"/>
            <w:szCs w:val="18"/>
            <w:u w:val="single" w:color="auto"/>
            <w:color w:val="0000EE"/>
          </w:rPr>
          <w:t>Form of Indemnification Agreement (incorporated by reference to Exhibit 10.7 of GE Healthcare Holding LLC’s Registration Statement on</w:t>
        </w:r>
      </w:hyperlink>
      <w:r>
        <w:rPr>
          <w:rFonts w:ascii="Times New Roman" w:cs="Times New Roman" w:eastAsia="Times New Roman" w:hAnsi="Times New Roman"/>
          <w:sz w:val="18"/>
          <w:szCs w:val="18"/>
          <w:u w:val="single" w:color="auto"/>
          <w:color w:val="0000EE"/>
        </w:rPr>
        <w:t xml:space="preserve"> </w:t>
      </w:r>
      <w:hyperlink r:id="rId470">
        <w:r>
          <w:rPr>
            <w:rFonts w:ascii="Times New Roman" w:cs="Times New Roman" w:eastAsia="Times New Roman" w:hAnsi="Times New Roman"/>
            <w:sz w:val="18"/>
            <w:szCs w:val="18"/>
            <w:u w:val="single" w:color="auto"/>
            <w:color w:val="0000EE"/>
          </w:rPr>
          <w:t>Form 10 filed with the SEC on December 2, 2022, File No. 001-41528).</w:t>
        </w:r>
      </w:hyperlink>
    </w:p>
    <w:p>
      <w:pPr>
        <w:spacing w:after="0" w:line="54" w:lineRule="exact"/>
        <w:rPr>
          <w:sz w:val="20"/>
          <w:szCs w:val="20"/>
          <w:color w:val="auto"/>
        </w:rPr>
      </w:pPr>
    </w:p>
    <w:p>
      <w:pPr>
        <w:ind w:left="1000" w:right="100" w:hanging="89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471">
        <w:r>
          <w:rPr>
            <w:rFonts w:ascii="Times New Roman" w:cs="Times New Roman" w:eastAsia="Times New Roman" w:hAnsi="Times New Roman"/>
            <w:sz w:val="18"/>
            <w:szCs w:val="18"/>
            <w:u w:val="single" w:color="auto"/>
            <w:color w:val="0000EE"/>
          </w:rPr>
          <w:t>Term Loan Agreement, dated as of November 4, 2022, by and among GE Healthcare Holding LLC, as the borrower, the lenders from time</w:t>
        </w:r>
      </w:hyperlink>
      <w:r>
        <w:rPr>
          <w:rFonts w:ascii="Times New Roman" w:cs="Times New Roman" w:eastAsia="Times New Roman" w:hAnsi="Times New Roman"/>
          <w:sz w:val="18"/>
          <w:szCs w:val="18"/>
          <w:u w:val="single" w:color="auto"/>
          <w:color w:val="0000EE"/>
        </w:rPr>
        <w:t xml:space="preserve"> </w:t>
      </w:r>
      <w:hyperlink r:id="rId471">
        <w:r>
          <w:rPr>
            <w:rFonts w:ascii="Times New Roman" w:cs="Times New Roman" w:eastAsia="Times New Roman" w:hAnsi="Times New Roman"/>
            <w:sz w:val="18"/>
            <w:szCs w:val="18"/>
            <w:u w:val="single" w:color="auto"/>
            <w:color w:val="0000EE"/>
          </w:rPr>
          <w:t>to time party thereto and Citibank, N.A., as administrative agent (incorporated by reference to Exhibit 10.8 of GE Healthcare Holding</w:t>
        </w:r>
      </w:hyperlink>
      <w:r>
        <w:rPr>
          <w:rFonts w:ascii="Times New Roman" w:cs="Times New Roman" w:eastAsia="Times New Roman" w:hAnsi="Times New Roman"/>
          <w:sz w:val="18"/>
          <w:szCs w:val="18"/>
          <w:u w:val="single" w:color="auto"/>
          <w:color w:val="0000EE"/>
        </w:rPr>
        <w:t xml:space="preserve"> </w:t>
      </w:r>
      <w:hyperlink r:id="rId471">
        <w:r>
          <w:rPr>
            <w:rFonts w:ascii="Times New Roman" w:cs="Times New Roman" w:eastAsia="Times New Roman" w:hAnsi="Times New Roman"/>
            <w:sz w:val="18"/>
            <w:szCs w:val="18"/>
            <w:u w:val="single" w:color="auto"/>
            <w:color w:val="0000EE"/>
          </w:rPr>
          <w:t>LLC’s Registration Statement on Form 10 filed with the SEC on 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1000" w:right="300" w:hanging="89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472">
        <w:r>
          <w:rPr>
            <w:rFonts w:ascii="Times New Roman" w:cs="Times New Roman" w:eastAsia="Times New Roman" w:hAnsi="Times New Roman"/>
            <w:sz w:val="18"/>
            <w:szCs w:val="18"/>
            <w:u w:val="single" w:color="auto"/>
            <w:color w:val="0000EE"/>
          </w:rPr>
          <w:t>364-Day Revolving Credit Agreement, dated as of November 4, 2022, by and among GE Healthcare Holding LLC, as the borrower, the</w:t>
        </w:r>
      </w:hyperlink>
      <w:r>
        <w:rPr>
          <w:rFonts w:ascii="Times New Roman" w:cs="Times New Roman" w:eastAsia="Times New Roman" w:hAnsi="Times New Roman"/>
          <w:sz w:val="18"/>
          <w:szCs w:val="18"/>
          <w:u w:val="single" w:color="auto"/>
          <w:color w:val="0000EE"/>
        </w:rPr>
        <w:t xml:space="preserve"> </w:t>
      </w:r>
      <w:hyperlink r:id="rId472">
        <w:r>
          <w:rPr>
            <w:rFonts w:ascii="Times New Roman" w:cs="Times New Roman" w:eastAsia="Times New Roman" w:hAnsi="Times New Roman"/>
            <w:sz w:val="18"/>
            <w:szCs w:val="18"/>
            <w:u w:val="single" w:color="auto"/>
            <w:color w:val="0000EE"/>
          </w:rPr>
          <w:t>lenders from time to time party thereto and Citibank, N.A., as administrative agent (incorporated by reference to Exhibit 10.9 of GE</w:t>
        </w:r>
      </w:hyperlink>
      <w:r>
        <w:rPr>
          <w:rFonts w:ascii="Times New Roman" w:cs="Times New Roman" w:eastAsia="Times New Roman" w:hAnsi="Times New Roman"/>
          <w:sz w:val="18"/>
          <w:szCs w:val="18"/>
          <w:u w:val="single" w:color="auto"/>
          <w:color w:val="0000EE"/>
        </w:rPr>
        <w:t xml:space="preserve"> </w:t>
      </w:r>
      <w:hyperlink r:id="rId472">
        <w:r>
          <w:rPr>
            <w:rFonts w:ascii="Times New Roman" w:cs="Times New Roman" w:eastAsia="Times New Roman" w:hAnsi="Times New Roman"/>
            <w:sz w:val="18"/>
            <w:szCs w:val="18"/>
            <w:u w:val="single" w:color="auto"/>
            <w:color w:val="0000EE"/>
          </w:rPr>
          <w:t>Healthcare Holding LLC’s Registration Statement on Form 10 filed with the SEC on 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1000" w:right="20" w:hanging="89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473">
        <w:r>
          <w:rPr>
            <w:rFonts w:ascii="Times New Roman" w:cs="Times New Roman" w:eastAsia="Times New Roman" w:hAnsi="Times New Roman"/>
            <w:sz w:val="18"/>
            <w:szCs w:val="18"/>
            <w:u w:val="single" w:color="auto"/>
            <w:color w:val="0000EE"/>
          </w:rPr>
          <w:t>Credit Agreement, dated as of November 4, 2022, by and among GE Healthcare Holding LLC, as the borrower, the lenders from time to</w:t>
        </w:r>
      </w:hyperlink>
      <w:r>
        <w:rPr>
          <w:rFonts w:ascii="Times New Roman" w:cs="Times New Roman" w:eastAsia="Times New Roman" w:hAnsi="Times New Roman"/>
          <w:sz w:val="18"/>
          <w:szCs w:val="18"/>
          <w:u w:val="single" w:color="auto"/>
          <w:color w:val="0000EE"/>
        </w:rPr>
        <w:t xml:space="preserve"> </w:t>
      </w:r>
      <w:hyperlink r:id="rId473">
        <w:r>
          <w:rPr>
            <w:rFonts w:ascii="Times New Roman" w:cs="Times New Roman" w:eastAsia="Times New Roman" w:hAnsi="Times New Roman"/>
            <w:sz w:val="18"/>
            <w:szCs w:val="18"/>
            <w:u w:val="single" w:color="auto"/>
            <w:color w:val="0000EE"/>
          </w:rPr>
          <w:t>time party thereto and Citibank, N.A., as administrative agent (incorporated by reference to Exhibit 10.10 of GE Healthcare Holding LLC’s</w:t>
        </w:r>
      </w:hyperlink>
      <w:r>
        <w:rPr>
          <w:rFonts w:ascii="Times New Roman" w:cs="Times New Roman" w:eastAsia="Times New Roman" w:hAnsi="Times New Roman"/>
          <w:sz w:val="18"/>
          <w:szCs w:val="18"/>
          <w:u w:val="single" w:color="auto"/>
          <w:color w:val="0000EE"/>
        </w:rPr>
        <w:t xml:space="preserve"> </w:t>
      </w:r>
      <w:hyperlink r:id="rId473">
        <w:r>
          <w:rPr>
            <w:rFonts w:ascii="Times New Roman" w:cs="Times New Roman" w:eastAsia="Times New Roman" w:hAnsi="Times New Roman"/>
            <w:sz w:val="18"/>
            <w:szCs w:val="18"/>
            <w:u w:val="single" w:color="auto"/>
            <w:color w:val="0000EE"/>
          </w:rPr>
          <w:t>Registration Statement on Form 10 filed with the SEC on 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u w:val="single" w:color="auto"/>
          <w:color w:val="0000EE"/>
        </w:rPr>
        <w:t>GE HealthCare 2023 Long-Term Incentive Plan.</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0000EE"/>
        </w:rPr>
        <w:t>GE HealthCare Mirror 2022 Long-Term Incentive Plan.</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u w:val="single" w:color="auto"/>
          <w:color w:val="0000EE"/>
        </w:rPr>
        <w:t>GE HealthCare Mirror 2007 Long-Term Incentive Plan.</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7"/>
          <w:szCs w:val="17"/>
          <w:u w:val="single" w:color="auto"/>
          <w:color w:val="0000EE"/>
        </w:rPr>
        <w:t>GE HealthCare Mirror 1990 Long-Term Incentive Plan.</w:t>
      </w:r>
    </w:p>
    <w:p>
      <w:pPr>
        <w:spacing w:after="0" w:line="117" w:lineRule="exact"/>
        <w:rPr>
          <w:rFonts w:ascii="Times New Roman" w:cs="Times New Roman" w:eastAsia="Times New Roman" w:hAnsi="Times New Roman"/>
          <w:sz w:val="18"/>
          <w:szCs w:val="18"/>
          <w:u w:val="single" w:color="auto"/>
          <w:color w:val="0000EE"/>
        </w:rPr>
      </w:pPr>
    </w:p>
    <w:p>
      <w:pPr>
        <w:ind w:left="1000" w:right="48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474">
        <w:r>
          <w:rPr>
            <w:rFonts w:ascii="Times New Roman" w:cs="Times New Roman" w:eastAsia="Times New Roman" w:hAnsi="Times New Roman"/>
            <w:sz w:val="18"/>
            <w:szCs w:val="18"/>
            <w:u w:val="single" w:color="auto"/>
            <w:color w:val="0000EE"/>
          </w:rPr>
          <w:t>Offer Letter with Peter J. Arduini, dated June 15, 2021 (incorporated by reference to Exhibit 10.15 of GE Healthcare Holding LLC’s</w:t>
        </w:r>
      </w:hyperlink>
      <w:r>
        <w:rPr>
          <w:rFonts w:ascii="Times New Roman" w:cs="Times New Roman" w:eastAsia="Times New Roman" w:hAnsi="Times New Roman"/>
          <w:sz w:val="18"/>
          <w:szCs w:val="18"/>
          <w:u w:val="single" w:color="auto"/>
          <w:color w:val="0000EE"/>
        </w:rPr>
        <w:t xml:space="preserve"> </w:t>
      </w:r>
      <w:hyperlink r:id="rId474">
        <w:r>
          <w:rPr>
            <w:rFonts w:ascii="Times New Roman" w:cs="Times New Roman" w:eastAsia="Times New Roman" w:hAnsi="Times New Roman"/>
            <w:sz w:val="18"/>
            <w:szCs w:val="18"/>
            <w:u w:val="single" w:color="auto"/>
            <w:color w:val="0000EE"/>
          </w:rPr>
          <w:t>Registration Statement on Form 10 filed with the SEC on December 2, 2022, File No. 001-41528).</w:t>
        </w:r>
      </w:hyperlink>
    </w:p>
    <w:p>
      <w:pPr>
        <w:spacing w:after="0" w:line="54" w:lineRule="exact"/>
        <w:rPr>
          <w:sz w:val="20"/>
          <w:szCs w:val="20"/>
          <w:color w:val="auto"/>
        </w:rPr>
      </w:pPr>
    </w:p>
    <w:p>
      <w:pPr>
        <w:ind w:left="1000" w:right="46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475">
        <w:r>
          <w:rPr>
            <w:rFonts w:ascii="Times New Roman" w:cs="Times New Roman" w:eastAsia="Times New Roman" w:hAnsi="Times New Roman"/>
            <w:sz w:val="18"/>
            <w:szCs w:val="18"/>
            <w:u w:val="single" w:color="auto"/>
            <w:color w:val="0000EE"/>
          </w:rPr>
          <w:t>Amended Offer Letter with Peter J. Arduini, dated November 16, 2022 (incorporated by reference to Exhibit 10.16 of GE Healthcare</w:t>
        </w:r>
      </w:hyperlink>
      <w:r>
        <w:rPr>
          <w:rFonts w:ascii="Times New Roman" w:cs="Times New Roman" w:eastAsia="Times New Roman" w:hAnsi="Times New Roman"/>
          <w:sz w:val="18"/>
          <w:szCs w:val="18"/>
          <w:u w:val="single" w:color="auto"/>
          <w:color w:val="0000EE"/>
        </w:rPr>
        <w:t xml:space="preserve"> </w:t>
      </w:r>
      <w:hyperlink r:id="rId475">
        <w:r>
          <w:rPr>
            <w:rFonts w:ascii="Times New Roman" w:cs="Times New Roman" w:eastAsia="Times New Roman" w:hAnsi="Times New Roman"/>
            <w:sz w:val="18"/>
            <w:szCs w:val="18"/>
            <w:u w:val="single" w:color="auto"/>
            <w:color w:val="0000EE"/>
          </w:rPr>
          <w:t>Holding LLC’s Registration Statement on Form 10 filed with the SEC on December 2, 2022, File No. 001-41528).</w:t>
        </w:r>
      </w:hyperlink>
    </w:p>
    <w:p>
      <w:pPr>
        <w:spacing w:after="0" w:line="54" w:lineRule="exact"/>
        <w:rPr>
          <w:sz w:val="20"/>
          <w:szCs w:val="20"/>
          <w:color w:val="auto"/>
        </w:rPr>
      </w:pPr>
    </w:p>
    <w:p>
      <w:pPr>
        <w:ind w:left="1000" w:right="50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476">
        <w:r>
          <w:rPr>
            <w:rFonts w:ascii="Times New Roman" w:cs="Times New Roman" w:eastAsia="Times New Roman" w:hAnsi="Times New Roman"/>
            <w:sz w:val="18"/>
            <w:szCs w:val="18"/>
            <w:u w:val="single" w:color="auto"/>
            <w:color w:val="0000EE"/>
          </w:rPr>
          <w:t>Settlement Agreement with Kieran Murphy, dated December 21, 2021 (incorporated by reference to Exhibit 10.17 of GE Healthcare</w:t>
        </w:r>
      </w:hyperlink>
      <w:r>
        <w:rPr>
          <w:rFonts w:ascii="Times New Roman" w:cs="Times New Roman" w:eastAsia="Times New Roman" w:hAnsi="Times New Roman"/>
          <w:sz w:val="18"/>
          <w:szCs w:val="18"/>
          <w:u w:val="single" w:color="auto"/>
          <w:color w:val="0000EE"/>
        </w:rPr>
        <w:t xml:space="preserve"> </w:t>
      </w:r>
      <w:hyperlink r:id="rId476">
        <w:r>
          <w:rPr>
            <w:rFonts w:ascii="Times New Roman" w:cs="Times New Roman" w:eastAsia="Times New Roman" w:hAnsi="Times New Roman"/>
            <w:sz w:val="18"/>
            <w:szCs w:val="18"/>
            <w:u w:val="single" w:color="auto"/>
            <w:color w:val="0000EE"/>
          </w:rPr>
          <w:t>Holding LLC’s Registration Statement on Form 10 filed with the SEC on December 2, 2022, File No. 001-41528).</w:t>
        </w:r>
      </w:hyperlink>
    </w:p>
    <w:p>
      <w:pPr>
        <w:spacing w:after="0" w:line="54" w:lineRule="exact"/>
        <w:rPr>
          <w:sz w:val="20"/>
          <w:szCs w:val="20"/>
          <w:color w:val="auto"/>
        </w:rPr>
      </w:pPr>
    </w:p>
    <w:p>
      <w:pPr>
        <w:ind w:left="12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477">
        <w:r>
          <w:rPr>
            <w:rFonts w:ascii="Times New Roman" w:cs="Times New Roman" w:eastAsia="Times New Roman" w:hAnsi="Times New Roman"/>
            <w:sz w:val="18"/>
            <w:szCs w:val="18"/>
            <w:u w:val="single" w:color="auto"/>
            <w:color w:val="0000EE"/>
          </w:rPr>
          <w:t>Performance Share Grant Agreement for H. Lawrence Culp, Jr., dated August 18, 2020 (incorporated by reference to Exhibit 10.18 of GE</w:t>
        </w:r>
      </w:hyperlink>
    </w:p>
    <w:p>
      <w:pPr>
        <w:spacing w:after="0" w:line="27" w:lineRule="exact"/>
        <w:rPr>
          <w:sz w:val="20"/>
          <w:szCs w:val="20"/>
          <w:color w:val="auto"/>
        </w:rPr>
      </w:pPr>
    </w:p>
    <w:p>
      <w:pPr>
        <w:jc w:val="center"/>
        <w:spacing w:after="0"/>
        <w:rPr>
          <w:rFonts w:ascii="Times New Roman" w:cs="Times New Roman" w:eastAsia="Times New Roman" w:hAnsi="Times New Roman"/>
          <w:sz w:val="18"/>
          <w:szCs w:val="18"/>
          <w:u w:val="single" w:color="auto"/>
          <w:color w:val="0000EE"/>
        </w:rPr>
      </w:pPr>
      <w:hyperlink r:id="rId477">
        <w:r>
          <w:rPr>
            <w:rFonts w:ascii="Times New Roman" w:cs="Times New Roman" w:eastAsia="Times New Roman" w:hAnsi="Times New Roman"/>
            <w:sz w:val="18"/>
            <w:szCs w:val="18"/>
            <w:u w:val="single" w:color="auto"/>
            <w:color w:val="0000EE"/>
          </w:rPr>
          <w:t>Healthcare Holding LLC’s Registration Statement on Form 10 filed with the SEC on December 2, 2022, File No. 001-41528).</w:t>
        </w:r>
      </w:hyperlink>
    </w:p>
    <w:p>
      <w:pPr>
        <w:spacing w:after="0" w:line="99" w:lineRule="exact"/>
        <w:rPr>
          <w:sz w:val="20"/>
          <w:szCs w:val="20"/>
          <w:color w:val="auto"/>
        </w:rPr>
      </w:pPr>
    </w:p>
    <w:p>
      <w:pPr>
        <w:ind w:left="1000" w:right="160" w:hanging="89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478">
        <w:r>
          <w:rPr>
            <w:rFonts w:ascii="Times New Roman" w:cs="Times New Roman" w:eastAsia="Times New Roman" w:hAnsi="Times New Roman"/>
            <w:sz w:val="18"/>
            <w:szCs w:val="18"/>
            <w:u w:val="single" w:color="auto"/>
            <w:color w:val="0000EE"/>
          </w:rPr>
          <w:t>Notice of Adjustment to the Performance Share Grant Agreement for H. Lawrence Culp, Jr., effective July 30, 2021 (incorporated by</w:t>
        </w:r>
      </w:hyperlink>
      <w:r>
        <w:rPr>
          <w:rFonts w:ascii="Times New Roman" w:cs="Times New Roman" w:eastAsia="Times New Roman" w:hAnsi="Times New Roman"/>
          <w:sz w:val="18"/>
          <w:szCs w:val="18"/>
          <w:u w:val="single" w:color="auto"/>
          <w:color w:val="0000EE"/>
        </w:rPr>
        <w:t xml:space="preserve"> </w:t>
      </w:r>
      <w:hyperlink r:id="rId478">
        <w:r>
          <w:rPr>
            <w:rFonts w:ascii="Times New Roman" w:cs="Times New Roman" w:eastAsia="Times New Roman" w:hAnsi="Times New Roman"/>
            <w:sz w:val="18"/>
            <w:szCs w:val="18"/>
            <w:u w:val="single" w:color="auto"/>
            <w:color w:val="0000EE"/>
          </w:rPr>
          <w:t>reference to Exhibit 10.19 of GE Healthcare Holding LLC’s Registration Statement on Form 10 filed with the SEC on December 2, 2022,</w:t>
        </w:r>
      </w:hyperlink>
      <w:r>
        <w:rPr>
          <w:rFonts w:ascii="Times New Roman" w:cs="Times New Roman" w:eastAsia="Times New Roman" w:hAnsi="Times New Roman"/>
          <w:sz w:val="18"/>
          <w:szCs w:val="18"/>
          <w:u w:val="single" w:color="auto"/>
          <w:color w:val="0000EE"/>
        </w:rPr>
        <w:t xml:space="preserve"> </w:t>
      </w:r>
      <w:hyperlink r:id="rId478">
        <w:r>
          <w:rPr>
            <w:rFonts w:ascii="Times New Roman" w:cs="Times New Roman" w:eastAsia="Times New Roman" w:hAnsi="Times New Roman"/>
            <w:sz w:val="18"/>
            <w:szCs w:val="18"/>
            <w:u w:val="single" w:color="auto"/>
            <w:color w:val="0000EE"/>
          </w:rPr>
          <w:t>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479">
        <w:r>
          <w:rPr>
            <w:rFonts w:ascii="Times New Roman" w:cs="Times New Roman" w:eastAsia="Times New Roman" w:hAnsi="Times New Roman"/>
            <w:sz w:val="18"/>
            <w:szCs w:val="18"/>
            <w:u w:val="single" w:color="auto"/>
            <w:color w:val="0000EE"/>
          </w:rPr>
          <w:t>Performance Stock Unit Grant Agreement for Peter J. Arduini, dated February 23, 2022 (incorporated by reference to Exhibit 10.20 of GE</w:t>
        </w:r>
      </w:hyperlink>
    </w:p>
    <w:p>
      <w:pPr>
        <w:spacing w:after="0" w:line="27" w:lineRule="exact"/>
        <w:rPr>
          <w:rFonts w:ascii="Times New Roman" w:cs="Times New Roman" w:eastAsia="Times New Roman" w:hAnsi="Times New Roman"/>
          <w:sz w:val="18"/>
          <w:szCs w:val="18"/>
          <w:u w:val="single" w:color="auto"/>
          <w:color w:val="0000EE"/>
        </w:rPr>
      </w:pPr>
    </w:p>
    <w:p>
      <w:pPr>
        <w:jc w:val="center"/>
        <w:spacing w:after="0"/>
        <w:rPr>
          <w:rFonts w:ascii="Times New Roman" w:cs="Times New Roman" w:eastAsia="Times New Roman" w:hAnsi="Times New Roman"/>
          <w:sz w:val="18"/>
          <w:szCs w:val="18"/>
          <w:u w:val="single" w:color="auto"/>
          <w:color w:val="0000EE"/>
        </w:rPr>
      </w:pPr>
      <w:hyperlink r:id="rId479">
        <w:r>
          <w:rPr>
            <w:rFonts w:ascii="Times New Roman" w:cs="Times New Roman" w:eastAsia="Times New Roman" w:hAnsi="Times New Roman"/>
            <w:sz w:val="18"/>
            <w:szCs w:val="18"/>
            <w:u w:val="single" w:color="auto"/>
            <w:color w:val="0000EE"/>
          </w:rPr>
          <w:t>Healthcare Holding LLC’s Registration Statement on Form 10 filed with the SEC on December 2, 2022, File No. 001-41528).</w:t>
        </w:r>
      </w:hyperlink>
    </w:p>
    <w:p>
      <w:pPr>
        <w:spacing w:after="0" w:line="139" w:lineRule="exact"/>
        <w:rPr>
          <w:rFonts w:ascii="Times New Roman" w:cs="Times New Roman" w:eastAsia="Times New Roman" w:hAnsi="Times New Roman"/>
          <w:sz w:val="18"/>
          <w:szCs w:val="18"/>
          <w:u w:val="single" w:color="auto"/>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5" w:right="4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ind w:left="100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481">
        <w:r>
          <w:rPr>
            <w:rFonts w:ascii="Times New Roman" w:cs="Times New Roman" w:eastAsia="Times New Roman" w:hAnsi="Times New Roman"/>
            <w:sz w:val="18"/>
            <w:szCs w:val="18"/>
            <w:u w:val="single" w:color="auto"/>
            <w:color w:val="0000EE"/>
          </w:rPr>
          <w:t>GE HealthCare Annual Executive Incentive Plan (incorporated by reference to Exhibit 10.21 of GE Healthcare Holding LLC’s Registration</w:t>
        </w:r>
      </w:hyperlink>
      <w:r>
        <w:rPr>
          <w:rFonts w:ascii="Times New Roman" w:cs="Times New Roman" w:eastAsia="Times New Roman" w:hAnsi="Times New Roman"/>
          <w:sz w:val="18"/>
          <w:szCs w:val="18"/>
          <w:u w:val="single" w:color="auto"/>
          <w:color w:val="0000EE"/>
        </w:rPr>
        <w:t xml:space="preserve"> </w:t>
      </w:r>
      <w:hyperlink r:id="rId481">
        <w:r>
          <w:rPr>
            <w:rFonts w:ascii="Times New Roman" w:cs="Times New Roman" w:eastAsia="Times New Roman" w:hAnsi="Times New Roman"/>
            <w:sz w:val="18"/>
            <w:szCs w:val="18"/>
            <w:u w:val="single" w:color="auto"/>
            <w:color w:val="0000EE"/>
          </w:rPr>
          <w:t>Statement on Form 10 filed with the SEC on December 2, 2022, File No. 001-41528).</w:t>
        </w:r>
      </w:hyperlink>
    </w:p>
    <w:p>
      <w:pPr>
        <w:spacing w:after="0" w:line="54" w:lineRule="exact"/>
        <w:rPr>
          <w:sz w:val="20"/>
          <w:szCs w:val="20"/>
          <w:color w:val="auto"/>
        </w:rPr>
      </w:pPr>
    </w:p>
    <w:p>
      <w:pPr>
        <w:ind w:left="1000" w:right="18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482">
        <w:r>
          <w:rPr>
            <w:rFonts w:ascii="Times New Roman" w:cs="Times New Roman" w:eastAsia="Times New Roman" w:hAnsi="Times New Roman"/>
            <w:sz w:val="18"/>
            <w:szCs w:val="18"/>
            <w:u w:val="single" w:color="auto"/>
            <w:color w:val="0000EE"/>
          </w:rPr>
          <w:t>GE HealthCare Restoration Plan (incorporated by reference to Exhibit 10.22 of GE Healthcare Holding LLC’s Registration Statement on</w:t>
        </w:r>
      </w:hyperlink>
      <w:r>
        <w:rPr>
          <w:rFonts w:ascii="Times New Roman" w:cs="Times New Roman" w:eastAsia="Times New Roman" w:hAnsi="Times New Roman"/>
          <w:sz w:val="18"/>
          <w:szCs w:val="18"/>
          <w:u w:val="single" w:color="auto"/>
          <w:color w:val="0000EE"/>
        </w:rPr>
        <w:t xml:space="preserve"> </w:t>
      </w:r>
      <w:hyperlink r:id="rId482">
        <w:r>
          <w:rPr>
            <w:rFonts w:ascii="Times New Roman" w:cs="Times New Roman" w:eastAsia="Times New Roman" w:hAnsi="Times New Roman"/>
            <w:sz w:val="18"/>
            <w:szCs w:val="18"/>
            <w:u w:val="single" w:color="auto"/>
            <w:color w:val="0000EE"/>
          </w:rPr>
          <w:t>Form 10 filed with the SEC on December 2, 2022, File No. 001-41528).</w:t>
        </w:r>
      </w:hyperlink>
    </w:p>
    <w:p>
      <w:pPr>
        <w:spacing w:after="0" w:line="54" w:lineRule="exact"/>
        <w:rPr>
          <w:sz w:val="20"/>
          <w:szCs w:val="20"/>
          <w:color w:val="auto"/>
        </w:rPr>
      </w:pPr>
    </w:p>
    <w:p>
      <w:pPr>
        <w:ind w:left="1000" w:right="14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483">
        <w:r>
          <w:rPr>
            <w:rFonts w:ascii="Times New Roman" w:cs="Times New Roman" w:eastAsia="Times New Roman" w:hAnsi="Times New Roman"/>
            <w:sz w:val="18"/>
            <w:szCs w:val="18"/>
            <w:u w:val="single" w:color="auto"/>
            <w:color w:val="0000EE"/>
          </w:rPr>
          <w:t>GE HealthCare U.S. Executive Severance Plan (incorporated by reference to Exhibit 10.23 of GE Healthcare Holding LLC’s Registration</w:t>
        </w:r>
      </w:hyperlink>
      <w:r>
        <w:rPr>
          <w:rFonts w:ascii="Times New Roman" w:cs="Times New Roman" w:eastAsia="Times New Roman" w:hAnsi="Times New Roman"/>
          <w:sz w:val="18"/>
          <w:szCs w:val="18"/>
          <w:u w:val="single" w:color="auto"/>
          <w:color w:val="0000EE"/>
        </w:rPr>
        <w:t xml:space="preserve"> </w:t>
      </w:r>
      <w:hyperlink r:id="rId483">
        <w:r>
          <w:rPr>
            <w:rFonts w:ascii="Times New Roman" w:cs="Times New Roman" w:eastAsia="Times New Roman" w:hAnsi="Times New Roman"/>
            <w:sz w:val="18"/>
            <w:szCs w:val="18"/>
            <w:u w:val="single" w:color="auto"/>
            <w:color w:val="0000EE"/>
          </w:rPr>
          <w:t>Statement on Form 10 filed with the SEC on December 2, 2022, File No. 001-41528).</w:t>
        </w:r>
      </w:hyperlink>
    </w:p>
    <w:p>
      <w:pPr>
        <w:spacing w:after="0" w:line="54" w:lineRule="exact"/>
        <w:rPr>
          <w:sz w:val="20"/>
          <w:szCs w:val="20"/>
          <w:color w:val="auto"/>
        </w:rPr>
      </w:pPr>
    </w:p>
    <w:p>
      <w:pPr>
        <w:ind w:left="1000" w:right="26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16.1</w:t>
      </w:r>
      <w:r>
        <w:rPr>
          <w:sz w:val="20"/>
          <w:szCs w:val="20"/>
          <w:color w:val="auto"/>
        </w:rPr>
        <w:tab/>
      </w:r>
      <w:hyperlink r:id="rId484">
        <w:r>
          <w:rPr>
            <w:rFonts w:ascii="Times New Roman" w:cs="Times New Roman" w:eastAsia="Times New Roman" w:hAnsi="Times New Roman"/>
            <w:sz w:val="18"/>
            <w:szCs w:val="18"/>
            <w:u w:val="single" w:color="auto"/>
            <w:color w:val="0000EE"/>
          </w:rPr>
          <w:t>Letter of KPMG, dated February 12, 2021 (incorporated by reference to Exhibit 16.1 of General Electric Company’s Current Report on</w:t>
        </w:r>
      </w:hyperlink>
      <w:r>
        <w:rPr>
          <w:rFonts w:ascii="Times New Roman" w:cs="Times New Roman" w:eastAsia="Times New Roman" w:hAnsi="Times New Roman"/>
          <w:sz w:val="18"/>
          <w:szCs w:val="18"/>
          <w:u w:val="single" w:color="auto"/>
          <w:color w:val="0000EE"/>
        </w:rPr>
        <w:t xml:space="preserve"> </w:t>
      </w:r>
      <w:hyperlink r:id="rId484">
        <w:r>
          <w:rPr>
            <w:rFonts w:ascii="Times New Roman" w:cs="Times New Roman" w:eastAsia="Times New Roman" w:hAnsi="Times New Roman"/>
            <w:sz w:val="18"/>
            <w:szCs w:val="18"/>
            <w:u w:val="single" w:color="auto"/>
            <w:color w:val="0000EE"/>
          </w:rPr>
          <w:t>Form 8-K filed with the SEC on February 12, 2021).</w:t>
        </w:r>
      </w:hyperlink>
    </w:p>
    <w:p>
      <w:pPr>
        <w:spacing w:after="0" w:line="54" w:lineRule="exact"/>
        <w:rPr>
          <w:sz w:val="20"/>
          <w:szCs w:val="20"/>
          <w:color w:val="auto"/>
        </w:rPr>
      </w:pPr>
    </w:p>
    <w:p>
      <w:pPr>
        <w:ind w:left="120"/>
        <w:spacing w:after="0"/>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485">
        <w:r>
          <w:rPr>
            <w:rFonts w:ascii="Times New Roman" w:cs="Times New Roman" w:eastAsia="Times New Roman" w:hAnsi="Times New Roman"/>
            <w:sz w:val="17"/>
            <w:szCs w:val="17"/>
            <w:u w:val="single" w:color="auto"/>
            <w:color w:val="0000EE"/>
          </w:rPr>
          <w:t>Subsidiaries of the registrant (incorporated by reference to Exhibit 21.1 of GE Healthcare Holding LLC’s Registration Statement on Form</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EE"/>
        </w:rPr>
      </w:pPr>
      <w:hyperlink r:id="rId485">
        <w:r>
          <w:rPr>
            <w:rFonts w:ascii="Times New Roman" w:cs="Times New Roman" w:eastAsia="Times New Roman" w:hAnsi="Times New Roman"/>
            <w:sz w:val="18"/>
            <w:szCs w:val="18"/>
            <w:u w:val="single" w:color="auto"/>
            <w:color w:val="0000EE"/>
          </w:rPr>
          <w:t>10 filed with the SEC on December 2, 2022, File No. 001-41528).</w:t>
        </w:r>
      </w:hyperlink>
    </w:p>
    <w:p>
      <w:pPr>
        <w:spacing w:after="0" w:line="99"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Deloitte &amp; Touche LLP.</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Deloitte &amp; Touche LLP.</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KPMG LLP.</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color w:val="auto"/>
        </w:rPr>
        <w:t>Consent of Paul, Weiss, Rifkind, Wharton &amp; Garrison LLP (included in Exhibit 5.1).</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Consent of H. Lawrence Culp, Jr.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Consent of Peter J. Arduini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Consent of Rodney F. Hochman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u w:val="single" w:color="auto"/>
          <w:color w:val="0000EE"/>
        </w:rPr>
        <w:t>Consent of Lloyd W. Howell, Jr.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7"/>
          <w:szCs w:val="17"/>
          <w:u w:val="single" w:color="auto"/>
          <w:color w:val="0000EE"/>
        </w:rPr>
        <w:t>Consent of Anne T. Madden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7"/>
          <w:szCs w:val="17"/>
          <w:u w:val="single" w:color="auto"/>
          <w:color w:val="0000EE"/>
        </w:rPr>
        <w:t>Consent of Tomislav Mihaljevic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99.7</w:t>
      </w:r>
      <w:r>
        <w:rPr>
          <w:sz w:val="20"/>
          <w:szCs w:val="20"/>
          <w:color w:val="auto"/>
        </w:rPr>
        <w:tab/>
      </w:r>
      <w:r>
        <w:rPr>
          <w:rFonts w:ascii="Times New Roman" w:cs="Times New Roman" w:eastAsia="Times New Roman" w:hAnsi="Times New Roman"/>
          <w:sz w:val="18"/>
          <w:szCs w:val="18"/>
          <w:u w:val="single" w:color="auto"/>
          <w:color w:val="0000EE"/>
        </w:rPr>
        <w:t>Consent of Risa Lavizzo-Mourey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99.8</w:t>
      </w:r>
      <w:r>
        <w:rPr>
          <w:sz w:val="20"/>
          <w:szCs w:val="20"/>
          <w:color w:val="auto"/>
        </w:rPr>
        <w:tab/>
      </w:r>
      <w:r>
        <w:rPr>
          <w:rFonts w:ascii="Times New Roman" w:cs="Times New Roman" w:eastAsia="Times New Roman" w:hAnsi="Times New Roman"/>
          <w:sz w:val="17"/>
          <w:szCs w:val="17"/>
          <w:u w:val="single" w:color="auto"/>
          <w:color w:val="0000EE"/>
        </w:rPr>
        <w:t>Consent William J. Stromberg as Director Nominee.</w:t>
      </w:r>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99.9</w:t>
      </w:r>
      <w:r>
        <w:rPr>
          <w:sz w:val="20"/>
          <w:szCs w:val="20"/>
          <w:color w:val="auto"/>
        </w:rPr>
        <w:tab/>
      </w:r>
      <w:r>
        <w:rPr>
          <w:rFonts w:ascii="Times New Roman" w:cs="Times New Roman" w:eastAsia="Times New Roman" w:hAnsi="Times New Roman"/>
          <w:sz w:val="17"/>
          <w:szCs w:val="17"/>
          <w:u w:val="single" w:color="auto"/>
          <w:color w:val="0000EE"/>
        </w:rPr>
        <w:t>Consent of Phoebe L. Yang as Director Nominee.</w:t>
      </w:r>
    </w:p>
    <w:p>
      <w:pPr>
        <w:spacing w:after="0" w:line="117" w:lineRule="exact"/>
        <w:rPr>
          <w:sz w:val="20"/>
          <w:szCs w:val="20"/>
          <w:color w:val="auto"/>
        </w:rPr>
      </w:pPr>
    </w:p>
    <w:p>
      <w:pPr>
        <w:ind w:left="1000" w:hanging="884"/>
        <w:spacing w:after="0"/>
        <w:tabs>
          <w:tab w:leader="none" w:pos="10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340" w:right="400" w:hanging="219"/>
        <w:spacing w:after="0" w:line="261" w:lineRule="auto"/>
        <w:tabs>
          <w:tab w:leader="none" w:pos="320" w:val="left"/>
        </w:tabs>
        <w:rPr>
          <w:sz w:val="20"/>
          <w:szCs w:val="20"/>
          <w:color w:val="auto"/>
        </w:rPr>
      </w:pPr>
      <w:r>
        <w:rPr>
          <w:rFonts w:ascii="Times New Roman" w:cs="Times New Roman" w:eastAsia="Times New Roman" w:hAnsi="Times New Roman"/>
          <w:sz w:val="18"/>
          <w:szCs w:val="18"/>
          <w:color w:val="auto"/>
        </w:rPr>
        <w:t>†</w:t>
        <w:tab/>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ind w:left="120"/>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311" w:lineRule="exact"/>
        <w:rPr>
          <w:sz w:val="20"/>
          <w:szCs w:val="20"/>
          <w:color w:val="auto"/>
        </w:rPr>
      </w:pPr>
    </w:p>
    <w:p>
      <w:pPr>
        <w:ind w:left="1000" w:hanging="444"/>
        <w:spacing w:after="0"/>
        <w:tabs>
          <w:tab w:leader="none" w:pos="100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Index to the Financial Statements included on page F-1 for a list of the financial statements included in this registration statement.</w:t>
      </w:r>
    </w:p>
    <w:p>
      <w:pPr>
        <w:spacing w:after="0" w:line="37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60"/>
          </w:cols>
          <w:pgMar w:left="320" w:top="455" w:right="5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 w:hanging="439"/>
        <w:spacing w:after="0" w:line="255" w:lineRule="auto"/>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1080" w:hanging="532"/>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Chicago, state of Illinois, on December 14, 2022.</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 Healthcare Holding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Robert M. Giglietti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M. Giglietti</w:t>
      </w:r>
    </w:p>
    <w:p>
      <w:pPr>
        <w:spacing w:after="0" w:line="27" w:lineRule="exact"/>
        <w:rPr>
          <w:sz w:val="20"/>
          <w:szCs w:val="20"/>
          <w:color w:val="auto"/>
        </w:rPr>
      </w:pPr>
    </w:p>
    <w:p>
      <w:pPr>
        <w:ind w:left="7080"/>
        <w:spacing w:after="0"/>
        <w:tabs>
          <w:tab w:leader="none" w:pos="7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director whose signature appears below constitutes and appoints Frank R. Jimenez and Jenny L. Lauth, and each of them, his or her true and lawful attorney-in-fact and agent, acting alone, with full power of substitution and resubstitution, for him or her and in his or her name, place and stead, in any and all capacities, to sign any or all amendments to this Registration Statement, including post-effective amendments and registration statements filed pursuant to Rule 462(b) and otherwise, and to file the same, with all exhibits thereto, and other documents in connection therewith, with the Securities and Exchange Commission, granting unto said attorney-in-fact full power and authority to do and perform each and every act and thing requisite or necessary to be done in and about the premises, as such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and on December 14,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J. Arduini</w:t>
            </w:r>
          </w:p>
        </w:tc>
        <w:tc>
          <w:tcPr>
            <w:tcW w:w="120" w:type="dxa"/>
            <w:vAlign w:val="bottom"/>
          </w:tcPr>
          <w:p>
            <w:pPr>
              <w:spacing w:after="0"/>
              <w:rPr>
                <w:sz w:val="24"/>
                <w:szCs w:val="24"/>
                <w:color w:val="auto"/>
              </w:rPr>
            </w:pP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2022</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Peter J. Arduini</w:t>
            </w:r>
          </w:p>
        </w:tc>
        <w:tc>
          <w:tcPr>
            <w:tcW w:w="120" w:type="dxa"/>
            <w:vAlign w:val="bottom"/>
          </w:tcPr>
          <w:p>
            <w:pPr>
              <w:spacing w:after="0"/>
              <w:rPr>
                <w:sz w:val="19"/>
                <w:szCs w:val="19"/>
                <w:color w:val="auto"/>
              </w:rPr>
            </w:pP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80" w:type="dxa"/>
            <w:vAlign w:val="bottom"/>
          </w:tcPr>
          <w:p>
            <w:pPr>
              <w:spacing w:after="0"/>
              <w:rPr>
                <w:sz w:val="19"/>
                <w:szCs w:val="19"/>
                <w:color w:val="auto"/>
              </w:rPr>
            </w:pPr>
          </w:p>
        </w:tc>
      </w:tr>
      <w:tr>
        <w:trPr>
          <w:trHeight w:val="42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Helmut Zodl</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2022</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Helmut Zodl</w:t>
            </w:r>
          </w:p>
        </w:tc>
        <w:tc>
          <w:tcPr>
            <w:tcW w:w="120" w:type="dxa"/>
            <w:vAlign w:val="bottom"/>
          </w:tcPr>
          <w:p>
            <w:pPr>
              <w:spacing w:after="0"/>
              <w:rPr>
                <w:sz w:val="19"/>
                <w:szCs w:val="19"/>
                <w:color w:val="auto"/>
              </w:rPr>
            </w:pP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3080" w:type="dxa"/>
            <w:vAlign w:val="bottom"/>
          </w:tcPr>
          <w:p>
            <w:pPr>
              <w:spacing w:after="0"/>
              <w:rPr>
                <w:sz w:val="19"/>
                <w:szCs w:val="19"/>
                <w:color w:val="auto"/>
              </w:rPr>
            </w:pPr>
          </w:p>
        </w:tc>
      </w:tr>
      <w:tr>
        <w:trPr>
          <w:trHeight w:val="42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A. Newcomb</w:t>
            </w:r>
          </w:p>
        </w:tc>
        <w:tc>
          <w:tcPr>
            <w:tcW w:w="120" w:type="dxa"/>
            <w:vAlign w:val="bottom"/>
          </w:tcPr>
          <w:p>
            <w:pPr>
              <w:spacing w:after="0"/>
              <w:rPr>
                <w:sz w:val="24"/>
                <w:szCs w:val="24"/>
                <w:color w:val="auto"/>
              </w:rPr>
            </w:pP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Controller and Chief Accounting Officer (Principal</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2022</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George A. Newcomb</w:t>
            </w:r>
          </w:p>
        </w:tc>
        <w:tc>
          <w:tcPr>
            <w:tcW w:w="120" w:type="dxa"/>
            <w:vAlign w:val="bottom"/>
          </w:tcPr>
          <w:p>
            <w:pPr>
              <w:spacing w:after="0"/>
              <w:rPr>
                <w:sz w:val="19"/>
                <w:szCs w:val="19"/>
                <w:color w:val="auto"/>
              </w:rPr>
            </w:pP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080" w:type="dxa"/>
            <w:vAlign w:val="bottom"/>
          </w:tcPr>
          <w:p>
            <w:pPr>
              <w:spacing w:after="0"/>
              <w:rPr>
                <w:sz w:val="19"/>
                <w:szCs w:val="19"/>
                <w:color w:val="auto"/>
              </w:rPr>
            </w:pPr>
          </w:p>
        </w:tc>
      </w:tr>
      <w:tr>
        <w:trPr>
          <w:trHeight w:val="42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M. Giglietti</w:t>
            </w:r>
          </w:p>
        </w:tc>
        <w:tc>
          <w:tcPr>
            <w:tcW w:w="120" w:type="dxa"/>
            <w:vAlign w:val="bottom"/>
          </w:tcPr>
          <w:p>
            <w:pPr>
              <w:spacing w:after="0"/>
              <w:rPr>
                <w:sz w:val="24"/>
                <w:szCs w:val="24"/>
                <w:color w:val="auto"/>
              </w:rPr>
            </w:pPr>
          </w:p>
        </w:tc>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Manager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2022</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Robert M. Giglietti</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2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Lesjak</w:t>
            </w:r>
          </w:p>
        </w:tc>
        <w:tc>
          <w:tcPr>
            <w:tcW w:w="120" w:type="dxa"/>
            <w:vAlign w:val="bottom"/>
          </w:tcPr>
          <w:p>
            <w:pPr>
              <w:spacing w:after="0"/>
              <w:rPr>
                <w:sz w:val="24"/>
                <w:szCs w:val="24"/>
                <w:color w:val="auto"/>
              </w:rPr>
            </w:pPr>
          </w:p>
        </w:tc>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Manager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2022</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Catherine Lesjak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27"/>
        </w:trPr>
        <w:tc>
          <w:tcPr>
            <w:tcW w:w="3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Manager</w:t>
            </w:r>
          </w:p>
        </w:tc>
        <w:tc>
          <w:tcPr>
            <w:tcW w:w="3080" w:type="dxa"/>
            <w:vAlign w:val="bottom"/>
          </w:tcPr>
          <w:p>
            <w:pPr>
              <w:spacing w:after="0"/>
              <w:rPr>
                <w:sz w:val="24"/>
                <w:szCs w:val="24"/>
                <w:color w:val="auto"/>
              </w:rPr>
            </w:pP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Michael Holston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60"/>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II-6</w:t>
            </w:r>
          </w:p>
        </w:tc>
        <w:tc>
          <w:tcPr>
            <w:tcW w:w="3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ind w:left="4" w:right="4340"/>
        <w:spacing w:after="0" w:line="378" w:lineRule="auto"/>
        <w:rPr>
          <w:sz w:val="20"/>
          <w:szCs w:val="20"/>
          <w:color w:val="auto"/>
        </w:rPr>
      </w:pPr>
      <w:r>
        <w:rPr>
          <w:rFonts w:ascii="Times New Roman" w:cs="Times New Roman" w:eastAsia="Times New Roman" w:hAnsi="Times New Roman"/>
          <w:sz w:val="18"/>
          <w:szCs w:val="18"/>
          <w:b w:val="1"/>
          <w:bCs w:val="1"/>
          <w:color w:val="auto"/>
        </w:rPr>
        <w:t>GE HEALTHCARE TECHNOLOGIES INC. 2023 LONG-TERM INCENTIVE PLAN Section I. Purpose</w:t>
      </w: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purpose of this GE HealthCare Technologies Inc. 2023 Long-Term Incentive Plan is to attract, retain and motivate employees, officers, non-employee directors and other service providers of GE HealthCare Technologies Inc. (the “Company”). Stock- and performance-based compensation provided under this Plan is designed to align such individuals’ interests and efforts with those of the Company’s shareholders.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II. 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131" w:lineRule="exact"/>
        <w:rPr>
          <w:sz w:val="20"/>
          <w:szCs w:val="20"/>
          <w:color w:val="auto"/>
        </w:rPr>
      </w:pPr>
    </w:p>
    <w:p>
      <w:pPr>
        <w:ind w:left="424" w:hanging="424"/>
        <w:spacing w:after="0"/>
        <w:tabs>
          <w:tab w:leader="none" w:pos="4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means the Securities Exchange Act of 1934.</w:t>
      </w:r>
    </w:p>
    <w:p>
      <w:pPr>
        <w:spacing w:after="0" w:line="130"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company or business entity under the direct or indirect control of the Company, and any company or business entity in which the Company has a 50% or more interest.</w:t>
      </w:r>
    </w:p>
    <w:p>
      <w:pPr>
        <w:spacing w:after="0" w:line="67"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 Option, Stock Appreciation Right, Restricted Stock, Restricted Stock Unit, Performance Award or Other Stock-Based Award, or any combination of these, granted to a Participant pursuant to the provisions of the Plan.</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a written or electronic agreement or other instrument implementing the grant of each Award. An Award Agreement may be in the form of an agreement to be executed by the Participant (or both the Participant and an authorized representative of the Company), or in the form of certificates, notices or similar instruments as approved by the Committee and designated as such.</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except as otherwise provided in an Award Agreement, as determined in the sole discretion of the Committee, the Participant’s:</w:t>
      </w:r>
    </w:p>
    <w:p>
      <w:pPr>
        <w:spacing w:after="0" w:line="130"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Employee Innovation and Proprietary Information Agreement or any other confidentiality, non-solicitation or non-competition agreement with the Company or any Affiliate, or breach of a material term of any other agreement between the Participant and the Company or any Affiliate;</w:t>
      </w:r>
    </w:p>
    <w:p>
      <w:pPr>
        <w:spacing w:after="0" w:line="81"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in conduct that results in, or has the potential to cause, material harm financially, reputationally, or otherwise to the Company or any Affiliate;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dishonesty, fraud, embezzlement or theft;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plea of guilty or no contest to a felony or crime involving moral turpitude; or</w:t>
      </w:r>
    </w:p>
    <w:p>
      <w:pPr>
        <w:spacing w:after="0" w:line="130" w:lineRule="exact"/>
        <w:rPr>
          <w:rFonts w:ascii="Times New Roman" w:cs="Times New Roman" w:eastAsia="Times New Roman" w:hAnsi="Times New Roman"/>
          <w:sz w:val="18"/>
          <w:szCs w:val="18"/>
          <w:color w:val="auto"/>
        </w:rPr>
      </w:pPr>
    </w:p>
    <w:p>
      <w:pPr>
        <w:ind w:left="964" w:right="540" w:hanging="532"/>
        <w:spacing w:after="0" w:line="282" w:lineRule="auto"/>
        <w:tabs>
          <w:tab w:leader="none" w:pos="96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Company’s or any Affiliate’s policies and procedures, including but not limited to the Company’s code of conduct.</w:t>
      </w:r>
    </w:p>
    <w:p>
      <w:pPr>
        <w:spacing w:after="0" w:line="54" w:lineRule="exact"/>
        <w:rPr>
          <w:sz w:val="20"/>
          <w:szCs w:val="20"/>
          <w:color w:val="auto"/>
        </w:rPr>
      </w:pPr>
    </w:p>
    <w:p>
      <w:pPr>
        <w:ind w:left="444" w:right="660"/>
        <w:spacing w:after="0" w:line="282" w:lineRule="auto"/>
        <w:rPr>
          <w:sz w:val="20"/>
          <w:szCs w:val="20"/>
          <w:color w:val="auto"/>
        </w:rPr>
      </w:pPr>
      <w:r>
        <w:rPr>
          <w:rFonts w:ascii="Times New Roman" w:cs="Times New Roman" w:eastAsia="Times New Roman" w:hAnsi="Times New Roman"/>
          <w:sz w:val="18"/>
          <w:szCs w:val="18"/>
          <w:color w:val="auto"/>
        </w:rPr>
        <w:t>A Participant’s employment or service will be deemed to have been terminated for Cause if the Committee determines subsequent to such termination that Cause existed at the time of such termination.</w:t>
      </w:r>
    </w:p>
    <w:p>
      <w:pPr>
        <w:sectPr>
          <w:pgSz w:w="11900" w:h="16838" w:orient="portrait"/>
          <w:cols w:equalWidth="0" w:num="1">
            <w:col w:w="11024"/>
          </w:cols>
          <w:pgMar w:left="436" w:top="117" w:right="439" w:bottom="1440" w:gutter="0" w:footer="0" w:header="0"/>
        </w:sectPr>
      </w:pPr>
    </w:p>
    <w:bookmarkStart w:id="299" w:name="page300"/>
    <w:bookmarkEnd w:id="299"/>
    <w:p>
      <w:pPr>
        <w:ind w:left="424" w:hanging="424"/>
        <w:spacing w:after="0"/>
        <w:tabs>
          <w:tab w:leader="none" w:pos="42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 means, except as otherwise provided in an Award Agreement, the occurrence of any one of the following events:</w:t>
      </w:r>
    </w:p>
    <w:p>
      <w:pPr>
        <w:spacing w:after="0" w:line="130" w:lineRule="exact"/>
        <w:rPr>
          <w:rFonts w:ascii="Times New Roman" w:cs="Times New Roman" w:eastAsia="Times New Roman" w:hAnsi="Times New Roman"/>
          <w:sz w:val="18"/>
          <w:szCs w:val="18"/>
          <w:color w:val="auto"/>
        </w:rPr>
      </w:pPr>
    </w:p>
    <w:p>
      <w:pPr>
        <w:ind w:left="964" w:right="60" w:hanging="532"/>
        <w:spacing w:after="0" w:line="258" w:lineRule="auto"/>
        <w:tabs>
          <w:tab w:leader="none" w:pos="96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whereby a Person directly or indirectly acquires beneficial ownership (within the meaning of Rule 13d-3 promulgated under the Act) of 50% or more of either (A) the then-outstanding shares of Common Stock (the “Outstanding Shares”) or (B) the combined voting power of the then-outstanding voting securities of the Company entitled to vote generally in the election of directors (the “Outstanding Voting Securities”);</w:t>
      </w:r>
    </w:p>
    <w:p>
      <w:pPr>
        <w:spacing w:after="0" w:line="88"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or sale or other disposition of all or substantially all of the Company’s assets (a “Business Combination”), unless following such Business Combination all or substantially all of the beneficial owners of the Outstanding Shares or Outstanding Voting Securities immediately prior to the Business Combination beneficially own (directly or indirectly) more than 50% of the then-outstanding shares of common stock or combined voting power of the then-outstanding voting securities entitled to vote generally in the election of directors of the entity resulting from the business combination (including an entity that as a result of the Business Combination owns (directly or indirectly) the Company or all or substantially all of the Company’s assets in substantially the same proportions as their ownership immediately prior to the Business Combination.</w:t>
      </w:r>
    </w:p>
    <w:p>
      <w:pPr>
        <w:spacing w:after="0" w:line="81" w:lineRule="exact"/>
        <w:rPr>
          <w:sz w:val="20"/>
          <w:szCs w:val="20"/>
          <w:color w:val="auto"/>
        </w:rPr>
      </w:pPr>
    </w:p>
    <w:p>
      <w:pPr>
        <w:ind w:left="444" w:right="100"/>
        <w:spacing w:after="0" w:line="282" w:lineRule="auto"/>
        <w:rPr>
          <w:sz w:val="20"/>
          <w:szCs w:val="20"/>
          <w:color w:val="auto"/>
        </w:rPr>
      </w:pPr>
      <w:r>
        <w:rPr>
          <w:rFonts w:ascii="Times New Roman" w:cs="Times New Roman" w:eastAsia="Times New Roman" w:hAnsi="Times New Roman"/>
          <w:sz w:val="18"/>
          <w:szCs w:val="18"/>
          <w:color w:val="auto"/>
        </w:rPr>
        <w:t>For the avoidance of doubt, a public offering, internal restructuring or transfer of Common Stock or assets to any Affiliate will not be treated as a Change in Control.</w:t>
      </w:r>
    </w:p>
    <w:p>
      <w:pPr>
        <w:spacing w:after="0" w:line="67" w:lineRule="exact"/>
        <w:rPr>
          <w:sz w:val="20"/>
          <w:szCs w:val="20"/>
          <w:color w:val="auto"/>
        </w:rPr>
      </w:pPr>
    </w:p>
    <w:p>
      <w:pPr>
        <w:ind w:left="424" w:right="40" w:hanging="424"/>
        <w:spacing w:after="0" w:line="254" w:lineRule="auto"/>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Price” means the amount determined by the Committee in its sole discretion based on the following clauses, whichever the Committee determines is applicable, as follows: (i) the price per share offered to holders of Common Stock in any merger or consolidation, tender offer or exchange offer whereby a Change in Control takes place (ii) the per share Fair Market Value of the Common Stock immediately before the Change in Control, without regard to assets sold in the Change in Control and assuming the Company has received the consideration paid therefor, or (iii) the value per share of the Common Stock that may otherwise be obtained with respect to such Awards or to which such Awards track, as determined by the Committee as of the date of cancellation and surrender of such Awards. In the event that the consideration offered to shareholders of the Company in a Change in Control consists of anything other than cash, the Committee shall determine in its sole discretion the fair cash equivalent of such non-cash consideration.</w:t>
      </w:r>
    </w:p>
    <w:p>
      <w:pPr>
        <w:spacing w:after="0" w:line="9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Talent, Culture, and Compensation Committee of the Board (or its successor), or such other committee as designated by the Board to administer the Plan.</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of the Company, $0.01 par value per share, or such other class or kind of shares or other securities as may be applicable under Section XV.</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GE HealthCare Technologies Inc. (a Delaware corporation) and, except as utilized in the definition of Change in Control, any successor corporation.</w:t>
      </w:r>
    </w:p>
    <w:p>
      <w:pPr>
        <w:spacing w:after="0" w:line="67" w:lineRule="exact"/>
        <w:rPr>
          <w:rFonts w:ascii="Times New Roman" w:cs="Times New Roman" w:eastAsia="Times New Roman" w:hAnsi="Times New Roman"/>
          <w:sz w:val="18"/>
          <w:szCs w:val="18"/>
          <w:color w:val="auto"/>
        </w:rPr>
      </w:pPr>
    </w:p>
    <w:p>
      <w:pPr>
        <w:ind w:left="424" w:right="160" w:hanging="424"/>
        <w:spacing w:after="0" w:line="258" w:lineRule="auto"/>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except as otherwise provided in an Award Agreement, the Participant has been determined to be unable to engage in any substantial gainful activity by reason of any medically determinable physical or mental impairment that can be expected to result in death or can be expected to last for a continuous period of not less than 12 months, as determined by the plan administrator of the Company’s long-term disability plan, the Social Security Administration, any applicable state agency in which the Participant resides or any other determination accepted by the Committee in its sole discretion.</w:t>
      </w:r>
    </w:p>
    <w:p>
      <w:pPr>
        <w:spacing w:after="0" w:line="88"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means an amount payable in cash or Common Stock, as determined by the Committee, equal to the dividends that would have been paid to the Participant if the share of Common Stock with respect to which the Dividend Equivalent relates had been owned by the Participant.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300" w:name="page301"/>
    <w:bookmarkEnd w:id="300"/>
    <w:p>
      <w:pPr>
        <w:ind w:left="424" w:right="20" w:hanging="424"/>
        <w:spacing w:after="0" w:line="266"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“Eligible Person” means any employee, officer, non-employee director or other service provider of the Company or any of its Affiliates; provided, however, that Incentive Stock Options may only be granted to employees of the Company or any of its “subsidiary corporations” within the meaning of Section 424 of the Code.</w:t>
      </w:r>
    </w:p>
    <w:p>
      <w:pPr>
        <w:spacing w:after="0" w:line="81"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ASC Topic 718” means the Financial Accounting Standards Board Accounting Standards Codification Topic 718 or any successor accounting standard.</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date, (i) the closing sales price of a share of Common Stock as quoted on the National Association of Securities Dealers Automatic Quotation System or such other source as the Committee deems reliable (or, if no sale of Common Stock is reported for such date, on the next preceding date on which any sale is reported), or (ii) in the absence of an established market for the Common Stock, the value determined in good faith by the Committee by the reasonable application of a reasonable valuation method, taking into account factors consistent with Treasury Department regulation 1.409A-1(b)(5)(iv)(B) as the Committee deems appropriate.</w:t>
      </w:r>
    </w:p>
    <w:p>
      <w:pPr>
        <w:spacing w:after="0" w:line="88"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except as otherwise provided in an Award Agreement, any of the following, in each case, without the Participant’s consent: (i) a material reduction in the Participant’s base salary, (ii) a material breach by the Company or its Affiliate of any material provision of any agreement between the Participant and the Company or its Affiliate, or (iii) a material diminution in the Participant’s title, authority, duties, responsibilities or reporting relationships; provided, however, that a Termination of Employment or Separation from Service shall not be for Good Reason unless: (A) the Participant has provided written notice to the Chief People Officer of the Company of the existence of the circumstances providing grounds for termination for Good Reason within 30 calendar days of the date the Participant first becomes aware of such circumstances,</w:t>
      </w:r>
    </w:p>
    <w:p>
      <w:pPr>
        <w:spacing w:after="0" w:line="5" w:lineRule="exact"/>
        <w:rPr>
          <w:rFonts w:ascii="Times New Roman" w:cs="Times New Roman" w:eastAsia="Times New Roman" w:hAnsi="Times New Roman"/>
          <w:sz w:val="18"/>
          <w:szCs w:val="18"/>
          <w:color w:val="auto"/>
        </w:rPr>
      </w:pPr>
    </w:p>
    <w:p>
      <w:pPr>
        <w:ind w:left="42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Company or its Affiliate has been given at least 30 calendar days from the date on which such notice is provided to cure such circumstances (the “cure period”), and (C) the Termination of Employment or Separation from Service occurs within 30 calendar days following the Company’s or Affiliate’s failure to cure such circumstances within the cure period. For the avoidance of doubt, the sale, disposition or spin-off of any one or more businesses of the Company or its Affiliates, or any transaction following which the Company’s (or its successor’s) common equity is not publicly traded on a nationally recognized securities exchange or through a national market quotation service, shall not be deemed a material reduction in the Participant’s title, authority, duties, responsibilities or reporting relationships.</w:t>
      </w:r>
    </w:p>
    <w:p>
      <w:pPr>
        <w:spacing w:after="0" w:line="95" w:lineRule="exact"/>
        <w:rPr>
          <w:rFonts w:ascii="Times New Roman" w:cs="Times New Roman" w:eastAsia="Times New Roman" w:hAnsi="Times New Roman"/>
          <w:sz w:val="18"/>
          <w:szCs w:val="18"/>
          <w:color w:val="auto"/>
        </w:rPr>
      </w:pPr>
    </w:p>
    <w:p>
      <w:pPr>
        <w:ind w:left="424" w:right="380" w:hanging="424"/>
        <w:spacing w:after="0" w:line="282"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that is intended to qualify as an “incentive stock option” within the meaning of Section 422 of the Code.</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“Mirror Plans” means (i) the GE HealthCare Technologies Inc. Mirror 2022 Long-Term Incentive Plan, (ii) the GE HealthCare Technologies Inc. Mirror 2007 Long-Term Incentive Plan and (iii) the GE HealthCare Technologies Inc. Mirror 1990 Long-Term Incentive Plan.</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 Option that is not intended to qualify as an “incentive stock option” within the meaning of Section 422 of the Code.</w:t>
      </w:r>
    </w:p>
    <w:p>
      <w:pPr>
        <w:spacing w:after="0" w:line="67" w:lineRule="exact"/>
        <w:rPr>
          <w:rFonts w:ascii="Times New Roman" w:cs="Times New Roman" w:eastAsia="Times New Roman" w:hAnsi="Times New Roman"/>
          <w:sz w:val="18"/>
          <w:szCs w:val="18"/>
          <w:color w:val="auto"/>
        </w:rPr>
      </w:pPr>
    </w:p>
    <w:p>
      <w:pPr>
        <w:jc w:val="both"/>
        <w:ind w:left="424" w:right="520" w:hanging="424"/>
        <w:spacing w:after="0" w:line="266" w:lineRule="auto"/>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means an Award granted to an Eligible Person as described in Section XI.</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301" w:name="page302"/>
    <w:bookmarkEnd w:id="301"/>
    <w:p>
      <w:pPr>
        <w:ind w:left="424" w:hanging="424"/>
        <w:spacing w:after="0" w:line="282" w:lineRule="auto"/>
        <w:tabs>
          <w:tab w:leader="none" w:pos="4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means any Eligible Person to whom Awards have been granted by the Committee and, if applicable, the authorized transferee of such individual.</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means an Award described in Section XII pursuant to which a Participant may become entitled to receive an amount based on satisfaction of such performance criteria established for such performance period as specified in the Award Agreement.</w:t>
      </w:r>
    </w:p>
    <w:p>
      <w:pPr>
        <w:spacing w:after="0" w:line="67" w:lineRule="exact"/>
        <w:rPr>
          <w:rFonts w:ascii="Times New Roman" w:cs="Times New Roman" w:eastAsia="Times New Roman" w:hAnsi="Times New Roman"/>
          <w:sz w:val="18"/>
          <w:szCs w:val="18"/>
          <w:color w:val="auto"/>
        </w:rPr>
      </w:pPr>
    </w:p>
    <w:p>
      <w:pPr>
        <w:ind w:left="424" w:right="20" w:hanging="424"/>
        <w:spacing w:after="0" w:line="281" w:lineRule="auto"/>
        <w:tabs>
          <w:tab w:leader="none" w:pos="424"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shall have the meaning given in Section 3(a)(9) of the Act, as modified and used in Sections 14(d) and 15(d) thereof, except that such term shall not include (i) the Company or any Affiliate, (ii) a trustee or other fiduciary holding securities under an employee benefit plan of the Company or any Affiliate,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70" w:lineRule="exact"/>
        <w:rPr>
          <w:sz w:val="20"/>
          <w:szCs w:val="20"/>
          <w:color w:val="auto"/>
        </w:rPr>
      </w:pPr>
    </w:p>
    <w:p>
      <w:pPr>
        <w:ind w:left="424" w:hanging="424"/>
        <w:spacing w:after="0"/>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GE HealthCare Technologies Inc. 2023 Long-Term Incentive Plan.</w:t>
      </w:r>
    </w:p>
    <w:p>
      <w:pPr>
        <w:spacing w:after="0" w:line="130"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an Award or issuance of Common Stock the vesting and/or transferability of which is subject during specified periods of time to such terms and conditions (including continued employment or engagement or performance conditions) as the Committee determines.</w:t>
      </w:r>
    </w:p>
    <w:p>
      <w:pPr>
        <w:spacing w:after="0" w:line="67" w:lineRule="exact"/>
        <w:rPr>
          <w:rFonts w:ascii="Times New Roman" w:cs="Times New Roman" w:eastAsia="Times New Roman" w:hAnsi="Times New Roman"/>
          <w:sz w:val="18"/>
          <w:szCs w:val="18"/>
          <w:color w:val="auto"/>
        </w:rPr>
      </w:pPr>
    </w:p>
    <w:p>
      <w:pPr>
        <w:jc w:val="both"/>
        <w:ind w:left="424" w:right="180" w:hanging="424"/>
        <w:spacing w:after="0" w:line="266" w:lineRule="auto"/>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an Award denominated in units of Common Stock under which the issuance of shares of Common Stock (or cash payment in lieu thereof) is subject to such terms and conditions (including continued employment or engagement or performance conditions) as the Committee determines.</w:t>
      </w:r>
    </w:p>
    <w:p>
      <w:pPr>
        <w:spacing w:after="0" w:line="81"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except as otherwise provided in an Award Agreement, attainment of (i) age 60 and completion of five years of continuous employment, or (ii) age 55 and completion of ten years of continuous employment. Continuous employment for the Plan means continuous employment with the Company, an Affiliate and General Electric Company or any of its affiliates that ended on the date of the Company’s spinoff from General Electric Company. If retirement at an earlier age than (i) or (ii) above is mandatory under applicable law, retirement shall mean the mandatory retirement date and the applicable service requirement under (i) or (ii) above.</w:t>
      </w:r>
    </w:p>
    <w:p>
      <w:pPr>
        <w:spacing w:after="0" w:line="88"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or “Separates from Service” means a Termination of Employment or other cessation of service that constitutes a “separation from service” within the meaning of Section 409A of the Code.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 means the spin-off by General Electric Company of the Company.</w:t>
      </w:r>
    </w:p>
    <w:p>
      <w:pPr>
        <w:spacing w:after="0" w:line="130"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or “SAR” means a right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w:t>
      </w:r>
    </w:p>
    <w:p>
      <w:pPr>
        <w:spacing w:after="0" w:line="81"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means Awards granted or Common Stock issued by the Company in assumption of, or in substitution or exchange for, awards previously granted (or the right or obligation to make future awards) by a company acquired by the Company or any Affiliate or with which the Company or any Affiliate combines.</w:t>
      </w:r>
    </w:p>
    <w:p>
      <w:pPr>
        <w:spacing w:after="0" w:line="81"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except as otherwise provided in an Award Agreement or as otherwise determined by the Committee, ceasing to serve as an employee of the Company or an Affiliate or, with respect to a non-employee director or other service provider, ceasing to serve as such for the Company or an Affiliate; provided, however, that with respect to all or any Awards held by a Participant, the Committee may determine that (i) a leave of absence (including as a result of a Participant’s short-term or long-term disability or other medical leave) or employment on a less than full-time basis is considered a “Termination of Employment,” (ii) service as a member of the Board or other service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02" w:name="page303"/>
    <w:bookmarkEnd w:id="302"/>
    <w:p>
      <w:pPr>
        <w:ind w:left="42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provider to the Company or an Affiliate shall constitute continued employment with respect to Awards granted to a Participant while he or she served as an employee of the Company or an Affiliate, or (iii) service as an employee of the Company or an Affiliate shall constitute continued service/employment with respect to Awards granted to a Participant while he or she served as a member of the Board or other service provider to the Company or an Affiliate. The Committee shall determine whether any corporate transaction, such as a sale or spin-off of a division or Affiliate that employs or engages a Participant, shall be deemed to result in a Termination of Employment with the Company or an Affiliate for purposes of any affected Participant’s Awards, and the Committee’s decision shall be final and binding. With respect to any Award that is subject to Section 409A of the Code, a Termination of Employment shall not be deemed to occur until such Participant’s Separation from Service.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III. Eligibility</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Eligible Person is eligible for selection by the Committee to receive an Award.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IV. Effective Date and Termination of Plan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on the date on which the Spin-Off occurs (the “Effective Date”). The Plan shall remain available for the grant of Awards until the 10th anniversary of the Effective Date; provided, however, that no Incentive Stock Option may be granted under this Plan after the 10th anniversary of the Effective Date. Notwithstanding the foregoing, the Plan may be terminated at such earlier time as the Board may determine. Termination of the Plan will not affect the rights and obligations of the Participants and the Company arising under Awards granted prior to such termination.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V. Shares Subject to the Plan and to Awards</w:t>
      </w:r>
    </w:p>
    <w:p>
      <w:pPr>
        <w:spacing w:after="0" w:line="135" w:lineRule="exact"/>
        <w:rPr>
          <w:sz w:val="20"/>
          <w:szCs w:val="20"/>
          <w:color w:val="auto"/>
        </w:rPr>
      </w:pPr>
    </w:p>
    <w:p>
      <w:pPr>
        <w:ind w:left="424" w:right="40" w:hanging="424"/>
        <w:spacing w:after="0" w:line="236" w:lineRule="auto"/>
        <w:tabs>
          <w:tab w:leader="none" w:pos="42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Aggregate Limits</w:t>
      </w:r>
      <w:r>
        <w:rPr>
          <w:rFonts w:ascii="Times New Roman" w:cs="Times New Roman" w:eastAsia="Times New Roman" w:hAnsi="Times New Roman"/>
          <w:sz w:val="18"/>
          <w:szCs w:val="18"/>
          <w:color w:val="auto"/>
        </w:rPr>
        <w:t>. The aggregate number of shares of Common Stock issuable under the Plan shall be equal to [______]</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of Common Stock plus any shares of Common Stock that become available for issuance under the Plan pursuant to Section V(c). The aggregate number of shares of Common Stock available for grant under this Plan and the number of shares of Common Stock subject to Awards outstanding at the time of any event described in Section XV shall be subject to adjustment as provided in Section XV. The shares of Common Stock issued under this Plan may be shares that are authorized and unissued or shares that were reacquired by the Company, including shares purchased in the open market or in private transactions.</w:t>
      </w:r>
    </w:p>
    <w:p>
      <w:pPr>
        <w:spacing w:after="0" w:line="105"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For purposes of Section V(a), the aggregate number of shares of Common Stock issued under this Plan at any time shall equal only the number of shares of Common Stock actually issued upon exercise or settlement of an Award and each share issued pursuant to an Award shall be counted against the limit in Section V(a) as one share. The aggregate number of shares available for issuance under this Plan at any time shall not be reduced by shares subject to Awards that have been canceled, terminated, expired unexercised, forfeited or settled in cash; provided, however, that (i) shares subject to Awards that have been retained or withheld by the Company in payment or satisfaction of the exercise price, purchase price or tax withholding obligation of an Award (including shares that were subject to an Award but were not issued or delivered as a result of the net settlement or net exercise of such Award) and (ii) shares repurchased on the open market with the proceeds of an Option exercise, in each case, shall not be available for issuance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5464" w:right="1920" w:hanging="5464"/>
        <w:spacing w:after="0" w:line="334" w:lineRule="auto"/>
        <w:tabs>
          <w:tab w:leader="none" w:pos="433" w:val="left"/>
        </w:tabs>
        <w:numPr>
          <w:ilvl w:val="0"/>
          <w:numId w:val="2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updated to reflect a figure equal to 9% of the Company’s shares of Common Stock outstanding as of the Spin-Off. 5</w:t>
      </w:r>
    </w:p>
    <w:p>
      <w:pPr>
        <w:sectPr>
          <w:pgSz w:w="11900" w:h="16838" w:orient="portrait"/>
          <w:cols w:equalWidth="0" w:num="1">
            <w:col w:w="11004"/>
          </w:cols>
          <w:pgMar w:left="436" w:top="270" w:right="459" w:bottom="1440" w:gutter="0" w:footer="0" w:header="0"/>
        </w:sectPr>
      </w:pPr>
    </w:p>
    <w:bookmarkStart w:id="303" w:name="page304"/>
    <w:bookmarkEnd w:id="303"/>
    <w:p>
      <w:pPr>
        <w:ind w:left="424" w:right="20" w:hanging="424"/>
        <w:spacing w:after="0" w:line="258" w:lineRule="auto"/>
        <w:tabs>
          <w:tab w:leader="none" w:pos="42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Mirror Plan Awards</w:t>
      </w:r>
      <w:r>
        <w:rPr>
          <w:rFonts w:ascii="Times New Roman" w:cs="Times New Roman" w:eastAsia="Times New Roman" w:hAnsi="Times New Roman"/>
          <w:sz w:val="18"/>
          <w:szCs w:val="18"/>
          <w:color w:val="auto"/>
        </w:rPr>
        <w:t>. Shares of Common Stock subject to awards granted under the Mirror Plans that are canceled, terminated, expire unexercised, forfeited or settled in cash following the Effective Date shall become available for issuance under this Plan on a one-for-one basis; provided, however, that shares of Common Stock subject to awards granted under the Mirror Plans that have been retained or withheld by the Company in payment or satisfaction of the exercise price, purchase price or tax withholding obligation of such awards shall not become available for issuance under this Plan.</w:t>
      </w:r>
    </w:p>
    <w:p>
      <w:pPr>
        <w:spacing w:after="0" w:line="88"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Substitute Awards shall not reduce the shares of Common Stock authorized for issuance under the Plan. Additionally, in the event that a company acquired by the Company or any Affiliate, or with which the Company or any Affiliate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provided that Awards using such available shares (i) shall not be made after the date awards or grants could have been made under the terms of the pre-existing plan, absent the acquisition or combination, (ii) shall only be made to individuals who were not employees or service providers of the Company or its Affiliates at the time of such acquisition or combination, and (iii) shall comply with the requirements of any stock exchange, market or quotation system on which the Common Stock is traded, listed or quoted.</w:t>
      </w:r>
    </w:p>
    <w:p>
      <w:pPr>
        <w:spacing w:after="0" w:line="99" w:lineRule="exact"/>
        <w:rPr>
          <w:rFonts w:ascii="Times New Roman" w:cs="Times New Roman" w:eastAsia="Times New Roman" w:hAnsi="Times New Roman"/>
          <w:sz w:val="18"/>
          <w:szCs w:val="18"/>
          <w:color w:val="auto"/>
        </w:rPr>
      </w:pPr>
    </w:p>
    <w:p>
      <w:pPr>
        <w:ind w:left="424" w:right="100" w:hanging="424"/>
        <w:spacing w:after="0" w:line="230" w:lineRule="auto"/>
        <w:tabs>
          <w:tab w:leader="none" w:pos="42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Code Limits</w:t>
      </w:r>
      <w:r>
        <w:rPr>
          <w:rFonts w:ascii="Times New Roman" w:cs="Times New Roman" w:eastAsia="Times New Roman" w:hAnsi="Times New Roman"/>
          <w:sz w:val="18"/>
          <w:szCs w:val="18"/>
          <w:color w:val="auto"/>
        </w:rPr>
        <w:t>. The aggregate number of shares of Common Stock that may be issued pursuant to the exercise of Incentive Stock Options granted under this Plan shall be equal to [______]</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shares of Common Stock, which number shall be calculated and adjusted pursuant to Section XV only to the extent that such calculation or adjustment will not affect the status of any Option intended to qualify as an Incentive Stock Option under Section 422 of the Code.</w:t>
      </w:r>
    </w:p>
    <w:p>
      <w:pPr>
        <w:spacing w:after="0" w:line="101" w:lineRule="exact"/>
        <w:rPr>
          <w:rFonts w:ascii="Times New Roman" w:cs="Times New Roman" w:eastAsia="Times New Roman" w:hAnsi="Times New Roman"/>
          <w:sz w:val="18"/>
          <w:szCs w:val="18"/>
          <w:color w:val="auto"/>
        </w:rPr>
      </w:pPr>
    </w:p>
    <w:p>
      <w:pPr>
        <w:ind w:left="424" w:right="200" w:hanging="424"/>
        <w:spacing w:after="0" w:line="267" w:lineRule="auto"/>
        <w:tabs>
          <w:tab w:leader="none" w:pos="42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Non-Employee Director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aggregate dollar value of equity-based and cash compensation granted under this Plan or otherwise (excluding awards granted under the Mirror Plans) to any non-employee director (determined at the grant date and, for equity-based Awards, in accordance with FASB ASC Topic 718) shall not exceed $750,000 (U.S. dollars) during any calendar year.</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VI. Administration of the Plan</w:t>
      </w:r>
    </w:p>
    <w:p>
      <w:pPr>
        <w:spacing w:after="0" w:line="135" w:lineRule="exact"/>
        <w:rPr>
          <w:sz w:val="20"/>
          <w:szCs w:val="20"/>
          <w:color w:val="auto"/>
        </w:rPr>
      </w:pPr>
    </w:p>
    <w:p>
      <w:pPr>
        <w:ind w:left="424" w:hanging="424"/>
        <w:spacing w:after="0" w:line="254" w:lineRule="auto"/>
        <w:tabs>
          <w:tab w:leader="none" w:pos="4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of the Plan</w:t>
      </w:r>
      <w:r>
        <w:rPr>
          <w:rFonts w:ascii="Times New Roman" w:cs="Times New Roman" w:eastAsia="Times New Roman" w:hAnsi="Times New Roman"/>
          <w:sz w:val="18"/>
          <w:szCs w:val="18"/>
          <w:color w:val="auto"/>
        </w:rPr>
        <w:t>. The Plan shall be administered by the Committee. To the maximum extent permissible under applicable law, the Committee (or any successor) may by resolution delegate any or all of its authority to one or more subcommittees composed of one or more directors or officers of the Company (with the power to re-delegate such authority), and any such subcommittee (or its delegate) shall be treated as the Committee for all purposes under this Plan; provided, however, that no Award may be granted to an Eligible Person who is then subject to Section 16 of the Act in respect of the Company by any such subcommittee unless such subcommittee is composed solely of two or more “non-employee directors” within the meaning of Rule 16b-3(b)(3) promulgated under the Act. The Committee may designate and delegate to one or more officers or employees of the Company or any Affiliate, and/or one or more agents, authority to assist the Committee in any or all aspects of the day-to-day administration of the Plan and/or of Awards granted under the Plan.</w:t>
      </w:r>
    </w:p>
    <w:p>
      <w:pPr>
        <w:spacing w:after="0" w:line="97"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Subject to the express provisions of this Plan, the Committee shall be authorized and empowered to do all things that it determines to be necessary or appropriate in connection with the administration of this Plan, including:</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this Plan and to define terms not otherwise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5464" w:right="1900" w:hanging="5464"/>
        <w:spacing w:after="0" w:line="334" w:lineRule="auto"/>
        <w:tabs>
          <w:tab w:leader="none" w:pos="433" w:val="left"/>
        </w:tabs>
        <w:numPr>
          <w:ilvl w:val="0"/>
          <w:numId w:val="2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updated to reflect a figure equal to 9% of the Company’s shares of Common Stock outstanding as of the Spin-Off. 6</w:t>
      </w:r>
    </w:p>
    <w:p>
      <w:pPr>
        <w:sectPr>
          <w:pgSz w:w="11900" w:h="16838" w:orient="portrait"/>
          <w:cols w:equalWidth="0" w:num="1">
            <w:col w:w="10984"/>
          </w:cols>
          <w:pgMar w:left="436" w:top="270" w:right="479" w:bottom="1440" w:gutter="0" w:footer="0" w:header="0"/>
        </w:sectPr>
      </w:pPr>
    </w:p>
    <w:bookmarkStart w:id="304" w:name="page305"/>
    <w:bookmarkEnd w:id="304"/>
    <w:p>
      <w:pPr>
        <w:ind w:left="964" w:hanging="532"/>
        <w:spacing w:after="0"/>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determine the Eligible Persons to which Awards shall be granted, if any, hereunder and the timing of any such Awards;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Award Agreements, to grant Awards and to determine the terms and conditions thereof;</w:t>
      </w:r>
    </w:p>
    <w:p>
      <w:pPr>
        <w:spacing w:after="0" w:line="130"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verify the extent of satisfaction of any performance goals or other conditions applicable to the grant, issuance, vesting, exercise or settlement of any Award;</w:t>
      </w:r>
    </w:p>
    <w:p>
      <w:pPr>
        <w:spacing w:after="0" w:line="67"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or form of any document or notice required to be delivered to the Company or the applicable Affiliate by Participants under this Plan;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extent to which adjustments are required pursuant to Section XV;</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this Plan, any rules and regulations under this Plan and the terms and conditions of any Award granted hereunder, and to make exceptions to any such provisions if the Committee, in good faith, determines that it is appropriate to do so;</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corrections in the documentation or administration of any Award;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it deems necessary or advisable for the administration of this Plan.</w:t>
      </w:r>
    </w:p>
    <w:p>
      <w:pPr>
        <w:spacing w:after="0" w:line="117" w:lineRule="exact"/>
        <w:rPr>
          <w:sz w:val="20"/>
          <w:szCs w:val="20"/>
          <w:color w:val="auto"/>
        </w:rPr>
      </w:pPr>
    </w:p>
    <w:p>
      <w:pPr>
        <w:ind w:left="444" w:right="20"/>
        <w:spacing w:after="0" w:line="258" w:lineRule="auto"/>
        <w:rPr>
          <w:sz w:val="20"/>
          <w:szCs w:val="20"/>
          <w:color w:val="auto"/>
        </w:rPr>
      </w:pPr>
      <w:r>
        <w:rPr>
          <w:rFonts w:ascii="Times New Roman" w:cs="Times New Roman" w:eastAsia="Times New Roman" w:hAnsi="Times New Roman"/>
          <w:sz w:val="18"/>
          <w:szCs w:val="18"/>
          <w:color w:val="auto"/>
        </w:rPr>
        <w:t>The Committee may, in its sole and absolute discretion, without amendment to the Plan but subject to the limitations otherwise set forth in Section XIX: (i) waive or amend the operation of Plan provisions respecting vesting, exercise or settlement in connection with a Termination of Employment or Separation from Service, and/or (ii) waive, settle or adjust any of the terms of any Award so as to avoid unanticipated consequences or address unanticipated events (including any temporary closure of an applicable stock exchange, disruption of communications or natural catastrophe).</w:t>
      </w:r>
    </w:p>
    <w:p>
      <w:pPr>
        <w:spacing w:after="0" w:line="89" w:lineRule="exact"/>
        <w:rPr>
          <w:sz w:val="20"/>
          <w:szCs w:val="20"/>
          <w:color w:val="auto"/>
        </w:rPr>
      </w:pPr>
    </w:p>
    <w:p>
      <w:pPr>
        <w:ind w:left="424" w:right="180" w:hanging="424"/>
        <w:spacing w:after="0" w:line="277" w:lineRule="auto"/>
        <w:tabs>
          <w:tab w:leader="none" w:pos="42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 by the Committee</w:t>
      </w:r>
      <w:r>
        <w:rPr>
          <w:rFonts w:ascii="Times New Roman" w:cs="Times New Roman" w:eastAsia="Times New Roman" w:hAnsi="Times New Roman"/>
          <w:sz w:val="17"/>
          <w:szCs w:val="17"/>
          <w:color w:val="auto"/>
        </w:rPr>
        <w:t>.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w:t>
      </w:r>
    </w:p>
    <w:p>
      <w:pPr>
        <w:spacing w:after="0" w:line="73" w:lineRule="exact"/>
        <w:rPr>
          <w:rFonts w:ascii="Times New Roman" w:cs="Times New Roman" w:eastAsia="Times New Roman" w:hAnsi="Times New Roman"/>
          <w:sz w:val="17"/>
          <w:szCs w:val="17"/>
          <w:color w:val="auto"/>
        </w:rPr>
      </w:pPr>
    </w:p>
    <w:p>
      <w:pPr>
        <w:ind w:left="424" w:hanging="424"/>
        <w:spacing w:after="0" w:line="253" w:lineRule="auto"/>
        <w:tabs>
          <w:tab w:leader="none" w:pos="42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requirements of applicable law, each individual who is or shall have been a member of the Board, the Committee or an officer or manager of the Company to whom authority was delegated in accordance with Section VI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05" w:name="page306"/>
    <w:bookmarkEnd w:id="30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VII. Plan Awards</w:t>
      </w:r>
    </w:p>
    <w:p>
      <w:pPr>
        <w:spacing w:after="0" w:line="135" w:lineRule="exact"/>
        <w:rPr>
          <w:sz w:val="20"/>
          <w:szCs w:val="20"/>
          <w:color w:val="auto"/>
        </w:rPr>
      </w:pPr>
    </w:p>
    <w:p>
      <w:pPr>
        <w:ind w:left="424" w:right="40" w:hanging="424"/>
        <w:spacing w:after="0" w:line="254" w:lineRule="auto"/>
        <w:tabs>
          <w:tab w:leader="none" w:pos="4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Set Forth in Award Agreement</w:t>
      </w:r>
      <w:r>
        <w:rPr>
          <w:rFonts w:ascii="Times New Roman" w:cs="Times New Roman" w:eastAsia="Times New Roman" w:hAnsi="Times New Roman"/>
          <w:sz w:val="18"/>
          <w:szCs w:val="18"/>
          <w:color w:val="auto"/>
        </w:rPr>
        <w:t>. Awards may be granted to Eligible Persons as determined by the Committee at any time, and from time to time, prior to the termination of the Plan. Receipt of an Award does not obligate the Committee to provide future Awards to an Eligible Person. The terms and conditions of each Award shall be set forth in an Award Agreement that includes (other than for Restricted Stock) the time or times at or within which the shares of Common Stock or cash, as applicable, may be acquired from the Company and the consideration, if any, that must be paid. Such Award Agreement may contain, incorporate or reference such applicable terms and conditions described in this Plan and/or such other terms and conditions determined by the Committee consistent with its authority under this Plan. The terms of Awards may vary among Participants, and the Plan does not impose upon the Committee any requirement to make Awards subject to uniform terms or interpretations. Accordingly, individual Award Agreements may vary.</w:t>
      </w:r>
    </w:p>
    <w:p>
      <w:pPr>
        <w:spacing w:after="0" w:line="97"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Subject to the express provisions of the Plan, the Committee shall specify before, at, or after the time of grant of an Award the provisions governing the effect(s) upon an Award of a Participant’s Termination of Employment or Separation from Service.</w:t>
      </w:r>
    </w:p>
    <w:p>
      <w:pPr>
        <w:spacing w:after="0" w:line="67" w:lineRule="exact"/>
        <w:rPr>
          <w:rFonts w:ascii="Times New Roman" w:cs="Times New Roman" w:eastAsia="Times New Roman" w:hAnsi="Times New Roman"/>
          <w:sz w:val="18"/>
          <w:szCs w:val="18"/>
          <w:color w:val="auto"/>
        </w:rPr>
      </w:pPr>
    </w:p>
    <w:p>
      <w:pPr>
        <w:ind w:left="424" w:right="120" w:hanging="424"/>
        <w:spacing w:after="0" w:line="281" w:lineRule="auto"/>
        <w:tabs>
          <w:tab w:leader="none" w:pos="424"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a Shareholder</w:t>
      </w:r>
      <w:r>
        <w:rPr>
          <w:rFonts w:ascii="Times New Roman" w:cs="Times New Roman" w:eastAsia="Times New Roman" w:hAnsi="Times New Roman"/>
          <w:sz w:val="17"/>
          <w:szCs w:val="17"/>
          <w:color w:val="auto"/>
        </w:rPr>
        <w:t>. Except as otherwise set forth in the applicable Award Agreement, a Participant shall have no rights as a shareholder (including voting rights) with respect to shares of Common Stock covered by an Award, other than Restricted Stock, until the date the Participant becomes the holder of record of such shares of Common Stock. No adjustment shall be made for dividends or other rights for which the record date is prior to such date, except as provided in Sections X(b), XI(b), XII or XV of this Plan or as otherwise provided by the Committee.</w:t>
      </w:r>
    </w:p>
    <w:p>
      <w:pPr>
        <w:spacing w:after="0" w:line="69" w:lineRule="exact"/>
        <w:rPr>
          <w:rFonts w:ascii="Times New Roman" w:cs="Times New Roman" w:eastAsia="Times New Roman" w:hAnsi="Times New Roman"/>
          <w:sz w:val="17"/>
          <w:szCs w:val="17"/>
          <w:color w:val="auto"/>
        </w:rPr>
      </w:pPr>
    </w:p>
    <w:p>
      <w:pPr>
        <w:ind w:left="424" w:right="20" w:hanging="424"/>
        <w:spacing w:after="0" w:line="266" w:lineRule="auto"/>
        <w:tabs>
          <w:tab w:leader="none" w:pos="4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Committee, in its sole discretion, shall determine whether fractional shares of Common Stock may be issued pursuant to an Award or in settlement thereof and shall determine whether cash, other Awards or other property shall be issued or paid in lieu of such fractional shares. In addition, the Committee shall determine whether such fractional shares or any rights thereto shall be forfeited or otherwise eliminated.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VIII. Options</w:t>
      </w:r>
    </w:p>
    <w:p>
      <w:pPr>
        <w:spacing w:after="0" w:line="135" w:lineRule="exact"/>
        <w:rPr>
          <w:sz w:val="20"/>
          <w:szCs w:val="20"/>
          <w:color w:val="auto"/>
        </w:rPr>
      </w:pPr>
    </w:p>
    <w:p>
      <w:pPr>
        <w:ind w:left="424" w:hanging="424"/>
        <w:spacing w:after="0" w:line="253" w:lineRule="auto"/>
        <w:tabs>
          <w:tab w:leader="none" w:pos="42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Term and Price</w:t>
      </w:r>
      <w:r>
        <w:rPr>
          <w:rFonts w:ascii="Times New Roman" w:cs="Times New Roman" w:eastAsia="Times New Roman" w:hAnsi="Times New Roman"/>
          <w:sz w:val="18"/>
          <w:szCs w:val="18"/>
          <w:color w:val="auto"/>
        </w:rPr>
        <w:t>. The grant, issuance, vesting, exercise 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except that the term of an Option (other than an Incentive Stock Option) shall be automatically extended if the Participant holding such Option is prohibited by law or the Company’s insider trading policy from exercising the Option at the time of its scheduled expiration, in which case the Option shall expire on the 30th day following the date such prohibition no longer applies. The Committee will establish the price at which Common Stock may be purchased upon exercise of an Option, which may not be less than the Fair Market Value of such shares on the date of grant unless (i) such Option is granted as a Substitute Award and (ii) such exercise price is based on a formula set forth in the terms of the original option agreement or the applicable merger or acquisition agreement that satisfies the requirements of Section 424(a) of the Code if such options are Incentive Stock Options and Section 409A of the Code if such options are Nonqualified Stock Options. The exercise price of any Option may be paid by such methods as determined by the Committee, including by cash in U.S. dollars, by an irrevocable commitment to use the proceeds from a sale of shares of Common Stock issuable under an Option, by delivery of previously owned shares of Common Stock or by withholding of shares of Common Stock otherwise deliverable upon exercise.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306" w:name="page307"/>
    <w:bookmarkEnd w:id="306"/>
    <w:p>
      <w:pPr>
        <w:ind w:left="424" w:right="240" w:hanging="424"/>
        <w:spacing w:after="0" w:line="258" w:lineRule="auto"/>
        <w:tabs>
          <w:tab w:leader="none" w:pos="4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Repricing without Shareholder Approval</w:t>
      </w:r>
      <w:r>
        <w:rPr>
          <w:rFonts w:ascii="Times New Roman" w:cs="Times New Roman" w:eastAsia="Times New Roman" w:hAnsi="Times New Roman"/>
          <w:sz w:val="18"/>
          <w:szCs w:val="18"/>
          <w:color w:val="auto"/>
        </w:rPr>
        <w:t>. Other than in connection with a change in the Company’s capitalization (as described in Section XV), the Committee shall not, without shareholder approval: (i) reduce the exercise price of a previously awarded Option, (ii) at any time when the exercise price of a previously awarded Option is above the Fair Market Value of a share of Common Stock, cancel and re-grant or exchange such Option for cash or a new Award with a lower (or no) exercise price, or (iii) any other action that is treated as a repricing under generally accepted accounting principles.</w:t>
      </w:r>
    </w:p>
    <w:p>
      <w:pPr>
        <w:spacing w:after="0" w:line="88"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Grants</w:t>
      </w:r>
      <w:r>
        <w:rPr>
          <w:rFonts w:ascii="Times New Roman" w:cs="Times New Roman" w:eastAsia="Times New Roman" w:hAnsi="Times New Roman"/>
          <w:sz w:val="18"/>
          <w:szCs w:val="18"/>
          <w:color w:val="auto"/>
        </w:rPr>
        <w:t>. Options shall not be granted under the Plan in consideration for, and shall not be conditioned upon the delivery of, shares of Common Stock to the Company in payment of the exercise price and/or tax withholding obligation under any other employee stock option.</w:t>
      </w:r>
    </w:p>
    <w:p>
      <w:pPr>
        <w:spacing w:after="0" w:line="67"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Notwithstanding anything to the contrary in this Section VIII,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Further notwithstanding anything to the contrary in this Section VIII, Options designated as Incentive Stock Options shall not be eligible for treatment under the Code as Incentive Stock Options (and will be deemed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of its “subsidiary corporations” within the meaning of Section 424 of the Code)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w:t>
      </w:r>
    </w:p>
    <w:p>
      <w:pPr>
        <w:spacing w:after="0" w:line="99"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 of an Option or any shares of Common Stock subject to an Option until the Participant has become the holder of record of such shares.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IX. Stock Appreciation Rights</w:t>
      </w:r>
    </w:p>
    <w:p>
      <w:pPr>
        <w:spacing w:after="0" w:line="135" w:lineRule="exact"/>
        <w:rPr>
          <w:sz w:val="20"/>
          <w:szCs w:val="20"/>
          <w:color w:val="auto"/>
        </w:rPr>
      </w:pPr>
    </w:p>
    <w:p>
      <w:pPr>
        <w:ind w:left="424" w:hanging="424"/>
        <w:spacing w:after="0" w:line="252" w:lineRule="auto"/>
        <w:tabs>
          <w:tab w:leader="none" w:pos="42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The grant, issuance, vesting, exercise 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except that the term of a Stock Appreciation Right shall be automatically extended if the Participant holding such Stock Appreciation Right is prohibited by law or the Company’s insider trading policy from exercising the Stock Appreciation Right at the time of its scheduled expiration, in which case the Stock Appreciation Right shall expire on the 30th day following the date such prohibition no longer applies. Stock Appreciation Rights may be granted to Participants from time to time either in tandem with or as a component of Options granted under the Plan (“tandem SARs”) or not in conjunction with other Awards (“freestanding SARs”).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shall be canceled automatically to the extent of the number of shares covered by such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Section VIII and all tandem SARs shall have the same exercise price as the Option to which they relate. Subject to the provisions of Section VIII and the immediately preceding sentence, the Committee may impose such other conditions or restrictions on any Stock Appreciation Right as it shall deem appropriate. Stock Appreciation Rights may be settled in Common Stock, cash, Restricted Stock or a combination thereof, as determined by the Committee and set forth in the applicable Award Agreement.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307" w:name="page308"/>
    <w:bookmarkEnd w:id="307"/>
    <w:p>
      <w:pPr>
        <w:ind w:left="424" w:right="160" w:hanging="424"/>
        <w:spacing w:after="0" w:line="258" w:lineRule="auto"/>
        <w:tabs>
          <w:tab w:leader="none" w:pos="42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Repricing without Shareholder Approval</w:t>
      </w:r>
      <w:r>
        <w:rPr>
          <w:rFonts w:ascii="Times New Roman" w:cs="Times New Roman" w:eastAsia="Times New Roman" w:hAnsi="Times New Roman"/>
          <w:sz w:val="18"/>
          <w:szCs w:val="18"/>
          <w:color w:val="auto"/>
        </w:rPr>
        <w:t>. Other than in connection with a change in the Company’s capitalization (as described in Section XV), the Committee shall not, without shareholder approval, reduce the exercise price of a previously awarded Stock Appreciation Right, and at any time when the exercise price of a previously awarded Stock Appreciation Right is above the Fair Market Value of a share of Common Stock, the Committee shall not, without shareholder approval, cancel and re-grant or exchange such Stock Appreciation Right for cash or a new Award with a lower (or no) exercise price.</w:t>
      </w:r>
    </w:p>
    <w:p>
      <w:pPr>
        <w:spacing w:after="0" w:line="88"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 of a Stock Appreciation Right or any shares of Common Stock subject to a Stock Appreciation Right until the Participant has become the holder of record of such shares.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 Restricted Stock and Restricted Stock Units</w:t>
      </w:r>
    </w:p>
    <w:p>
      <w:pPr>
        <w:spacing w:after="0" w:line="135" w:lineRule="exact"/>
        <w:rPr>
          <w:sz w:val="20"/>
          <w:szCs w:val="20"/>
          <w:color w:val="auto"/>
        </w:rPr>
      </w:pPr>
    </w:p>
    <w:p>
      <w:pPr>
        <w:ind w:left="424" w:right="140" w:hanging="424"/>
        <w:spacing w:after="0" w:line="258" w:lineRule="auto"/>
        <w:tabs>
          <w:tab w:leader="none" w:pos="42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Performance Criteria</w:t>
      </w:r>
      <w:r>
        <w:rPr>
          <w:rFonts w:ascii="Times New Roman" w:cs="Times New Roman" w:eastAsia="Times New Roman" w:hAnsi="Times New Roman"/>
          <w:sz w:val="18"/>
          <w:szCs w:val="18"/>
          <w:color w:val="auto"/>
        </w:rPr>
        <w:t>. The grant, issuance, vesting or settlement of any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compensation plans or arrangements of the Company.</w:t>
      </w:r>
    </w:p>
    <w:p>
      <w:pPr>
        <w:spacing w:after="0" w:line="88"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Participants in whose name Restricted Stock is granted shall be entitled to receive all dividends and other distributions paid with respect to those shares of Common Stock, unless determined otherwise by the Committee; provided, however, that such dividends and other distributions will be subject to the same restrictions on transferability and vesting conditions as the Restricted Stock with respect to which they were distributed. The Committee will determine whether any such dividends or distributions will be automatically reinvested in additional shares of Restricted Stock or paid in cash. Shares underlying Restricted Stock Units shall be entitled to Dividend Equivalents only to the extent provided by the Committee; provided, however, that such Dividend Equivalents will be subject to the same vesting conditions as the underlying Restricted Stock Units.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 Other Stock-Based Awards</w:t>
      </w:r>
    </w:p>
    <w:p>
      <w:pPr>
        <w:spacing w:after="0" w:line="133" w:lineRule="exact"/>
        <w:rPr>
          <w:sz w:val="20"/>
          <w:szCs w:val="20"/>
          <w:color w:val="auto"/>
        </w:rPr>
      </w:pPr>
    </w:p>
    <w:p>
      <w:pPr>
        <w:ind w:left="424" w:right="200" w:hanging="424"/>
        <w:spacing w:after="0" w:line="257" w:lineRule="auto"/>
        <w:tabs>
          <w:tab w:leader="none" w:pos="42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limitations under applicable law, the Committee is authorized to grant to Eligible Persons such other Awards that may be denominated or payable in, valued in whole or in part by reference to, or otherwise based on or related to, the value of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Section XI shall be purchased for such consideration and paid for at such times, by such methods and in such forms (including cash, Common Stock, other Awards or other property) as the Committee shall determine.</w:t>
      </w:r>
    </w:p>
    <w:p>
      <w:pPr>
        <w:spacing w:after="0" w:line="89"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Shares underlying Other Stock-Based Awards shall be entitled to Dividend Equivalents only to the extent provided by the Committee; provided, however, that such Dividend Equivalents will be subject to the same vesting conditions as the underlying Other Stock-Based Award.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308" w:name="page309"/>
    <w:bookmarkEnd w:id="30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XII. Performance Awards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Committee may establish performance criteria and level of achievement versus such criteria that shall determine the amount of cash or the number of shares of Common Stock, Options, SARs, Restricted Stock or Restricted Stock Units to be granted, retained, vested, issued or paid pursuant to a Performance Award. A Performance Award may be identified as “Performance Share,” “Performance Equity,” “Performance Unit” or other such term as chosen by the Committee. Participants shall have no voting rights and will have no rights to receive dividends or Dividend Equivalents in respect of a Performance Award that is an Option or Stock Appreciation Right or any shares of Common Stock subject to such Option or Stock Appreciation Right until the Participant has become the holder of record of such shares. Shares underlying other Performance Awards shall be entitled to Dividend Equivalents only to the extent provided by the Committee; provided, however, that such Dividend Equivalents will be subject to the same vesting conditions as the underlying Performance Award.</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XIII. Deferral of Payment</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The Committee may, in an Award Agreement or otherwise, provide for the deferred delivery of Common Stock or cash upon vesting or other events with respect to Restricted Stock Units or Other Stock-Based Awards. Notwithstanding any provision of the Plan to the contrary, (i) no Award shall provide for deferral of compensation that does not comply with Section 409A of the Code and (ii) in no event will any election to defer the delivery of Common Stock or any other payment with respect to any Award be allowed if the Committee determines, in its sole discretion, that the deferral would result in the imposition of additional tax under Section 409A of the Code. None of the Company, its Affiliates, the Board, the Committee or any delegates thereof shall have any liability for its actions or otherwise to a Participant or any other party if an Award that is intended to be exempt from or compliant with Section 409A of the Code is not so exempt or compliant.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XIV. Conditions and Restrictions Upon Securities Subject to Awards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Committee may provide that the Common Stock subject to or issued upon exercise or settlement of an Award shall be subject to such further agreements, restrictions, conditions or limitations as the Committee in its discretion may specify prior to the grant, issuance, vesting, exercise or settlement of such Award. Without limiting the foregoing, such restrictions may address the timing and manner of any resales or other transfers by the Participant of any shares of Common Stock issued under an Award, including (a) restrictions under an insider trading policy, a stock ownership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XV. Adjustment of and Changes in the Stock</w:t>
      </w:r>
    </w:p>
    <w:p>
      <w:pPr>
        <w:spacing w:after="0" w:line="135" w:lineRule="exact"/>
        <w:rPr>
          <w:sz w:val="20"/>
          <w:szCs w:val="20"/>
          <w:color w:val="auto"/>
        </w:rPr>
      </w:pPr>
    </w:p>
    <w:p>
      <w:pPr>
        <w:ind w:left="424" w:right="80" w:hanging="424"/>
        <w:spacing w:after="0" w:line="270" w:lineRule="auto"/>
        <w:tabs>
          <w:tab w:leader="none" w:pos="424"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kind of shares of Common Stock available for issuance under this Plan (including under any Awards then outstanding)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Common Stock outstanding. Such adjustment may be designed to (i) comply with Section 424 of the Code,</w:t>
      </w:r>
    </w:p>
    <w:p>
      <w:pPr>
        <w:spacing w:after="0" w:line="2" w:lineRule="exact"/>
        <w:rPr>
          <w:rFonts w:ascii="Times New Roman" w:cs="Times New Roman" w:eastAsia="Times New Roman" w:hAnsi="Times New Roman"/>
          <w:sz w:val="17"/>
          <w:szCs w:val="17"/>
          <w:color w:val="auto"/>
        </w:rPr>
      </w:pPr>
    </w:p>
    <w:p>
      <w:pPr>
        <w:ind w:left="424"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 treat the shares of Common Stock available under the Plan and subject to Awards as if they were all outstanding on the record date for such event or transaction, and/or (iii) increase the number of such shares of Common Stock to reflect a deemed reinvestment in shares of Common Stock of the amount distributed to the Company’s shareholders. The terms of any outstanding Award shall also be equitably adjusted by the Committee as to price, number or kind of shares of Common Stock subject to such Award, vesting, performance criteria, and other terms to reflect the foregoing events, which adjustments need not be uniform as between different Awards or different types of Awards. No fractional shares of Common Stock shall be issued or issuable pursuant to such an adjustment.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309" w:name="page310"/>
    <w:bookmarkEnd w:id="309"/>
    <w:p>
      <w:pPr>
        <w:ind w:left="424" w:hanging="424"/>
        <w:spacing w:after="0" w:line="256" w:lineRule="auto"/>
        <w:tabs>
          <w:tab w:leader="none" w:pos="42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there is any other change in the number or kind of outstanding shares of Common Stock (or other securities into which such Common Stock is changed or for which it is exchanged) by reason of a Change in Control, other merger, consolidation or otherwise, then the Committee shall determine the appropriate and equitable adjustment to be affected, which adjustments need not be uniform between different Awards or different types of Awards. In addition, in such event, the Committee may (i) accelerate the time or times at which any Award may be exercised or settled, consistent with and as otherwise permitted under Section 409A of the Code, and/or (ii) provide for cancellation of such accelerated Awards that are not exercised within a time prescribed by the Committee in its sole discretion.</w:t>
      </w:r>
    </w:p>
    <w:p>
      <w:pPr>
        <w:spacing w:after="0" w:line="92"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the Committee, acting in its sole discretion without the consent or approval of any Participant, may take one or more of the following actions, which may vary among individual Participants and/or among Awards held by any individual Participant: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vesting or waive any forfeiture conditions;</w:t>
      </w:r>
    </w:p>
    <w:p>
      <w:pPr>
        <w:spacing w:after="0" w:line="130"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w:t>
      </w:r>
    </w:p>
    <w:p>
      <w:pPr>
        <w:spacing w:after="0" w:line="81" w:lineRule="exact"/>
        <w:rPr>
          <w:rFonts w:ascii="Times New Roman" w:cs="Times New Roman" w:eastAsia="Times New Roman" w:hAnsi="Times New Roman"/>
          <w:sz w:val="18"/>
          <w:szCs w:val="18"/>
          <w:color w:val="auto"/>
        </w:rPr>
      </w:pPr>
    </w:p>
    <w:p>
      <w:pPr>
        <w:ind w:left="964" w:hanging="532"/>
        <w:spacing w:after="0" w:line="256" w:lineRule="auto"/>
        <w:tabs>
          <w:tab w:leader="none" w:pos="96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in whole or in part outstanding Awards by requiring the mandatory surrender to the Company of some or all of the outstanding Awards held by a Participant (irrespective of whether such Awards are then vested or exercisable) as of a date specified by the Committee, in which event the Committee shall thereupon cancel such Awards and pay to each Participant an amount of cash or other consideration per Award equal to the Change in Control Price (less the exercise price with respect to an Option or SAR with an exercise price that is less than or equal to the Change in Control Price) or no consideration if the exercise price of an Option or SAR exceeds the Change in Control Price;</w:t>
      </w:r>
    </w:p>
    <w:p>
      <w:pPr>
        <w:spacing w:after="0" w:line="92"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require the mandatory surrender of Dividend Equivalents in exchange for such cash or other consideration (if any) determined by the Committee in is sole discretion; or</w:t>
      </w:r>
    </w:p>
    <w:p>
      <w:pPr>
        <w:spacing w:after="0" w:line="67" w:lineRule="exact"/>
        <w:rPr>
          <w:rFonts w:ascii="Times New Roman" w:cs="Times New Roman" w:eastAsia="Times New Roman" w:hAnsi="Times New Roman"/>
          <w:sz w:val="18"/>
          <w:szCs w:val="18"/>
          <w:color w:val="auto"/>
        </w:rPr>
      </w:pPr>
    </w:p>
    <w:p>
      <w:pPr>
        <w:ind w:left="964" w:right="260" w:hanging="532"/>
        <w:spacing w:after="0" w:line="312" w:lineRule="auto"/>
        <w:tabs>
          <w:tab w:leader="none" w:pos="964"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such adjustments to Awards then outstanding as the Committee deems appropriate to reflect such Change in Control or other such event (including the substitution, assumption, or continuation of Awards by the successor company or a parent or subsidiary thereof).</w:t>
      </w:r>
    </w:p>
    <w:p>
      <w:pPr>
        <w:spacing w:after="0" w:line="32" w:lineRule="exact"/>
        <w:rPr>
          <w:sz w:val="20"/>
          <w:szCs w:val="20"/>
          <w:color w:val="auto"/>
        </w:rPr>
      </w:pPr>
    </w:p>
    <w:p>
      <w:pPr>
        <w:ind w:left="444" w:right="40"/>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of a Change in Control in which the acquiring or surviving company in the transaction (or any parent or subsidiary thereof) does not assume or continue outstanding Awards or issue substitute awards upon the Change in Control in a manner determined by the Committee, in its sole discretion, pursuant to this Section XV(c),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Performance Award, all conditions to the grant, issuance, vesting or settlement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outstanding Restricted Stock, Restricted Stock Units or Other Stock-Based Awards (other than a Performance Award), all conditions to the grant, issuance, vesting or settlement of (or any other restrictions applicable to) such Award shall immediately lapse. In no event shall any action be taken pursuant to this Section XV(c) that would change the payment or settlement date of an Award in a manner that would result in the imposition of any additional taxes or penalties pursuant to Section 409A of the Code.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10" w:name="page311"/>
    <w:bookmarkEnd w:id="310"/>
    <w:p>
      <w:pPr>
        <w:ind w:left="424" w:right="600" w:hanging="424"/>
        <w:spacing w:after="0" w:line="282" w:lineRule="auto"/>
        <w:tabs>
          <w:tab w:leader="none" w:pos="42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no provision of the Plan or any Award Agreement shall provide to any Participant a gross-up payment or other compensation for any taxes imposed by Section 4999 of the Code or otherwise.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XVI. Transferability</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Each Award may not be sold, transferred for value, pledged, assigned, or otherwise alienated or hypothecated by a Participant, and each Option or Stock Appreciation Right shall be exercisable only by the Participant during his or her lifetime. Notwithstanding the foregoing, as permitted by the Committee under procedures it establishes, a Participant may (i) transfer or assign an Award as a gift to any family member who may be entitled to exercise any assigned Options or Stock Appreciation Rights only during the lifetime of the assigning Participant and (ii) designate one or more beneficiaries with respect to Awards in the event of a Participant’s death who may be entitled to exercise any Options or Stock Appreciation rights as provided by the Committee. In such case, such family member or beneficiary shall not further sell, pledge, transfer, assign or otherwise alienate or hypothecate such Award, and the Participant’s estate will be deemed the beneficiary in the absence of a beneficiary designation.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XVII. Compliance with Laws and Regulations</w:t>
      </w:r>
    </w:p>
    <w:p>
      <w:pPr>
        <w:spacing w:after="0" w:line="135" w:lineRule="exact"/>
        <w:rPr>
          <w:sz w:val="20"/>
          <w:szCs w:val="20"/>
          <w:color w:val="auto"/>
        </w:rPr>
      </w:pPr>
    </w:p>
    <w:p>
      <w:pPr>
        <w:ind w:left="424" w:right="20" w:hanging="424"/>
        <w:spacing w:after="0" w:line="254" w:lineRule="auto"/>
        <w:tabs>
          <w:tab w:leader="none" w:pos="42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the grant, issuance, vesting, exercise and settlement of Awards hereunder, and the obligation of the Company to sell, issue or deliver shares of Common Stock under such Awards, shall be subject to all applicable foreign, federal, state and local laws, governmental and regulatory approvals, and stock exchange rules and regulations. The Company shall not be required to register in a Participant’s name or deliver Common Stock prior to the completion of any registration or qualification of such shares which the Committee shall determine to be necessary or advisable. To the extent the Company is unable to (or the Committee deems it infeasible to) obtain approval from any regulatory body deemed by the Company’s counsel to be advisable to the lawful issuance and sale of any shares of Common Stock hereunder, the Company, its Affiliates, the Board, the Committee and any delegates thereof shall be relieved of any liability with respect to the failure to issue or sell such shares of Common Stock.</w:t>
      </w:r>
    </w:p>
    <w:p>
      <w:pPr>
        <w:spacing w:after="0" w:line="97" w:lineRule="exact"/>
        <w:rPr>
          <w:rFonts w:ascii="Times New Roman" w:cs="Times New Roman" w:eastAsia="Times New Roman" w:hAnsi="Times New Roman"/>
          <w:sz w:val="18"/>
          <w:szCs w:val="18"/>
          <w:color w:val="auto"/>
        </w:rPr>
      </w:pPr>
    </w:p>
    <w:p>
      <w:pPr>
        <w:ind w:left="424" w:right="140" w:hanging="424"/>
        <w:spacing w:after="0" w:line="258" w:lineRule="auto"/>
        <w:tabs>
          <w:tab w:leader="none" w:pos="42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Award is granted to or held by a Participant who is employed or providing services outside the United States, the Committee may (in its sole discretion) modify the provisions of the Plan or such Award (or create sub-plans) as they pertain to such individual to comply with applicable foreign law or to recognize differences in local law, currency or tax policy. The Committee may also impose conditions on the grant, issuance, vesting, exercise or settlement of Awards in order to comply with such foreign law and/or to minimize the Company’s obligations with respect to tax equalization for Participants employed outside their home country.</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XVIII. Withholding</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To the extent required by applicable foreign, federal, state or local law, a Participant shall (and the Committee may) make arrangements acceptable to the Company for the satisfaction of any tax withholding obligations that arise with respect to any Award or the issuance or sale of any shares of Common Stock. The Company shall not be required to recognize any Participant’s rights, issue shares of Common Stock, or recognize the disposition of shares of Common Stock, under an Award until such obligations are satisfied. To the extent permitted or required by the Committee, these obligations may or shall be satisfied by (i) the Company withholding cash from any compensation otherwise payable to or for the benefit of a Participant, (ii) the Company withholding a portion of the shares of Common Stock that otherwise would be issued to a Participant under such Award or any other Award held by the Participant, or (iii) the Participant tendering to the Company cash or shares of Common Stock. None of the Company, its Affiliates, the Board, the Committee or any delegates thereof shall be liable to a Participant or any other person as to any tax consequence expected but not realized (or unexpected and realized) due to the grant, issuance, vesting, exercise or settlement of any Award.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11" w:name="page312"/>
    <w:bookmarkEnd w:id="3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XIX. Amendment of the Plan or Awards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Board or its designee may amend, alter, suspend or terminate the Plan at any time and for any reason, and the Committee or its designee may amend or alter any Award Agreement or other document evidencing an Award made under this Plan. Notwithstanding the foregoing and except as provided in Section XV, no such amendment shall, without the approval of the shareholders of the Company:</w:t>
      </w:r>
    </w:p>
    <w:p>
      <w:pPr>
        <w:spacing w:after="0" w:line="81" w:lineRule="exact"/>
        <w:rPr>
          <w:sz w:val="20"/>
          <w:szCs w:val="20"/>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shares of Common Stock for which Awards may be granted under this Plan;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Options may be granted below the price provided in Section VIII(a);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outstanding Options or SARs as described in Sections VIII(b) and IX(b);</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Eligible Persons;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individual maximum limits in Section V(f); or</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the Plan in any manner requiring shareholder approval by law or the rules of any stock exchange, market or quotation system on which the Common Stock is traded, listed or quoted.</w:t>
      </w:r>
    </w:p>
    <w:p>
      <w:pPr>
        <w:spacing w:after="0" w:line="162"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any Award Agreement, no amendment or alteration to the Plan, an Award or an Award Agreement shall be made which would materially impair the rights of the Award holder without the Award holder’s consent. Notwithstanding the foregoing, no such consent shall be required to the extent the Committee determines, in its sole discretion and prior to the date of any applicable Change in Control, that such amendment or alteration either (i) is required or advisable in order for the Company, the Plan or the Award to satisfy any law or accounting standard (or to avoid adverse financial accounting consequences) or (ii) is not reasonably likely to significantly diminish the benefits provided under such Award (or has been adequately compensated).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XX. Other</w:t>
      </w:r>
    </w:p>
    <w:p>
      <w:pPr>
        <w:spacing w:after="0" w:line="135" w:lineRule="exact"/>
        <w:rPr>
          <w:sz w:val="20"/>
          <w:szCs w:val="20"/>
          <w:color w:val="auto"/>
        </w:rPr>
      </w:pPr>
    </w:p>
    <w:p>
      <w:pPr>
        <w:ind w:left="424" w:right="60" w:hanging="424"/>
        <w:spacing w:after="0" w:line="261" w:lineRule="auto"/>
        <w:tabs>
          <w:tab w:leader="none" w:pos="4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Plan</w:t>
      </w:r>
      <w:r>
        <w:rPr>
          <w:rFonts w:ascii="Times New Roman" w:cs="Times New Roman" w:eastAsia="Times New Roman" w:hAnsi="Times New Roman"/>
          <w:sz w:val="18"/>
          <w:szCs w:val="18"/>
          <w:color w:val="auto"/>
        </w:rPr>
        <w:t>. 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w:t>
      </w:r>
    </w:p>
    <w:p>
      <w:pPr>
        <w:spacing w:after="0" w:line="85" w:lineRule="exact"/>
        <w:rPr>
          <w:rFonts w:ascii="Times New Roman" w:cs="Times New Roman" w:eastAsia="Times New Roman" w:hAnsi="Times New Roman"/>
          <w:sz w:val="18"/>
          <w:szCs w:val="18"/>
          <w:color w:val="auto"/>
        </w:rPr>
      </w:pPr>
    </w:p>
    <w:p>
      <w:pPr>
        <w:ind w:left="424" w:right="140" w:hanging="424"/>
        <w:spacing w:after="0" w:line="258" w:lineRule="auto"/>
        <w:tabs>
          <w:tab w:leader="none" w:pos="4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any Award Agreements or other documents hereunder shall be interpreted and construed in accordance with the laws of the State of Delaware and applicable federal law, including securities laws. All references in this Plan or an Award Agreement or similar document to laws, rules, regulations, contracts, agreements and instruments refer to (i) all rules, regulations and administrative guidance promulgated thereunder, (ii) such items as they may be amended from time to time and (iii) any successor law, rule or regulation of similar effect or applicability.</w:t>
      </w:r>
    </w:p>
    <w:p>
      <w:pPr>
        <w:spacing w:after="0" w:line="88"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Reelection or Continued Service</w:t>
      </w:r>
      <w:r>
        <w:rPr>
          <w:rFonts w:ascii="Times New Roman" w:cs="Times New Roman" w:eastAsia="Times New Roman" w:hAnsi="Times New Roman"/>
          <w:sz w:val="18"/>
          <w:szCs w:val="18"/>
          <w:color w:val="auto"/>
        </w:rPr>
        <w:t>. Nothing in this Plan or related to any Award shall itself (i) constitute an employment contract with the Company or its Affiliate, (ii) confer upon any Participant any right to continue employment or service for any specified period of time or (iii) limit in any way the right of the Company or its Affiliates to terminate any Participant’s employment, service on the Board or other service at any time and for any reason not prohibited by law. Subject to Sections IV and XIX, this Plan and the benefits hereunder may be terminated at any time in the sole and exclusive discretion of the Board without giving rise to any liability on the part of the Company, its Affiliates, the Board, the Committee or any delegates thereof.</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312" w:name="page313"/>
    <w:bookmarkEnd w:id="312"/>
    <w:p>
      <w:pPr>
        <w:ind w:left="424" w:right="180" w:hanging="424"/>
        <w:spacing w:after="0" w:line="266"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Specified Employee Delay</w:t>
      </w:r>
      <w:r>
        <w:rPr>
          <w:rFonts w:ascii="Times New Roman" w:cs="Times New Roman" w:eastAsia="Times New Roman" w:hAnsi="Times New Roman"/>
          <w:sz w:val="18"/>
          <w:szCs w:val="18"/>
          <w:color w:val="auto"/>
        </w:rPr>
        <w:t>. If, upon Separation from Service, a Participant is a “specified employee” within the meaning of Section 409A of the Code, any payment under this Plan that is subject to Section 409A of the Code and would otherwise be paid within six months after the Participant’s Separation from Service will instead be paid in the seventh month following the Participant’s Separation from Service.</w:t>
      </w:r>
    </w:p>
    <w:p>
      <w:pPr>
        <w:spacing w:after="0" w:line="81"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Award shall be held unlawful or otherwise invalid or unenforceable in whole or in part, the unlawfulness, invalidity, or unenforceability shall not affect any other provision of the Plan or any Award, each of which shall remain in full force and effect. Likewise, if the Committee determines that any provision would disqualify the Plan or any Award under any law, rule or regulation it deems applicable, such provision shall be construed or deemed amended to conform with the applicable law, rule or regulation, as determined by the Committee.</w:t>
      </w:r>
    </w:p>
    <w:p>
      <w:pPr>
        <w:spacing w:after="0" w:line="88"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is intended to be an unfunded plan, and Participants are general creditors of the Company with respect to their Awards. If the Committee or the Company chooses to set aside funds in a trust or otherwise for the payment of Awards under the Plan, such funds shall at all times be subject to the Company’s creditors.</w:t>
      </w:r>
    </w:p>
    <w:p>
      <w:pPr>
        <w:spacing w:after="0" w:line="77" w:lineRule="exact"/>
        <w:rPr>
          <w:rFonts w:ascii="Times New Roman" w:cs="Times New Roman" w:eastAsia="Times New Roman" w:hAnsi="Times New Roman"/>
          <w:sz w:val="18"/>
          <w:szCs w:val="18"/>
          <w:color w:val="auto"/>
        </w:rPr>
      </w:pPr>
    </w:p>
    <w:p>
      <w:pPr>
        <w:ind w:left="424" w:right="100" w:hanging="424"/>
        <w:spacing w:after="0" w:line="262"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Headings are used within the Plan, Award Agreements and other related documents solely as a convenience shall not be deemed in any way material or relevant to the construction or interpretation of any provision of the Plan. The use of the word “including” following any general statement in the Plan, Award Agreements or any related documents shall not be construed to limit the scope of such statement, regardless of whether it is accompanied by non-limiting language (such as “without limitation”).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XXI. Clawback/Recoupment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If a Participant’s Termination of Employment or Separation from Service is for Cause or if the Committee determines in its sole discretion that a Participant has engaged in conduct that (a) constitutes a breach of an agreement with the Company or its Affiliate, (b) results in (or has the potential to cause) material harm financially, reputationally, or otherwise to the Company or its Affiliate or (c) occurred prior to the Participant’s Termination of Employment or Separation from Service and would give rise to a termination for Cause (regardless of whether such conduct is discovered before, during or after the Participant’s Termination of Employment or Separation from Service), the Participant shall forfeit the Participant’s right to any unvested or unexercised Awards and may be required to repay any cash, Common Stock or other property received pursuant to vested and exercised Awards to the extent recovery is permitted by law. The remedy under this Section XXI is not exclusive and shall not limit any right of the Company under applicable law, including a remedy under (i) Section 10D of the Act, (ii) any applicable rules or regulations promulgated by the Securities and Exchange Commission or any national securities exchange or national securities association on which shares of the Company may be traded, and/or (iii) any Company policy adopted with respect to compensation recoupment.</w:t>
      </w:r>
    </w:p>
    <w:p>
      <w:pPr>
        <w:spacing w:after="0" w:line="194" w:lineRule="exact"/>
        <w:rPr>
          <w:sz w:val="20"/>
          <w:szCs w:val="20"/>
          <w:color w:val="auto"/>
        </w:rPr>
      </w:pPr>
    </w:p>
    <w:p>
      <w:pPr>
        <w:ind w:left="4" w:right="120"/>
        <w:spacing w:after="0" w:line="281" w:lineRule="auto"/>
        <w:rPr>
          <w:sz w:val="20"/>
          <w:szCs w:val="20"/>
          <w:color w:val="auto"/>
        </w:rPr>
      </w:pPr>
      <w:r>
        <w:rPr>
          <w:rFonts w:ascii="Times New Roman" w:cs="Times New Roman" w:eastAsia="Times New Roman" w:hAnsi="Times New Roman"/>
          <w:sz w:val="17"/>
          <w:szCs w:val="17"/>
          <w:color w:val="auto"/>
        </w:rPr>
        <w:t>In addition, 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described in this Section XXI will give rise to a right to resign for “good reason” or a “constructive termination” as such terms (or any similar term) are used in any agreement between any Participant and the Company or its Affiliate.</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ind w:left="4" w:right="3520"/>
        <w:spacing w:after="0" w:line="377" w:lineRule="auto"/>
        <w:rPr>
          <w:sz w:val="20"/>
          <w:szCs w:val="20"/>
          <w:color w:val="auto"/>
        </w:rPr>
      </w:pPr>
      <w:r>
        <w:rPr>
          <w:rFonts w:ascii="Times New Roman" w:cs="Times New Roman" w:eastAsia="Times New Roman" w:hAnsi="Times New Roman"/>
          <w:sz w:val="18"/>
          <w:szCs w:val="18"/>
          <w:b w:val="1"/>
          <w:bCs w:val="1"/>
          <w:color w:val="auto"/>
        </w:rPr>
        <w:t>GE HEALTHCARE TECHNOLOGIES INC. MIRROR 2022 LONG-TERM INCENTIVE PLAN Section I. Purpose</w:t>
      </w:r>
    </w:p>
    <w:p>
      <w:pPr>
        <w:spacing w:after="0" w:line="2"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The purpose of this GE HealthCare Technologies Inc. Mirror 2022 Long-Term Incentive Plan is to assume on the Effective Date (as defined below), as a result of the spin-off of GE’s healthcare business (the “Spin-Off”), awards in GE HealthCare Technologies Inc. as a result of the conversion of awards originally issued by General Electric Company (including any of its subsidiaries or affiliates, “GE”) under the GE 2022 Long-Term Incentive Plan, as amended from time to time (the “GE 2022 LTIP”) (such awards assuming the maximum achievement of performance metrics with respect to any GE performance-based awards, the “Spin-Off Awards”), to (i) certain current and former employees of GE and its affiliates as of the Spin-Off (“GE Participants”) and (ii) certain employees of GE HealthCare Technologies Inc. and its Affiliates as of the Spin-Off (“GE HealthCare Participants”, and together with GE Participants, “Spin-Off Participants”). Notwithstanding anything herein to the contrary, other than the Spin-Off Awards, no Awards (as defined below) shall be granted under this GE HealthCare Technologies Inc. Mirror 2022 Long-Term Incentive Plan following the Effective Date.</w:t>
      </w:r>
    </w:p>
    <w:p>
      <w:pPr>
        <w:spacing w:after="0" w:line="192"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Each Spin-Off Participant’s rights under this Plan are intended to be the same as such Spin-Off Participant’s rights under the GE 2022 LTIP immediately prior to the Effective Date. For the avoidance of doubt, (i) each Spin-Off Participant’s service with GE prior to the Effective Date shall be credited for purposes of such Spin-Off Participant’s respective Spin-Off Awards, (ii) no Spin-Off Participant shall be treated as incurring a Termination of Employment (as defined below), Separation from Service (as defined below), retirement or similar event for purposes of vesting, settlement, forfeiture or any other purpose under this Plan solely as a result of the Spin-Off and (iii) any Spin-Off Participant whose employment is terminated from GE or GE HealthCare Technologies Inc. (or its subsidiaries or affiliates), as applicable, shall be deemed to have a Termination of Employment and Separation from Service under this Plan, even if such Spin-Off Participant is subsequently hired by GE HealthCare Technologies Inc. (or its subsidiaries or affiliates) or GE, as applicable.</w:t>
      </w:r>
    </w:p>
    <w:p>
      <w:pPr>
        <w:spacing w:after="0" w:line="192"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Notwithstanding anything herein to the contrary, with respect to any GE Participant, (i) all determinations with respect to the employment, status of employment or characterization of termination of employment (including any amendment or acceleration of vesting, exercise or settlement of the GE Participant’s respective Spin-Off Awards in connection with any termination of employment) shall be made by GE, and (ii) with respect to the definitions of “Cause,” “Disability,” “Good Reason,” “Retirement” and “Termination of Employment” and the provisions of Section XXI, references to</w:t>
      </w:r>
    </w:p>
    <w:p>
      <w:pPr>
        <w:spacing w:after="0" w:line="3" w:lineRule="exact"/>
        <w:rPr>
          <w:sz w:val="20"/>
          <w:szCs w:val="20"/>
          <w:color w:val="auto"/>
        </w:rPr>
      </w:pPr>
    </w:p>
    <w:p>
      <w:pPr>
        <w:ind w:left="4" w:right="20" w:hanging="4"/>
        <w:spacing w:after="0" w:line="255" w:lineRule="auto"/>
        <w:tabs>
          <w:tab w:leader="none" w:pos="29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refer to “GE,” (B) the “Committee” shall refer to the Management Development and Compensation Committee of the Board of Directors of GE (or its successor) and (C) “Affiliate” shall refer to any company or business entity under the direct or indirect control of GE, and any company or business entity in which GE has a 50% or more interest, in each case, as determined by the GE Committee.</w:t>
      </w:r>
    </w:p>
    <w:p>
      <w:pPr>
        <w:sectPr>
          <w:pgSz w:w="11900" w:h="16838" w:orient="portrait"/>
          <w:cols w:equalWidth="0" w:num="1">
            <w:col w:w="11024"/>
          </w:cols>
          <w:pgMar w:left="436" w:top="117" w:right="439" w:bottom="1440" w:gutter="0" w:footer="0" w:header="0"/>
        </w:sectPr>
      </w:pPr>
    </w:p>
    <w:bookmarkStart w:id="314" w:name="page315"/>
    <w:bookmarkEnd w:id="3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II. 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131" w:lineRule="exact"/>
        <w:rPr>
          <w:sz w:val="20"/>
          <w:szCs w:val="20"/>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means the Securities Exchange Act of 1934.</w:t>
      </w:r>
    </w:p>
    <w:p>
      <w:pPr>
        <w:spacing w:after="0" w:line="130"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company or business entity under the direct or indirect control of the Company, and any company or business entity in which the Company has a 50% or more interest, in each case, as determined by the Committee.</w:t>
      </w:r>
    </w:p>
    <w:p>
      <w:pPr>
        <w:spacing w:after="0" w:line="67"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 Option, Stock Appreciation Right, Restricted Stock, Restricted Stock Unit, Performance Award or Other Stock-Based Award, or any combination of these, granted to a Participant pursuant to the provisions of the Plan.</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a written or electronic agreement or other instrument implementing the grant of each Award. An Award Agreement may be in the form of an agreement to be executed by the Participant (or both the Participant and an authorized representative of the Company), or in the form of certificates, notices or similar instruments as approved by the Committee and designated as such.</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except as otherwise provided in an Award Agreement, as determined in the sole discretion of the Committee, the Participant’s:</w:t>
      </w:r>
    </w:p>
    <w:p>
      <w:pPr>
        <w:spacing w:after="0" w:line="130"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Employee Innovation and Proprietary Information Agreement or any other confidentiality, non-solicitation or non-competition agreement with the Company or any Affiliate, or breach of a material term of any other agreement between the Participant and the Company or any Affiliate;</w:t>
      </w:r>
    </w:p>
    <w:p>
      <w:pPr>
        <w:spacing w:after="0" w:line="81"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in conduct that results in, or has the potential to cause, material harm financially, reputationally, or otherwise to the Company or any Affiliate;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dishonesty, fraud, embezzlement or theft;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plea of guilty or no contest to a felony or crime involving moral turpitude; or</w:t>
      </w:r>
    </w:p>
    <w:p>
      <w:pPr>
        <w:spacing w:after="0" w:line="130" w:lineRule="exact"/>
        <w:rPr>
          <w:rFonts w:ascii="Times New Roman" w:cs="Times New Roman" w:eastAsia="Times New Roman" w:hAnsi="Times New Roman"/>
          <w:sz w:val="18"/>
          <w:szCs w:val="18"/>
          <w:color w:val="auto"/>
        </w:rPr>
      </w:pPr>
    </w:p>
    <w:p>
      <w:pPr>
        <w:ind w:left="964" w:right="540" w:hanging="532"/>
        <w:spacing w:after="0" w:line="282"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Company’s or any Affiliate’s policies and procedures, including but not limited to the Company’s code of conduct.</w:t>
      </w:r>
    </w:p>
    <w:p>
      <w:pPr>
        <w:spacing w:after="0" w:line="54" w:lineRule="exact"/>
        <w:rPr>
          <w:sz w:val="20"/>
          <w:szCs w:val="20"/>
          <w:color w:val="auto"/>
        </w:rPr>
      </w:pPr>
    </w:p>
    <w:p>
      <w:pPr>
        <w:ind w:left="444" w:right="660"/>
        <w:spacing w:after="0" w:line="282" w:lineRule="auto"/>
        <w:rPr>
          <w:sz w:val="20"/>
          <w:szCs w:val="20"/>
          <w:color w:val="auto"/>
        </w:rPr>
      </w:pPr>
      <w:r>
        <w:rPr>
          <w:rFonts w:ascii="Times New Roman" w:cs="Times New Roman" w:eastAsia="Times New Roman" w:hAnsi="Times New Roman"/>
          <w:sz w:val="18"/>
          <w:szCs w:val="18"/>
          <w:color w:val="auto"/>
        </w:rPr>
        <w:t>A Participant’s employment or service will be deemed to have been terminated for Cause if the Committee determines subsequent to such termination that Cause existed at the time of such termination.</w:t>
      </w:r>
    </w:p>
    <w:p>
      <w:pPr>
        <w:spacing w:after="0" w:line="67" w:lineRule="exact"/>
        <w:rPr>
          <w:sz w:val="20"/>
          <w:szCs w:val="20"/>
          <w:color w:val="auto"/>
        </w:rPr>
      </w:pPr>
    </w:p>
    <w:p>
      <w:pPr>
        <w:ind w:left="5464" w:right="940" w:hanging="5464"/>
        <w:spacing w:after="0" w:line="454" w:lineRule="auto"/>
        <w:tabs>
          <w:tab w:leader="none" w:pos="43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except as otherwise provided in an Award Agreement, the occurrence of any one of the following events: 2</w:t>
      </w:r>
    </w:p>
    <w:p>
      <w:pPr>
        <w:sectPr>
          <w:pgSz w:w="11900" w:h="16838" w:orient="portrait"/>
          <w:cols w:equalWidth="0" w:num="1">
            <w:col w:w="11024"/>
          </w:cols>
          <w:pgMar w:left="436" w:top="266" w:right="439" w:bottom="1440" w:gutter="0" w:footer="0" w:header="0"/>
        </w:sectPr>
      </w:pPr>
    </w:p>
    <w:bookmarkStart w:id="315" w:name="page316"/>
    <w:bookmarkEnd w:id="315"/>
    <w:p>
      <w:pPr>
        <w:ind w:left="964" w:right="60" w:hanging="532"/>
        <w:spacing w:after="0" w:line="258" w:lineRule="auto"/>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transaction or series of transactions (other than an offering of Common Stock to the general public through a registration statement filed with the Securities and Exchange Commission) whereby a Person directly or indirectly acquires beneficial ownership (within the meaning of Rule 13d-3 promulgated under the Act) of 50% or more of either (A) the then-outstanding shares of Common Stock (the “Outstanding Shares”) or (B) the combined voting power of the then-outstanding voting securities of the Company entitled to vote generally in the election of directors (the “Outstanding Voting Securities”);</w:t>
      </w:r>
    </w:p>
    <w:p>
      <w:pPr>
        <w:spacing w:after="0" w:line="88"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or sale or other disposition of all or substantially all of the Company’s assets (a “Business Combination”), unless following such Business Combination all or substantially all of the beneficial owners of the Outstanding Shares or Outstanding Voting Securities immediately prior to the Business Combination beneficially own (directly or indirectly) more than 50% of the then-outstanding shares of common stock or combined voting power of the then-outstanding voting securities entitled to vote generally in the election of directors of the entity resulting from the business combination (including an entity that as a result of the Business Combination owns (directly or indirectly) the Company or all or substantially all of the Company’s assets in substantially the same proportions as their ownership immediately prior to the Business Combination).</w:t>
      </w:r>
    </w:p>
    <w:p>
      <w:pPr>
        <w:spacing w:after="0" w:line="81" w:lineRule="exact"/>
        <w:rPr>
          <w:sz w:val="20"/>
          <w:szCs w:val="20"/>
          <w:color w:val="auto"/>
        </w:rPr>
      </w:pPr>
    </w:p>
    <w:p>
      <w:pPr>
        <w:ind w:left="444" w:right="180"/>
        <w:spacing w:after="0" w:line="282" w:lineRule="auto"/>
        <w:rPr>
          <w:sz w:val="20"/>
          <w:szCs w:val="20"/>
          <w:color w:val="auto"/>
        </w:rPr>
      </w:pPr>
      <w:r>
        <w:rPr>
          <w:rFonts w:ascii="Times New Roman" w:cs="Times New Roman" w:eastAsia="Times New Roman" w:hAnsi="Times New Roman"/>
          <w:sz w:val="18"/>
          <w:szCs w:val="18"/>
          <w:color w:val="auto"/>
        </w:rPr>
        <w:t>For the avoidance of doubt, a public offering, internal restructuring or transfer of Common Stock or assets to any Affiliate and the Spin-Off will not be treated as a Change in Control.</w:t>
      </w:r>
    </w:p>
    <w:p>
      <w:pPr>
        <w:spacing w:after="0" w:line="67" w:lineRule="exact"/>
        <w:rPr>
          <w:sz w:val="20"/>
          <w:szCs w:val="20"/>
          <w:color w:val="auto"/>
        </w:rPr>
      </w:pPr>
    </w:p>
    <w:p>
      <w:pPr>
        <w:ind w:left="424" w:right="40" w:hanging="424"/>
        <w:spacing w:after="0" w:line="254" w:lineRule="auto"/>
        <w:tabs>
          <w:tab w:leader="none" w:pos="4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Price” means the amount determined by the Committee in its sole discretion based on the following clauses, whichever the Committee determines is applicable, as follows: (i) the price per share offered to holders of Common Stock in any merger or consolidation, tender offer or exchange offer whereby a Change in Control takes place (ii) the per share Fair Market Value of the Common Stock immediately before the Change in Control, without regard to assets sold in the Change in Control and assuming the Company has received the consideration paid therefor, or (iii) the value per share of the Common Stock that may otherwise be obtained with respect to such Awards or to which such Awards track, as determined by the Committee as of the date of cancellation and surrender of such Awards. In the event that the consideration offered to shareholders of the Company in a Change in Control consists of anything other than cash, the Committee shall determine in its sole discretion the fair cash equivalent of such non-cash consideration.</w:t>
      </w:r>
    </w:p>
    <w:p>
      <w:pPr>
        <w:spacing w:after="0" w:line="9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Talent, Culture, and Compensation Committee of the Board (or its successor) or such other committee as designated by the Board to administer the Plan.</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316" w:name="page317"/>
    <w:bookmarkEnd w:id="316"/>
    <w:p>
      <w:pPr>
        <w:ind w:left="424" w:right="120" w:hanging="424"/>
        <w:spacing w:after="0" w:line="282"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means the common stock of the Company, $0.01 par value per share, or such other class or kind of shares or other securities as may be applicable under Section XV.</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GE HealthCare Technologies Inc. (a Delaware corporation) and, except as utilized in the definition of Change in Control, any successor corporation.</w:t>
      </w:r>
    </w:p>
    <w:p>
      <w:pPr>
        <w:spacing w:after="0" w:line="67"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except as otherwise provided in an Award Agreement, the Participant is unable to engage in any substantial gainful activity by reason of any medically determinable physical or mental impairment that can be expected to result in death or can be expected to last for a continuous period of not less than 12 months. A determination of Disability shall be made by the Committee on the basis of such medical evidence as the Committee deems warranted under the circumstances, and in this respect, Participants shall submit to an examination by a physician upon request by the Committee.</w:t>
      </w:r>
    </w:p>
    <w:p>
      <w:pPr>
        <w:spacing w:after="0" w:line="88"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means an amount payable in cash or Common Stock, as determined by the Committee, equal to the dividends that would have been paid to the Participant if the share of Common Stock with respect to which the Dividend Equivalent relates had been owned by the Participant.</w:t>
      </w:r>
    </w:p>
    <w:p>
      <w:pPr>
        <w:spacing w:after="0" w:line="81"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Person” means any Spin-Off Participant; provided, however, that Incentive Stock Options may only be granted to employees of the Company or any of its “subsidiary corporations” within the meaning of Section 424 of the Code.</w:t>
      </w:r>
    </w:p>
    <w:p>
      <w:pPr>
        <w:spacing w:after="0" w:line="67" w:lineRule="exact"/>
        <w:rPr>
          <w:rFonts w:ascii="Times New Roman" w:cs="Times New Roman" w:eastAsia="Times New Roman" w:hAnsi="Times New Roman"/>
          <w:sz w:val="18"/>
          <w:szCs w:val="18"/>
          <w:color w:val="auto"/>
        </w:rPr>
      </w:pPr>
    </w:p>
    <w:p>
      <w:pPr>
        <w:ind w:left="424" w:right="620" w:hanging="424"/>
        <w:spacing w:after="0" w:line="282"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ASC Topic 718” means the Financial Accounting Standards Board Accounting Standards Codification Topic 718 or any successor accounting standard.</w:t>
      </w:r>
    </w:p>
    <w:p>
      <w:pPr>
        <w:spacing w:after="0" w:line="67"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date, (i) the closing sales price of a share of Common Stock as quoted on the National Association of Securities Dealers Automatic Quotation System or such other source as the Committee deems reliable (or, if no sale of Common Stock is reported for such date, on the next preceding date on which any sale is reported), or (ii) in the absence of an established market for the Common Stock, the value determined in good faith by the Committee by the reasonable application of a reasonable valuation method, taking into account factors consistent with Treasury Department regulation 1.409A-1(b)(5)(iv)(B) as the Committee deems appropriate.</w:t>
      </w:r>
    </w:p>
    <w:p>
      <w:pPr>
        <w:spacing w:after="0" w:line="88"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except as otherwise provided in an Award Agreement, any of the following, in each case, without the Participant’s consent: (i) a material reduction in the Participant’s base salary, (ii) a material breach by the Company or its Affiliate of any material provision of any agreement between the Participant and the Company or its Affiliate, or (iii) a material diminution in the Participant’s title, authority, duties, responsibilities or reporting relationships; provided, however, that the Termination of Employment or Separation from Service shall not be for Good Reason unless: (A) the Participant has provided written notice to the Chief Human Resources Officer of the Company of the existence of the circumstances providing grounds for termination for Good Reason within 30 calendar days of the date the Participant first becomes aware of such circumstances, (B) the Company or its Affiliate has been given at least 30 calendar days from the date on which such notice is provided to cure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17" w:name="page318"/>
    <w:bookmarkEnd w:id="317"/>
    <w:p>
      <w:pPr>
        <w:ind w:left="42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circumstances (the “cure period”), and (C) the Termination of Employment or Separation from Service occurs within 30 calendar days following the Company’s or Affiliate’s failure to cure such circumstances within the cure period. For the avoidance of doubt, the Spin-Off or the sale, disposition or spin-off of any one or more businesses of the Company or its Affiliates, or any transaction following which the Company’s (or its successor’s) common equity is not publicly traded on a nationally recognized securities exchange or through a national market quotation service, shall not be deemed a material reduction in the Participant’s title, authority, duties, responsibilities or reporting relationships.</w:t>
      </w:r>
    </w:p>
    <w:p>
      <w:pPr>
        <w:spacing w:after="0" w:line="89" w:lineRule="exact"/>
        <w:rPr>
          <w:sz w:val="20"/>
          <w:szCs w:val="20"/>
          <w:color w:val="auto"/>
        </w:rPr>
      </w:pPr>
    </w:p>
    <w:p>
      <w:pPr>
        <w:ind w:left="424" w:right="380" w:hanging="424"/>
        <w:spacing w:after="0" w:line="282" w:lineRule="auto"/>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that is intended to qualify as an “incentive stock option” within the meaning of Section 422 of the Code.</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 Option that is not intended to qualify as an “incentive stock option” within the meaning of Section 422 of the Code.</w:t>
      </w:r>
    </w:p>
    <w:p>
      <w:pPr>
        <w:spacing w:after="0" w:line="67" w:lineRule="exact"/>
        <w:rPr>
          <w:rFonts w:ascii="Times New Roman" w:cs="Times New Roman" w:eastAsia="Times New Roman" w:hAnsi="Times New Roman"/>
          <w:sz w:val="18"/>
          <w:szCs w:val="18"/>
          <w:color w:val="auto"/>
        </w:rPr>
      </w:pPr>
    </w:p>
    <w:p>
      <w:pPr>
        <w:jc w:val="both"/>
        <w:ind w:left="424" w:right="520" w:hanging="424"/>
        <w:spacing w:after="0" w:line="266" w:lineRule="auto"/>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means an Award granted to an Eligible Person as described in Section XI.</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any Spin-Off Participant.</w:t>
      </w:r>
    </w:p>
    <w:p>
      <w:pPr>
        <w:spacing w:after="0" w:line="130"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means an Award described in Section XII pursuant to which a Participant may become entitled to receive an amount based on satisfaction of such performance criteria established for such performance period as specified in the Award Agreement.</w:t>
      </w:r>
    </w:p>
    <w:p>
      <w:pPr>
        <w:spacing w:after="0" w:line="67" w:lineRule="exact"/>
        <w:rPr>
          <w:rFonts w:ascii="Times New Roman" w:cs="Times New Roman" w:eastAsia="Times New Roman" w:hAnsi="Times New Roman"/>
          <w:sz w:val="18"/>
          <w:szCs w:val="18"/>
          <w:color w:val="auto"/>
        </w:rPr>
      </w:pPr>
    </w:p>
    <w:p>
      <w:pPr>
        <w:ind w:left="424" w:hanging="424"/>
        <w:spacing w:after="0" w:line="281" w:lineRule="auto"/>
        <w:tabs>
          <w:tab w:leader="none" w:pos="42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shall have the meaning given in Section 3(a)(9) of the Act, as modified and used in Sections 14(d) and 15(d) thereof, except that such term shall not include (i) the Company or any Affiliate, (ii) a trustee or other fiduciary holding securities under an employee benefit plan of the Company or any Affiliate,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69"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GE HealthCare Technologies Inc. Mirror 2022 Long-Term Incentive Plan.</w:t>
      </w:r>
    </w:p>
    <w:p>
      <w:pPr>
        <w:spacing w:after="0" w:line="131" w:lineRule="exact"/>
        <w:rPr>
          <w:sz w:val="20"/>
          <w:szCs w:val="20"/>
          <w:color w:val="auto"/>
        </w:rPr>
      </w:pPr>
    </w:p>
    <w:p>
      <w:pPr>
        <w:ind w:left="424" w:hanging="424"/>
        <w:spacing w:after="0" w:line="282" w:lineRule="auto"/>
        <w:tabs>
          <w:tab w:leader="none" w:pos="42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an Award or issuance of Common Stock the vesting and/or transferability of which is subject during specified periods of time to such terms and conditions (including continued employment or engagement or performance conditions) as the Committee determines.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318" w:name="page319"/>
    <w:bookmarkEnd w:id="318"/>
    <w:p>
      <w:pPr>
        <w:jc w:val="both"/>
        <w:ind w:left="424" w:right="160" w:hanging="424"/>
        <w:spacing w:after="0" w:line="266"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 means an Award denominated in units of Common Stock under which the issuance of shares of Common Stock (or cash payment in lieu thereof) is subject to such terms and conditions (including continued employment or engagement or performance conditions) as the Committee determines.</w:t>
      </w:r>
    </w:p>
    <w:p>
      <w:pPr>
        <w:spacing w:after="0" w:line="81"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except as otherwise provided in an Award Agreement, attainment of age 60 and completion of five years of continuous employment with the Company and its Affiliates.</w:t>
      </w:r>
    </w:p>
    <w:p>
      <w:pPr>
        <w:spacing w:after="0" w:line="67"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or “Separates from Service” means a Termination of Employment or other cessation of service that constitutes a “separation from service” within the meaning of Section 409A of the Code.</w:t>
      </w:r>
    </w:p>
    <w:p>
      <w:pPr>
        <w:spacing w:after="0" w:line="67"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or “SAR” means a right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means Awards granted or Common Stock issued by the Company in assumption of, or in substitution or exchange for, awards previously granted (or the right or obligation to make future awards) by a company acquired by the Company or any Affiliate or with which the Company or any Affiliate combines.</w:t>
      </w:r>
    </w:p>
    <w:p>
      <w:pPr>
        <w:spacing w:after="0" w:line="202"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except as otherwise provided in an Award Agreement or as otherwise determined by the Committee, ceasing to serve as an employee of the Company and its Affiliates or, with respect to a non-employee director or other service provider, ceasing to serve as such for the Company and its Affiliates; provided, however, that with respect to all or any Awards held by a Participant, the Committee may determine that (i) a leave of absence (including as a result of a Participant’s short-term or long-term disability or other medical leave) or employment on a less than full-time basis is considered a “Termination of Employment,” (ii) service as a member of the Board or other service provider to the Company or an Affiliate shall constitute continued employment with respect to Awards granted to a Participant while he or she served as an employee of the Company or an Affiliate, or (iii) service as an employee of the Company or an Affiliate shall constitute continued service/employment with respect to Awards granted to a Participant while he or she served as a member of the Board or other service provider to the Company or an Affiliate. The Committee shall determine whether any corporate transaction, such as a sale or spin-off of a division or Affiliate that employs or engages a Participant, shall be deemed to result in a Termination of Employment with the Company and its Affiliates for purposes of any affected Participant’s Awards, and the Committee’s decision shall be final and binding. With respect to any Award that is subject to Section 409A of the Code, a Termination of Employment shall not be deemed to occur until such Participant’s Separation from Service.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319" w:name="page320"/>
    <w:bookmarkEnd w:id="31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III. Eligibility</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Spin-Off Participant.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IV. Effective Date and Termination of Plan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as of the date of the consummation of the Spin-Off (the “Effective Date”). The Plan shall remain available for the grant of Awards until the 10th anniversary of the Effective Date; provided, however, that no Incentive Stock Option may be granted under this Plan after February 11, 2032. Notwithstanding the foregoing, the Plan may be terminated at such earlier time as the Board may determine. Termination of the Plan will not affect the rights and obligations of the Participants and the Company arising under Awards granted prior to such termination.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V. Shares Subject to the Plan and to Awards</w:t>
      </w:r>
    </w:p>
    <w:p>
      <w:pPr>
        <w:spacing w:after="0" w:line="135" w:lineRule="exact"/>
        <w:rPr>
          <w:sz w:val="20"/>
          <w:szCs w:val="20"/>
          <w:color w:val="auto"/>
        </w:rPr>
      </w:pPr>
    </w:p>
    <w:p>
      <w:pPr>
        <w:ind w:left="424" w:hanging="424"/>
        <w:spacing w:after="0" w:line="256" w:lineRule="auto"/>
        <w:tabs>
          <w:tab w:leader="none" w:pos="42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Aggregate Limits</w:t>
      </w:r>
      <w:r>
        <w:rPr>
          <w:rFonts w:ascii="Times New Roman" w:cs="Times New Roman" w:eastAsia="Times New Roman" w:hAnsi="Times New Roman"/>
          <w:sz w:val="18"/>
          <w:szCs w:val="18"/>
          <w:color w:val="auto"/>
        </w:rPr>
        <w:t>. The aggregate number of shares of Common Stock issuable under the Plan shall be equal to the number of shares of Common Stock necessary to satisfy all Spin-Off Awards upon exercise or settlement, as applicable (the “Share Reserve”). The aggregate number of shares of Common Stock available for grant under this Plan and the number of shares of Common Stock subject to Awards outstanding at the time of any event described in Section XV shall be subject to adjustment as provided in Section XV. The shares of Common Stock issued under this Plan may be shares that are authorized and unissued or shares that were reacquired by the Company, including shares purchased in the open market or in private transactions.</w:t>
      </w:r>
    </w:p>
    <w:p>
      <w:pPr>
        <w:spacing w:after="0" w:line="92" w:lineRule="exact"/>
        <w:rPr>
          <w:rFonts w:ascii="Times New Roman" w:cs="Times New Roman" w:eastAsia="Times New Roman" w:hAnsi="Times New Roman"/>
          <w:sz w:val="18"/>
          <w:szCs w:val="18"/>
          <w:color w:val="auto"/>
        </w:rPr>
      </w:pPr>
    </w:p>
    <w:p>
      <w:pPr>
        <w:ind w:left="424" w:right="80" w:hanging="424"/>
        <w:spacing w:after="0" w:line="256" w:lineRule="auto"/>
        <w:tabs>
          <w:tab w:leader="none" w:pos="42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Use of Share Reserve</w:t>
      </w:r>
      <w:r>
        <w:rPr>
          <w:rFonts w:ascii="Times New Roman" w:cs="Times New Roman" w:eastAsia="Times New Roman" w:hAnsi="Times New Roman"/>
          <w:sz w:val="18"/>
          <w:szCs w:val="18"/>
          <w:color w:val="auto"/>
        </w:rPr>
        <w:t>. Shares subject to Awards that have been canceled, terminated, expired unexercised, forfeited or settled in cash shall be available for granting Awards under the GE HealthCare Technologies Inc. 2023 Long-Term Incentive Plan; provided, however, that (i) shares subject to Awards that have been retained or withheld by the Company in payment or satisfaction of the exercise price, purchase price or tax withholding obligation of an Award (including shares that were subject to an Award but were not issued or delivered as a result of the net settlement or net exercise of such Award) and (ii) shares repurchased on the open market with the proceeds of an Option exercise, in each case, shall not be available for issuance under this Plan.</w:t>
      </w:r>
    </w:p>
    <w:p>
      <w:pPr>
        <w:spacing w:after="0" w:line="92" w:lineRule="exact"/>
        <w:rPr>
          <w:rFonts w:ascii="Times New Roman" w:cs="Times New Roman" w:eastAsia="Times New Roman" w:hAnsi="Times New Roman"/>
          <w:sz w:val="18"/>
          <w:szCs w:val="18"/>
          <w:color w:val="auto"/>
        </w:rPr>
      </w:pPr>
    </w:p>
    <w:p>
      <w:pPr>
        <w:ind w:left="424" w:right="20" w:hanging="424"/>
        <w:spacing w:after="0" w:line="273" w:lineRule="auto"/>
        <w:tabs>
          <w:tab w:leader="none" w:pos="42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Substitute Awards shall not reduce the shares of Common Stock authorized for issuance under the Plan. Additionally, in the event that a company acquired by the Company or any Affiliate, or with which the Company or any Affiliate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provided that Awards using such available shares (i) shall not be made after the date awards or grants could have been</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320" w:name="page321"/>
    <w:bookmarkEnd w:id="320"/>
    <w:p>
      <w:pPr>
        <w:ind w:left="42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under the terms of the pre-existing plan, absent the acquisition or combination, (ii) shall only be made to individuals who were not employees or service providers of the Company or its Affiliates at the time of such acquisition or combination, and (iii) shall comply with the requirements of any stock exchange, market or quotation system on which the Common Stock is traded, listed or quoted.</w:t>
      </w:r>
    </w:p>
    <w:p>
      <w:pPr>
        <w:spacing w:after="0" w:line="81" w:lineRule="exact"/>
        <w:rPr>
          <w:sz w:val="20"/>
          <w:szCs w:val="20"/>
          <w:color w:val="auto"/>
        </w:rPr>
      </w:pPr>
    </w:p>
    <w:p>
      <w:pPr>
        <w:ind w:left="424" w:right="320" w:hanging="424"/>
        <w:spacing w:after="0" w:line="261"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Code Limits</w:t>
      </w:r>
      <w:r>
        <w:rPr>
          <w:rFonts w:ascii="Times New Roman" w:cs="Times New Roman" w:eastAsia="Times New Roman" w:hAnsi="Times New Roman"/>
          <w:sz w:val="18"/>
          <w:szCs w:val="18"/>
          <w:color w:val="auto"/>
        </w:rPr>
        <w:t>. The aggregate number of shares of Common Stock that may be issued pursuant to the exercise of Incentive Stock Options granted under this Plan shall be equal to the Share Reserve, which number shall be calculated and adjusted pursuant to Section XV only to the extent that such calculation or adjustment will not affect the status of any Option intended to qualify as an Incentive Stock Option under Section 422 of the Code.</w:t>
      </w:r>
    </w:p>
    <w:p>
      <w:pPr>
        <w:spacing w:after="0" w:line="85"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Non-Employee Director Compensation</w:t>
      </w:r>
      <w:r>
        <w:rPr>
          <w:rFonts w:ascii="Times New Roman" w:cs="Times New Roman" w:eastAsia="Times New Roman" w:hAnsi="Times New Roman"/>
          <w:sz w:val="18"/>
          <w:szCs w:val="18"/>
          <w:color w:val="auto"/>
        </w:rPr>
        <w:t>. The aggregate dollar value of equity-based and cash compensation granted under this Plan (excluding the Spin-Off Awards) to any non-employee director (determined at the grant date and, for equity-based Awards, in accordance with FASB ASC Topic 718) shall not exceed $1 million (U.S. dollars) during any calendar year.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VI. Administration of the Plan</w:t>
      </w:r>
    </w:p>
    <w:p>
      <w:pPr>
        <w:spacing w:after="0" w:line="135" w:lineRule="exact"/>
        <w:rPr>
          <w:sz w:val="20"/>
          <w:szCs w:val="20"/>
          <w:color w:val="auto"/>
        </w:rPr>
      </w:pPr>
    </w:p>
    <w:p>
      <w:pPr>
        <w:ind w:left="424" w:hanging="424"/>
        <w:spacing w:after="0" w:line="254"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of the Plan</w:t>
      </w:r>
      <w:r>
        <w:rPr>
          <w:rFonts w:ascii="Times New Roman" w:cs="Times New Roman" w:eastAsia="Times New Roman" w:hAnsi="Times New Roman"/>
          <w:sz w:val="18"/>
          <w:szCs w:val="18"/>
          <w:color w:val="auto"/>
        </w:rPr>
        <w:t>. The Plan shall be administered by the Committee. To the maximum extent permissible under applicable law, the Committee (or any successor) may by resolution delegate any or all of its authority to one or more subcommittees composed of one or more directors or officers of the Company (with the power to re-delegate such authority), and any such subcommittee (or its delegate) shall be treated as the Committee for all purposes under this Plan; provided, however, that no Award may be granted to an Eligible Person who is then subject to Section 16 of the Act in respect of the Company by any such subcommittee unless such subcommittee is composed solely of two or more “non-employee directors” within the meaning of Rule 16b-3(b)(3) promulgated under the Act. The Committee may designate and delegate to one or more officers or employees of the Company or any Affiliate, and/or one or more agents, authority to assist the Committee in any or all aspects of the day-to-day administration of the Plan and/or of Awards granted under the Plan.</w:t>
      </w:r>
    </w:p>
    <w:p>
      <w:pPr>
        <w:spacing w:after="0" w:line="97"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Subject to the express provisions of this Plan, the Committee shall be authorized and empowered to do all things that it determines to be necessary or appropriate in connection with the administration of this Plan, including:</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this Plan and to define terms not otherwise defined herein;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Eligible Persons to which Awards shall be granted, if any, hereunder and the timing of any such Awards;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Award Agreements, to grant Awards and to determine the terms and conditions thereof;</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321" w:name="page322"/>
    <w:bookmarkEnd w:id="321"/>
    <w:p>
      <w:pPr>
        <w:ind w:left="964" w:right="320" w:hanging="532"/>
        <w:spacing w:after="0" w:line="282" w:lineRule="auto"/>
        <w:tabs>
          <w:tab w:leader="none" w:pos="9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establish and verify the extent of satisfaction of any performance goals or other conditions applicable to the grant, issuance, vesting, exercise or settlement of any Award;</w:t>
      </w:r>
    </w:p>
    <w:p>
      <w:pPr>
        <w:spacing w:after="0" w:line="67"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or form of any document or notice required to be delivered to the Company or the applicable Affiliate by Participants under this Plan;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extent to which adjustments are required pursuant to Section XV;</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this Plan, any rules and regulations under this Plan and the terms and conditions of any Award granted hereunder, and to make exceptions to any such provisions if the Committee, in good faith, determines that it is appropriate to do so;</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corrections in the documentation or administration of any Award;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it deems necessary or advisable for the administration of this Plan.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avoidance of doubt, employment determinations with respect to GE Participants shall be made by GE, as described in Section I.</w:t>
      </w:r>
    </w:p>
    <w:p>
      <w:pPr>
        <w:spacing w:after="0" w:line="117"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The Committee may, in its sole and absolute discretion, without amendment to the Plan but subject to the limitations otherwise set forth in Section XIX: (i) waive or amend the operation of Plan provisions respecting vesting, exercise or settlement in connection with a Termination of Employment or Separation from Service, and/or (ii) waive, settle or adjust any of the terms of any Award so as to avoid unanticipated consequences or address unanticipated events (including any temporary closure of an applicable stock exchange, disruption of communications or natural catastrophe).</w:t>
      </w:r>
    </w:p>
    <w:p>
      <w:pPr>
        <w:spacing w:after="0" w:line="89" w:lineRule="exact"/>
        <w:rPr>
          <w:sz w:val="20"/>
          <w:szCs w:val="20"/>
          <w:color w:val="auto"/>
        </w:rPr>
      </w:pPr>
    </w:p>
    <w:p>
      <w:pPr>
        <w:ind w:left="424" w:right="160" w:hanging="424"/>
        <w:spacing w:after="0" w:line="277" w:lineRule="auto"/>
        <w:tabs>
          <w:tab w:leader="none" w:pos="424"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 by the Committee</w:t>
      </w:r>
      <w:r>
        <w:rPr>
          <w:rFonts w:ascii="Times New Roman" w:cs="Times New Roman" w:eastAsia="Times New Roman" w:hAnsi="Times New Roman"/>
          <w:sz w:val="17"/>
          <w:szCs w:val="17"/>
          <w:color w:val="auto"/>
        </w:rPr>
        <w:t>.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w:t>
      </w:r>
    </w:p>
    <w:p>
      <w:pPr>
        <w:spacing w:after="0" w:line="73" w:lineRule="exact"/>
        <w:rPr>
          <w:rFonts w:ascii="Times New Roman" w:cs="Times New Roman" w:eastAsia="Times New Roman" w:hAnsi="Times New Roman"/>
          <w:sz w:val="17"/>
          <w:szCs w:val="17"/>
          <w:color w:val="auto"/>
        </w:rPr>
      </w:pPr>
    </w:p>
    <w:p>
      <w:pPr>
        <w:ind w:left="424" w:hanging="424"/>
        <w:spacing w:after="0" w:line="258" w:lineRule="auto"/>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requirements of applicable law, each individual who is or shall have been a member of the Board, the Committee or an officer or manager of the Company to whom authority was delegated in accordance with Section VI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322" w:name="page323"/>
    <w:bookmarkEnd w:id="322"/>
    <w:p>
      <w:pPr>
        <w:ind w:left="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approval, or paid by him or her in satisfaction of any judgment in any such action, suit or proceeding against him or her; provided,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VII. Plan Awards</w:t>
      </w:r>
    </w:p>
    <w:p>
      <w:pPr>
        <w:spacing w:after="0" w:line="135" w:lineRule="exact"/>
        <w:rPr>
          <w:sz w:val="20"/>
          <w:szCs w:val="20"/>
          <w:color w:val="auto"/>
        </w:rPr>
      </w:pPr>
    </w:p>
    <w:p>
      <w:pPr>
        <w:ind w:left="424" w:right="40" w:hanging="424"/>
        <w:spacing w:after="0" w:line="254" w:lineRule="auto"/>
        <w:tabs>
          <w:tab w:leader="none" w:pos="4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Set Forth in Award Agreement</w:t>
      </w:r>
      <w:r>
        <w:rPr>
          <w:rFonts w:ascii="Times New Roman" w:cs="Times New Roman" w:eastAsia="Times New Roman" w:hAnsi="Times New Roman"/>
          <w:sz w:val="18"/>
          <w:szCs w:val="18"/>
          <w:color w:val="auto"/>
        </w:rPr>
        <w:t>. Awards may be granted to Eligible Persons as determined by the Committee at any time, and from time to time, prior to the termination of the Plan. Receipt of an Award does not obligate the Committee to provide future Awards to an Eligible Person. The terms and conditions of each Award shall be set forth in an Award Agreement that includes (other than for Restricted Stock) the time or times at or within which the shares of Common Stock or cash, as applicable, may be acquired from the Company and the consideration, if any, that must be paid. Such Award Agreement may contain, incorporate or reference such applicable terms and conditions described in this Plan and/or such other terms and conditions determined by the Committee consistent with its authority under this Plan. The terms of Awards may vary among Participants, and the Plan does not impose upon the Committee any requirement to make Awards subject to uniform terms or interpretations. Accordingly, individual Award Agreements may vary.</w:t>
      </w:r>
    </w:p>
    <w:p>
      <w:pPr>
        <w:spacing w:after="0" w:line="97"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Subject to the express provisions of the Plan, the Committee shall specify before, at, or after the time of grant of an Award the provisions governing the effect(s) upon an Award of a Participant’s Termination of Employment or Separation from Service.</w:t>
      </w:r>
    </w:p>
    <w:p>
      <w:pPr>
        <w:spacing w:after="0" w:line="67" w:lineRule="exact"/>
        <w:rPr>
          <w:rFonts w:ascii="Times New Roman" w:cs="Times New Roman" w:eastAsia="Times New Roman" w:hAnsi="Times New Roman"/>
          <w:sz w:val="18"/>
          <w:szCs w:val="18"/>
          <w:color w:val="auto"/>
        </w:rPr>
      </w:pPr>
    </w:p>
    <w:p>
      <w:pPr>
        <w:ind w:left="424" w:right="120" w:hanging="424"/>
        <w:spacing w:after="0" w:line="281" w:lineRule="auto"/>
        <w:tabs>
          <w:tab w:leader="none" w:pos="424"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a Shareholder</w:t>
      </w:r>
      <w:r>
        <w:rPr>
          <w:rFonts w:ascii="Times New Roman" w:cs="Times New Roman" w:eastAsia="Times New Roman" w:hAnsi="Times New Roman"/>
          <w:sz w:val="17"/>
          <w:szCs w:val="17"/>
          <w:color w:val="auto"/>
        </w:rPr>
        <w:t>. Except as otherwise set forth in the applicable Award Agreement, a Participant shall have no rights as a shareholder (including voting rights) with respect to shares of Common Stock covered by an Award, other than Restricted Stock, until the date the Participant becomes the holder of record of such shares of Common Stock. No adjustment shall be made for dividends or other rights for which the record date is prior to such date, except as provided in Sections X(b), XI(b), XII or XV of this Plan or as otherwise provided by the Committee.</w:t>
      </w:r>
    </w:p>
    <w:p>
      <w:pPr>
        <w:spacing w:after="0" w:line="69" w:lineRule="exact"/>
        <w:rPr>
          <w:rFonts w:ascii="Times New Roman" w:cs="Times New Roman" w:eastAsia="Times New Roman" w:hAnsi="Times New Roman"/>
          <w:sz w:val="17"/>
          <w:szCs w:val="17"/>
          <w:color w:val="auto"/>
        </w:rPr>
      </w:pPr>
    </w:p>
    <w:p>
      <w:pPr>
        <w:ind w:left="424" w:right="20" w:hanging="424"/>
        <w:spacing w:after="0" w:line="266" w:lineRule="auto"/>
        <w:tabs>
          <w:tab w:leader="none" w:pos="4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Committee, in its sole discretion, shall determine whether fractional shares of Common Stock may be issued pursuant to an Award or in settlement thereof and shall determine whether cash, other Awards or other property shall be issued or paid in lieu of such fractional shares. In addition, the Committee shall determine whether such fractional shares or any rights thereto shall be forfeited or otherwise eliminated.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23" w:name="page324"/>
    <w:bookmarkEnd w:id="32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VIII. Options</w:t>
      </w:r>
    </w:p>
    <w:p>
      <w:pPr>
        <w:spacing w:after="0" w:line="135" w:lineRule="exact"/>
        <w:rPr>
          <w:sz w:val="20"/>
          <w:szCs w:val="20"/>
          <w:color w:val="auto"/>
        </w:rPr>
      </w:pPr>
    </w:p>
    <w:p>
      <w:pPr>
        <w:ind w:left="424" w:right="20" w:hanging="424"/>
        <w:spacing w:after="0" w:line="252" w:lineRule="auto"/>
        <w:tabs>
          <w:tab w:leader="none" w:pos="4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Term and Price</w:t>
      </w:r>
      <w:r>
        <w:rPr>
          <w:rFonts w:ascii="Times New Roman" w:cs="Times New Roman" w:eastAsia="Times New Roman" w:hAnsi="Times New Roman"/>
          <w:sz w:val="18"/>
          <w:szCs w:val="18"/>
          <w:color w:val="auto"/>
        </w:rPr>
        <w:t>. The grant, issuance, vesting, exercise 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except that the term of an Option (other than an Incentive Stock Option) shall be automatically extended if the Participant holding such Option is prohibited by law or the Company’s insider trading policy from exercising the Option at the time of its scheduled expiration, in which case the Option shall expire on the 30th day following the date such prohibition no longer applies. The Committee will establish the price at which Common Stock may be purchased upon exercise of an Option, which may not be less than the Fair Market Value of such shares on the date of grant unless (i) such Option is granted as a Substitute Award or assumed in connection with the Spin-Off and (ii) such exercise price is based on a formula set forth in the terms of the original option agreement or the applicable merger or acquisition agreement that satisfies the requirements of Section 424(a) of the Code if such options are Incentive Stock Options and</w:t>
      </w:r>
    </w:p>
    <w:p>
      <w:pPr>
        <w:spacing w:after="0" w:line="5" w:lineRule="exact"/>
        <w:rPr>
          <w:rFonts w:ascii="Times New Roman" w:cs="Times New Roman" w:eastAsia="Times New Roman" w:hAnsi="Times New Roman"/>
          <w:sz w:val="18"/>
          <w:szCs w:val="18"/>
          <w:color w:val="auto"/>
        </w:rPr>
      </w:pPr>
    </w:p>
    <w:p>
      <w:pPr>
        <w:ind w:left="424" w:right="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 if such options are Nonqualified Stock Options. The exercise price of any Option may be paid by such methods as determined by the Committee, including by cash in U.S. dollars, by an irrevocable commitment to use the proceeds from a sale of shares of Common Stock issuable under an Option, by delivery of previously owned shares of Common Stock or by withholding of shares of Common Stock otherwise deliverable upon exercise.</w:t>
      </w:r>
    </w:p>
    <w:p>
      <w:pPr>
        <w:spacing w:after="0" w:line="94"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without Shareholder Approval</w:t>
      </w:r>
      <w:r>
        <w:rPr>
          <w:rFonts w:ascii="Times New Roman" w:cs="Times New Roman" w:eastAsia="Times New Roman" w:hAnsi="Times New Roman"/>
          <w:sz w:val="18"/>
          <w:szCs w:val="18"/>
          <w:color w:val="auto"/>
        </w:rPr>
        <w:t>. Other than in connection with a change in the Company’s capitalization (as described in Section XV), the Committee shall not, without shareholder approval: (i) reduce the exercise price of a previously awarded Option or (ii) at any time when the exercise price of a previously awarded Option is above the Fair Market Value of a share of Common Stock, cancel and re-grant or exchange such Option for cash or a new Award with a lower (or no) exercise price.</w:t>
      </w:r>
    </w:p>
    <w:p>
      <w:pPr>
        <w:spacing w:after="0" w:line="85"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Grants</w:t>
      </w:r>
      <w:r>
        <w:rPr>
          <w:rFonts w:ascii="Times New Roman" w:cs="Times New Roman" w:eastAsia="Times New Roman" w:hAnsi="Times New Roman"/>
          <w:sz w:val="18"/>
          <w:szCs w:val="18"/>
          <w:color w:val="auto"/>
        </w:rPr>
        <w:t>. Options shall not be granted under the Plan in consideration for, and shall not be conditioned upon the delivery of, shares of Common Stock to the Company in payment of the exercise price and/or tax withholding obligation under any other employee stock option.</w:t>
      </w:r>
    </w:p>
    <w:p>
      <w:pPr>
        <w:spacing w:after="0" w:line="67" w:lineRule="exact"/>
        <w:rPr>
          <w:rFonts w:ascii="Times New Roman" w:cs="Times New Roman" w:eastAsia="Times New Roman" w:hAnsi="Times New Roman"/>
          <w:sz w:val="18"/>
          <w:szCs w:val="18"/>
          <w:color w:val="auto"/>
        </w:rPr>
      </w:pPr>
    </w:p>
    <w:p>
      <w:pPr>
        <w:ind w:left="424" w:hanging="424"/>
        <w:spacing w:after="0" w:line="274" w:lineRule="auto"/>
        <w:tabs>
          <w:tab w:leader="none" w:pos="424"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Stock Options</w:t>
      </w:r>
      <w:r>
        <w:rPr>
          <w:rFonts w:ascii="Times New Roman" w:cs="Times New Roman" w:eastAsia="Times New Roman" w:hAnsi="Times New Roman"/>
          <w:sz w:val="17"/>
          <w:szCs w:val="17"/>
          <w:color w:val="auto"/>
        </w:rPr>
        <w:t>. Notwithstanding anything to the contrary in this Section VIII,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Further notwithstanding anything to the contrary in this Section VIII, Options designated as Incentive Stock Options shall not be eligible for treatment under the Code as Incentive Stock Options (and will be deemed Nonqualified Stock Options) to the extent that either (i) the aggregate Fair Market Value of shares of Common Stock (determined as of the time of grant) with</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324" w:name="page325"/>
    <w:bookmarkEnd w:id="324"/>
    <w:p>
      <w:pPr>
        <w:ind w:left="42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which such Options are exercisable for the first time by the Participant during any calendar year (under all plans of the Company and any of its “subsidiary corporations” within the meaning of Section 424 of the Code)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w:t>
      </w:r>
    </w:p>
    <w:p>
      <w:pPr>
        <w:spacing w:after="0" w:line="85" w:lineRule="exact"/>
        <w:rPr>
          <w:sz w:val="20"/>
          <w:szCs w:val="20"/>
          <w:color w:val="auto"/>
        </w:rPr>
      </w:pPr>
    </w:p>
    <w:p>
      <w:pPr>
        <w:ind w:left="424" w:right="100" w:hanging="424"/>
        <w:spacing w:after="0" w:line="282" w:lineRule="auto"/>
        <w:tabs>
          <w:tab w:leader="none" w:pos="4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 of an Option or any shares of Common Stock subject to an Option until the Participant has become the holder of record of such shares.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IX. Stock Appreciation Rights</w:t>
      </w:r>
    </w:p>
    <w:p>
      <w:pPr>
        <w:spacing w:after="0" w:line="135" w:lineRule="exact"/>
        <w:rPr>
          <w:sz w:val="20"/>
          <w:szCs w:val="20"/>
          <w:color w:val="auto"/>
        </w:rPr>
      </w:pPr>
    </w:p>
    <w:p>
      <w:pPr>
        <w:ind w:left="424" w:hanging="424"/>
        <w:spacing w:after="0" w:line="252" w:lineRule="auto"/>
        <w:tabs>
          <w:tab w:leader="none" w:pos="4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The grant, issuance, vesting, exercise 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except that the term of a Stock Appreciation Right shall be automatically extended if the Participant holding such Stock Appreciation Right is prohibited by law or the Company’s insider trading policy from exercising the Stock Appreciation Right at the time of its scheduled expiration, in which case the Stock Appreciation Right shall expire on the 30th day following the date such prohibition no longer applies. Stock Appreciation Rights may be granted to Participants from time to time either in tandem with or as a component of Options granted under the Plan (“tandem SARs”) or not in conjunction with other Awards (“freestanding SARs”).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shall be canceled automatically to the extent of the number of shares covered by such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Section VIII and all tandem SARs shall have the same exercise price as the Option to which they relate. Subject to the provisions of Section VIII and the immediately preceding sentence, the Committee may impose such other conditions or restrictions on any Stock Appreciation Right as it shall deem appropriate. Stock Appreciation Rights may be settled in Common Stock, cash, Restricted Stock or a combination thereof, as determined by the Committee and set forth in the applicable Award Agreement.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25" w:name="page326"/>
    <w:bookmarkEnd w:id="325"/>
    <w:p>
      <w:pPr>
        <w:ind w:left="424" w:right="160" w:hanging="424"/>
        <w:spacing w:after="0" w:line="258" w:lineRule="auto"/>
        <w:tabs>
          <w:tab w:leader="none" w:pos="42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Repricing without Shareholder Approval</w:t>
      </w:r>
      <w:r>
        <w:rPr>
          <w:rFonts w:ascii="Times New Roman" w:cs="Times New Roman" w:eastAsia="Times New Roman" w:hAnsi="Times New Roman"/>
          <w:sz w:val="18"/>
          <w:szCs w:val="18"/>
          <w:color w:val="auto"/>
        </w:rPr>
        <w:t>. Other than in connection with a change in the Company’s capitalization (as described in Section XV), the Committee shall not, without shareholder approval, reduce the exercise price of a previously awarded Stock Appreciation Right, and at any time when the exercise price of a previously awarded Stock Appreciation Right is above the Fair Market Value of a share of Common Stock, the Committee shall not, without shareholder approval, cancel and re-grant or exchange such Stock Appreciation Right for cash or a new Award with a lower (or no) exercise price.</w:t>
      </w:r>
    </w:p>
    <w:p>
      <w:pPr>
        <w:spacing w:after="0" w:line="88"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 of a Stock Appreciation Right or any shares of Common Stock subject to a Stock Appreciation Right until the Participant has become the holder of record of such shares.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 Restricted Stock and Restricted Stock Units</w:t>
      </w:r>
    </w:p>
    <w:p>
      <w:pPr>
        <w:spacing w:after="0" w:line="135" w:lineRule="exact"/>
        <w:rPr>
          <w:sz w:val="20"/>
          <w:szCs w:val="20"/>
          <w:color w:val="auto"/>
        </w:rPr>
      </w:pPr>
    </w:p>
    <w:p>
      <w:pPr>
        <w:ind w:left="424" w:right="140" w:hanging="424"/>
        <w:spacing w:after="0" w:line="258" w:lineRule="auto"/>
        <w:tabs>
          <w:tab w:leader="none" w:pos="42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Performance Criteria</w:t>
      </w:r>
      <w:r>
        <w:rPr>
          <w:rFonts w:ascii="Times New Roman" w:cs="Times New Roman" w:eastAsia="Times New Roman" w:hAnsi="Times New Roman"/>
          <w:sz w:val="18"/>
          <w:szCs w:val="18"/>
          <w:color w:val="auto"/>
        </w:rPr>
        <w:t>. The grant, issuance, vesting or settlement of any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compensation plans or arrangements of the Company.</w:t>
      </w:r>
    </w:p>
    <w:p>
      <w:pPr>
        <w:spacing w:after="0" w:line="88"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Participants in whose name Restricted Stock is granted shall be entitled to receive all dividends and other distributions paid with respect to those shares of Common Stock, unless determined otherwise by the Committee; provided, however, that such dividends and other distributions will be subject to the same restrictions on transferability and vesting conditions as the Restricted Stock with respect to which they were distributed. The Committee will determine whether any such dividends or distributions will be automatically reinvested in additional shares of Restricted Stock or paid in cash. Shares underlying Restricted Stock Units shall be entitled to Dividend Equivalents only to the extent provided by the Committee; provided, however, that such Dividend Equivalents will be subject to the same vesting conditions as the underlying Restricted Stock Units.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 Other Stock-Based Awards</w:t>
      </w:r>
    </w:p>
    <w:p>
      <w:pPr>
        <w:spacing w:after="0" w:line="135" w:lineRule="exact"/>
        <w:rPr>
          <w:sz w:val="20"/>
          <w:szCs w:val="20"/>
          <w:color w:val="auto"/>
        </w:rPr>
      </w:pPr>
    </w:p>
    <w:p>
      <w:pPr>
        <w:ind w:left="424" w:right="200" w:hanging="424"/>
        <w:spacing w:after="0" w:line="256" w:lineRule="auto"/>
        <w:tabs>
          <w:tab w:leader="none" w:pos="42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Subject to limitations under applicable law, the Committee is authorized to grant to Eligible Persons such other Awards that may be denominated or payable in, valued in whole or in part by reference to, or otherwise based on or related to, the value of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Section XI shall be purchased for such consideration and paid for at such times, by such methods and in such forms (including cash, Common Stock, other Awards or other property) as the Committee shall determine.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326" w:name="page327"/>
    <w:bookmarkEnd w:id="326"/>
    <w:p>
      <w:pPr>
        <w:ind w:left="424" w:right="180" w:hanging="424"/>
        <w:spacing w:after="0" w:line="266" w:lineRule="auto"/>
        <w:tabs>
          <w:tab w:leader="none" w:pos="42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and Distributions</w:t>
      </w:r>
      <w:r>
        <w:rPr>
          <w:rFonts w:ascii="Times New Roman" w:cs="Times New Roman" w:eastAsia="Times New Roman" w:hAnsi="Times New Roman"/>
          <w:sz w:val="18"/>
          <w:szCs w:val="18"/>
          <w:color w:val="auto"/>
        </w:rPr>
        <w:t>. Shares underlying Other Stock-Based Awards shall be entitled to Dividend Equivalents only to the extent provided by the Committee; provided, however, that such Dividend Equivalents will be subject to the same vesting conditions as the underlying Other Stock-Based Award.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XII. Performance Awards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Committee may establish performance criteria and level of achievement versus such criteria that shall determine the amount of cash or the number of shares of Common Stock, Options, SARs, Restricted Stock or Restricted Stock Units to be granted, retained, vested, issued or paid pursuant to a Performance Award. A Performance Award may be identified as “Performance Share,” “Performance Equity,” “Performance Unit” or other such term as chosen by the Committee. Participants shall have no voting rights and will have no rights to receive dividends or Dividend Equivalents in respect of a Performance Award that is an Option or Stock Appreciation Right or any shares of Common Stock subject to such Option or Stock Appreciation Right until the Participant has become the holder of record of such shares. Shares underlying other Performance Awards shall be entitled to Dividend Equivalents only to the extent provided by the Committee; provided, however, that such Dividend Equivalents will be subject to the same vesting conditions as the underlying Performance Award.</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XIII. Deferral of Payment</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The Committee may, in an Award Agreement or otherwise, provide for the deferred delivery of Common Stock or cash upon vesting or other events with respect to Restricted Stock Units or Other Stock-Based Awards. Notwithstanding any provision of the Plan to the contrary, (i) no Award shall provide for deferral of compensation that does not comply with Section 409A of the Code and (ii) in no event will any election to defer the delivery of Common Stock or any other payment with respect to any Award be allowed if the Committee determines, in its sole discretion, that the deferral would result in the imposition of additional tax under Section 409A of the Code. None of the Company, its Affiliates, the Board, the Committee or any delegates thereof shall have any liability for its actions or otherwise to a Participant or any other party if an Award that is intended to be exempt from or compliant with Section 409A of the Code is not so exempt or compliant.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XIV. Conditions and Restrictions Upon Securities Subject to Awards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 Committee may provide that the Common Stock subject to or issued upon exercise or settlement of an Award shall be subject to such further agreements, restrictions, conditions or limitations as the Committee in its discretion may specify prior to the grant, issuance, vesting, exercise or settlement of such Award. Without limiting the foregoing, such restrictions may address the timing and manner of any resales or other transfers by the Participant of any shares of Common Stock issued under an Award, including (a) restrictions under an insider trading policy, a stock ownership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w:t>
      </w:r>
    </w:p>
    <w:p>
      <w:pPr>
        <w:spacing w:after="0" w:line="5" w:lineRule="exact"/>
        <w:rPr>
          <w:sz w:val="20"/>
          <w:szCs w:val="20"/>
          <w:color w:val="auto"/>
        </w:rPr>
      </w:pPr>
    </w:p>
    <w:p>
      <w:pPr>
        <w:ind w:left="5424" w:right="760" w:hanging="5424"/>
        <w:spacing w:after="0" w:line="433" w:lineRule="auto"/>
        <w:tabs>
          <w:tab w:leader="none" w:pos="26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requiring Common Stock be sold on the open market or to the Company in order to satisfy tax withholding or other obligations. 14</w:t>
      </w:r>
    </w:p>
    <w:p>
      <w:pPr>
        <w:sectPr>
          <w:pgSz w:w="11900" w:h="16838" w:orient="portrait"/>
          <w:cols w:equalWidth="0" w:num="1">
            <w:col w:w="11004"/>
          </w:cols>
          <w:pgMar w:left="436" w:top="270" w:right="459" w:bottom="1440" w:gutter="0" w:footer="0" w:header="0"/>
        </w:sectPr>
      </w:pPr>
    </w:p>
    <w:bookmarkStart w:id="327" w:name="page328"/>
    <w:bookmarkEnd w:id="3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XV. Adjustment of and Changes in the Stock</w:t>
      </w:r>
    </w:p>
    <w:p>
      <w:pPr>
        <w:spacing w:after="0" w:line="135" w:lineRule="exact"/>
        <w:rPr>
          <w:sz w:val="20"/>
          <w:szCs w:val="20"/>
          <w:color w:val="auto"/>
        </w:rPr>
      </w:pPr>
    </w:p>
    <w:p>
      <w:pPr>
        <w:ind w:left="424" w:right="80" w:hanging="424"/>
        <w:spacing w:after="0" w:line="270" w:lineRule="auto"/>
        <w:tabs>
          <w:tab w:leader="none" w:pos="424"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kind of shares of Common Stock available for issuance under this Plan (including under any Awards then outstanding)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Common Stock outstanding. Such adjustment may be designed to (i) comply with Section 424 of the Code,</w:t>
      </w:r>
    </w:p>
    <w:p>
      <w:pPr>
        <w:spacing w:after="0" w:line="2" w:lineRule="exact"/>
        <w:rPr>
          <w:rFonts w:ascii="Times New Roman" w:cs="Times New Roman" w:eastAsia="Times New Roman" w:hAnsi="Times New Roman"/>
          <w:sz w:val="17"/>
          <w:szCs w:val="17"/>
          <w:color w:val="auto"/>
        </w:rPr>
      </w:pPr>
    </w:p>
    <w:p>
      <w:pPr>
        <w:ind w:left="424" w:right="40" w:firstLine="8"/>
        <w:spacing w:after="0" w:line="252" w:lineRule="auto"/>
        <w:tabs>
          <w:tab w:leader="none" w:pos="689"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shares of Common Stock available under the Plan and subject to Awards as if they were all outstanding on the record date for such event or transaction, and/or (iii) increase the number of such shares of Common Stock to reflect a deemed reinvestment in shares of Common Stock of the amount distributed to the Company’s shareholders. The terms of any outstanding Award shall also be equitably adjusted by the Committee as to price, number or kind of shares of Common Stock subject to such Award, vesting, performance criteria, and other terms to reflect the foregoing events, which adjustments need not be uniform as between different Awards or different types of Awards. No fractional shares of Common Stock shall be issued or issuable pursuant to such an adjustment.</w:t>
      </w:r>
    </w:p>
    <w:p>
      <w:pPr>
        <w:spacing w:after="0" w:line="95"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is any other change in the number or kind of outstanding shares of Common Stock (or other securities into which such Common Stock is changed or for which it is exchanged) by reason of a Change in Control, other merger, consolidation or otherwise, then the Committee shall determine the appropriate and equitable adjustment to be affected, which adjustments need not be uniform between different Awards or different types of Awards. In addition, in such event, the Committee may (i) accelerate the time or times at which any Award may be exercised or settled, consistent with and as otherwise permitted under Section 409A of the Code, and/or (ii) provide for cancellation of such accelerated Awards that are not exercised within a time prescribed by the Committee in its sole discretion.</w:t>
      </w:r>
    </w:p>
    <w:p>
      <w:pPr>
        <w:spacing w:after="0" w:line="92"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the Committee, acting in its sole discretion without the consent or approval of any Participant, may take one or more of the following actions, which may vary among individual Participants and/or among Awards held by any individual Participant: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vesting or waive any forfeiture conditions;</w:t>
      </w:r>
    </w:p>
    <w:p>
      <w:pPr>
        <w:spacing w:after="0" w:line="130"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328" w:name="page329"/>
    <w:bookmarkEnd w:id="328"/>
    <w:p>
      <w:pPr>
        <w:ind w:left="964" w:hanging="532"/>
        <w:spacing w:after="0" w:line="256" w:lineRule="auto"/>
        <w:tabs>
          <w:tab w:leader="none" w:pos="96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redeem in whole or in part outstanding Awards by requiring the mandatory surrender to the Company of some or all of the outstanding Awards held by a Participant (irrespective of whether such Awards are then vested or exercisable) as of a date specified by the Committee, in which event the Committee shall thereupon cancel such Awards and pay to each Participant an amount of cash or other consideration per Award equal to the Change in Control Price (less the exercise price with respect to an Option or SAR with an exercise price that is less than or equal to the Change in Control Price) or no consideration if the exercise price of an Option or SAR exceeds the Change in Control Price;</w:t>
      </w:r>
    </w:p>
    <w:p>
      <w:pPr>
        <w:spacing w:after="0" w:line="92"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require the mandatory surrender of Dividend Equivalents in exchange for such cash or other consideration (if any) determined by the Committee in is sole discretion; or</w:t>
      </w:r>
    </w:p>
    <w:p>
      <w:pPr>
        <w:spacing w:after="0" w:line="67" w:lineRule="exact"/>
        <w:rPr>
          <w:rFonts w:ascii="Times New Roman" w:cs="Times New Roman" w:eastAsia="Times New Roman" w:hAnsi="Times New Roman"/>
          <w:sz w:val="18"/>
          <w:szCs w:val="18"/>
          <w:color w:val="auto"/>
        </w:rPr>
      </w:pPr>
    </w:p>
    <w:p>
      <w:pPr>
        <w:ind w:left="964" w:right="260" w:hanging="532"/>
        <w:spacing w:after="0" w:line="312" w:lineRule="auto"/>
        <w:tabs>
          <w:tab w:leader="none" w:pos="964"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such adjustments to Awards then outstanding as the Committee deems appropriate to reflect such Change in Control or other such event (including the substitution, assumption, or continuation of Awards by the successor company or a parent or subsidiary thereof).</w:t>
      </w:r>
    </w:p>
    <w:p>
      <w:pPr>
        <w:spacing w:after="0" w:line="32" w:lineRule="exact"/>
        <w:rPr>
          <w:sz w:val="20"/>
          <w:szCs w:val="20"/>
          <w:color w:val="auto"/>
        </w:rPr>
      </w:pPr>
    </w:p>
    <w:p>
      <w:pPr>
        <w:ind w:left="444" w:right="40"/>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of a Change in Control in which the acquiring or surviving company in the transaction (or any parent or subsidiary thereof) does not assume or continue outstanding Awards or issue substitute awards upon the Change in Control in a manner determined by the Committee, in its sole discretion, pursuant to this Section XV(c),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Performance Award, all conditions to the grant, issuance, vesting or settlement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outstanding Restricted Stock, Restricted Stock Units or Other Stock-Based Awards (other than a Performance Award), all conditions to the grant, issuance, vesting or settlement of (or any other restrictions applicable to) such Award shall immediately lapse. In no event shall any action be taken pursuant to this Section XV(c) that would change the payment or settlement date of an Award in a manner that would result in the imposition of any additional taxes or penalties pursuant to Section 409A of the Code.</w:t>
      </w:r>
    </w:p>
    <w:p>
      <w:pPr>
        <w:spacing w:after="0" w:line="95" w:lineRule="exact"/>
        <w:rPr>
          <w:sz w:val="20"/>
          <w:szCs w:val="20"/>
          <w:color w:val="auto"/>
        </w:rPr>
      </w:pPr>
    </w:p>
    <w:p>
      <w:pPr>
        <w:ind w:left="424" w:right="600" w:hanging="424"/>
        <w:spacing w:after="0" w:line="282" w:lineRule="auto"/>
        <w:tabs>
          <w:tab w:leader="none" w:pos="42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provision of the Plan or any Award Agreement shall provide to any Participant a gross-up payment or other compensation for any taxes imposed by Section 4999 of the Code or otherwise.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329" w:name="page330"/>
    <w:bookmarkEnd w:id="32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XVI. Transferability</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Each Award may not be sold, transferred for value, pledged, assigned, or otherwise alienated or hypothecated by a Participant, and each Option or Stock Appreciation Right shall be exercisable only by the Participant during his or her lifetime. Notwithstanding the foregoing, as permitted by the Committee under procedures it establishes, a Participant may (i) transfer or assign an Award as a gift to any “family member” (as such term is defined for purposes of the Registration Statement on Form S-8) who may be entitled to exercise any assigned Options or Stock Appreciation Rights only during the lifetime of the assigning Participant and (ii) designate one or more beneficiaries with respect to Awards in the event of a Participant’s death who may be entitled to exercise any Options or Stock Appreciation rights as provided by the Committee. In such case, such family member or beneficiary shall not further sell, pledge, transfer, assign or otherwise alienate or hypothecate such Award, and the Participant’s estate will be deemed the beneficiary in the absence of a beneficiary designation.</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XVII. Compliance with Laws and Regulations</w:t>
      </w:r>
    </w:p>
    <w:p>
      <w:pPr>
        <w:spacing w:after="0" w:line="135" w:lineRule="exact"/>
        <w:rPr>
          <w:sz w:val="20"/>
          <w:szCs w:val="20"/>
          <w:color w:val="auto"/>
        </w:rPr>
      </w:pPr>
    </w:p>
    <w:p>
      <w:pPr>
        <w:ind w:left="424" w:hanging="424"/>
        <w:spacing w:after="0" w:line="254" w:lineRule="auto"/>
        <w:tabs>
          <w:tab w:leader="none" w:pos="42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the grant, issuance, vesting, exercise and settlement of Awards hereunder, and the obligation of the Company to sell, issue or deliver shares of Common Stock under such Awards, shall be subject to all applicable foreign, federal, state and local laws, governmental and regulatory approvals, and stock exchange rules and regulations. The Company shall not be required to register in a Participant’s name or deliver Common Stock prior to the completion of any registration or qualification of such shares which the Committee shall determine to be necessary or advisable. To the extent the Company is unable to (or the Committee deems it infeasible to) obtain approval from any regulatory body deemed by the Company’s counsel to be advisable to the lawful issuance and sale of any shares of Common Stock hereunder, the Company, its Affiliates, the Board, the Committee and any delegates thereof shall be relieved of any liability with respect to the failure to issue or sell such shares of Common Stock.</w:t>
      </w:r>
    </w:p>
    <w:p>
      <w:pPr>
        <w:spacing w:after="0" w:line="97"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Award is granted to or held by a Participant who is employed or providing services outside the United States, the Committee may (in its sole discretion) modify the provisions of the Plan or such Award (or create sub-plans) as they pertain to such individual to comply with applicable foreign law or to recognize differences in local law, currency or tax policy. The Committee may also impose conditions on the grant, issuance, vesting, exercise or settlement of Awards in order to comply with such foreign law and/or to minimize the Company’s obligations with respect to tax equalization for Participants employed outside their home country.</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XVIII. Withholding</w:t>
      </w:r>
    </w:p>
    <w:p>
      <w:pPr>
        <w:spacing w:after="0" w:line="121"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To the extent required by applicable foreign, federal, state or local law, a Participant shall (and the Committee may) make arrangements acceptable to the Company for the satisfaction of any tax withholding obligations that arise with respect to any Award or the issuance or sale of any shares of Common Stock. The Company shall not be required to recognize any Participant’s rights, issue shares of Common Stock, or recognize the disposition of shares of Common Stock, under an Award until such obligations are satisfied. To the extent permitted or required by the Committee, these obligations</w:t>
      </w:r>
    </w:p>
    <w:p>
      <w:pPr>
        <w:spacing w:after="0" w:line="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330" w:name="page331"/>
    <w:bookmarkEnd w:id="330"/>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or shall be satisfied by (i) the Company withholding cash from any compensation otherwise payable to or for the benefit of a Participant, (ii) the Company withholding a portion of the shares of Common Stock that otherwise would be issued to a Participant under such Award or any other Award held by the Participant, or (iii) the Participant tendering to the Company cash or shares of Common Stock. None of the Company, its Affiliates, the Board, the Committee or any delegates thereof shall be liable to a Participant or any other person as to any tax consequence expected but not realized (or unexpected and realized) due to the grant, issuance, vesting, exercise or settlement of any Award.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XIX. Amendment of the Plan or Awards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Board or its designee may amend, alter, suspend or terminate the Plan at any time and for any reason, and the Committee or its designee may amend or alter any Award Agreement or other document evidencing an Award made under this Plan. Notwithstanding the foregoing and except as provided in Section XV, no such amendment shall, without the approval of the shareholders of the Company:</w:t>
      </w:r>
    </w:p>
    <w:p>
      <w:pPr>
        <w:spacing w:after="0" w:line="81" w:lineRule="exact"/>
        <w:rPr>
          <w:sz w:val="20"/>
          <w:szCs w:val="20"/>
          <w:color w:val="auto"/>
        </w:rPr>
      </w:pPr>
    </w:p>
    <w:p>
      <w:pPr>
        <w:ind w:left="424" w:hanging="424"/>
        <w:spacing w:after="0"/>
        <w:tabs>
          <w:tab w:leader="none" w:pos="42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shares of Common Stock for which Awards may be granted under this Plan;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Options may be granted below the price provided in Section VIII(a);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outstanding Options or SARs as described in Sections VIII(b) and IX(b);</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Eligible Persons;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individual maximum limits in Section V(e); or</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the Plan in any manner requiring shareholder approval by law or the rules of any stock exchange, market or quotation system on which the Common Stock is traded, listed or quoted.</w:t>
      </w:r>
    </w:p>
    <w:p>
      <w:pPr>
        <w:spacing w:after="0" w:line="162"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any Award Agreement, no amendment or alteration to the Plan, an Award or an Award Agreement shall be made which would materially impair the rights of the Award holder without the Award holder’s consent. Notwithstanding the foregoing, no such consent shall be required to the extent the Committee determines, in its sole discretion and prior to the date of any applicable Change in Control, that such amendment or alteration either (i) is required or advisable in order for the Company, the Plan or the Award to satisfy any law or accounting standard (or to avoid adverse financial accounting consequences) or (ii) is not reasonably likely to significantly diminish the benefits provided under such Award (or has been adequately compensated).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31" w:name="page332"/>
    <w:bookmarkEnd w:id="33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XX. Other</w:t>
      </w:r>
    </w:p>
    <w:p>
      <w:pPr>
        <w:spacing w:after="0" w:line="135" w:lineRule="exact"/>
        <w:rPr>
          <w:sz w:val="20"/>
          <w:szCs w:val="20"/>
          <w:color w:val="auto"/>
        </w:rPr>
      </w:pPr>
    </w:p>
    <w:p>
      <w:pPr>
        <w:ind w:left="424" w:right="60" w:hanging="424"/>
        <w:spacing w:after="0" w:line="261" w:lineRule="auto"/>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Plan</w:t>
      </w:r>
      <w:r>
        <w:rPr>
          <w:rFonts w:ascii="Times New Roman" w:cs="Times New Roman" w:eastAsia="Times New Roman" w:hAnsi="Times New Roman"/>
          <w:sz w:val="18"/>
          <w:szCs w:val="18"/>
          <w:color w:val="auto"/>
        </w:rPr>
        <w:t>. 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w:t>
      </w:r>
    </w:p>
    <w:p>
      <w:pPr>
        <w:spacing w:after="0" w:line="85" w:lineRule="exact"/>
        <w:rPr>
          <w:rFonts w:ascii="Times New Roman" w:cs="Times New Roman" w:eastAsia="Times New Roman" w:hAnsi="Times New Roman"/>
          <w:sz w:val="18"/>
          <w:szCs w:val="18"/>
          <w:color w:val="auto"/>
        </w:rPr>
      </w:pPr>
    </w:p>
    <w:p>
      <w:pPr>
        <w:ind w:left="424" w:right="140" w:hanging="424"/>
        <w:spacing w:after="0" w:line="258" w:lineRule="auto"/>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any Award Agreements or other documents hereunder shall be interpreted and construed in accordance with the laws of the State of New York and applicable federal law, including securities laws. All references in this Plan or an Award Agreement or similar document to laws, rules, regulations, contracts, agreements and instruments refer to (i) all rules, regulations and administrative guidance promulgated thereunder, (ii) such items as they may be amended from time to time and (iii) any successor law, rule or regulation of similar effect or applicability.</w:t>
      </w:r>
    </w:p>
    <w:p>
      <w:pPr>
        <w:spacing w:after="0" w:line="88"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Reelection or Continued Service</w:t>
      </w:r>
      <w:r>
        <w:rPr>
          <w:rFonts w:ascii="Times New Roman" w:cs="Times New Roman" w:eastAsia="Times New Roman" w:hAnsi="Times New Roman"/>
          <w:sz w:val="18"/>
          <w:szCs w:val="18"/>
          <w:color w:val="auto"/>
        </w:rPr>
        <w:t>. Nothing in this Plan or related to any Award shall itself (i) constitute an employment contract with the Company or its Affiliate, (ii) confer upon any Participant any right to continue employment or service for any specified period of time or (iii) limit in any way the right of the Company or its Affiliates to terminate any Participant’s employment, service on the Board or other service at any time and for any reason not prohibited by law. Subject to Sections IV and XIX, this Plan and the benefits hereunder may be terminated at any time in the sole and exclusive discretion of the Board without giving rise to any liability on the part of the Company, its Affiliates, the Board, the Committee or any delegates thereof.</w:t>
      </w:r>
    </w:p>
    <w:p>
      <w:pPr>
        <w:spacing w:after="0" w:line="92"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 Delay</w:t>
      </w:r>
      <w:r>
        <w:rPr>
          <w:rFonts w:ascii="Times New Roman" w:cs="Times New Roman" w:eastAsia="Times New Roman" w:hAnsi="Times New Roman"/>
          <w:sz w:val="18"/>
          <w:szCs w:val="18"/>
          <w:color w:val="auto"/>
        </w:rPr>
        <w:t>. If, upon Separation from Service, a Participant is a “specified employee” within the meaning of Section 409A of the Code, any payment under this Plan that is subject to Section 409A of the Code and would otherwise be paid within six months after the Participant’s Separation from Service will instead be paid in the seventh month following the Participant’s Separation from Service.</w:t>
      </w:r>
    </w:p>
    <w:p>
      <w:pPr>
        <w:spacing w:after="0" w:line="81"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Award shall be held unlawful or otherwise invalid or unenforceable in whole or in part, the unlawfulness, invalidity, or unenforceability shall not affect any other provision of the Plan or any Award, each of which shall remain in full force and effect. Likewise, if the Committee determines that any provision would disqualify the Plan or any Award under any law, rule or regulation it deems applicable, such provision shall be construed or deemed amended to conform with the applicable law, rule or regulation, as determined by the Committee.</w:t>
      </w:r>
    </w:p>
    <w:p>
      <w:pPr>
        <w:spacing w:after="0" w:line="88"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is intended to be an unfunded plan, and Participants are general creditors of the Company with respect to their Awards. If the Committee or the Company chooses to set aside funds in a trust or otherwise for the payment of Awards under the Plan, such funds shall at all times be subject to the Company’s creditors.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332" w:name="page333"/>
    <w:bookmarkEnd w:id="332"/>
    <w:p>
      <w:pPr>
        <w:ind w:left="424" w:right="100" w:hanging="424"/>
        <w:spacing w:after="0" w:line="261" w:lineRule="auto"/>
        <w:tabs>
          <w:tab w:leader="none" w:pos="42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w:t>
      </w:r>
      <w:r>
        <w:rPr>
          <w:rFonts w:ascii="Times New Roman" w:cs="Times New Roman" w:eastAsia="Times New Roman" w:hAnsi="Times New Roman"/>
          <w:sz w:val="18"/>
          <w:szCs w:val="18"/>
          <w:color w:val="auto"/>
        </w:rPr>
        <w:t>. Headings are used within the Plan, Award Agreements and other related documents solely as a convenience shall not be deemed in any way material or relevant to the construction or interpretation of any provision of the Plan. The use of the word “including” following any general statement in the Plan, Award Agreements or any related documents shall not be construed to limit the scope of such statement, regardless of whether it is accompanied by non-limiting language (such as “without limitation”).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XXI. Clawback/Recoupment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If a Participant’s Termination of Employment or Separation from Service is for Cause or if the Committee determines in its sole discretion that a Participant has engaged in conduct that (a) constitutes a breach of an agreement with the Company or its Affiliate, (b) results in (or has the potential to cause) material harm financially, reputationally, or otherwise to the Company or its Affiliate or (c) occurred prior to the Participant’s Termination of Employment or Separation from Service and would give rise to a termination for Cause (regardless of whether such conduct is discovered before, during or after the Participant’s Termination of Employment or Separation from Service), the Participant shall forfeit the Participant’s right to any unvested or unexercised Awards and may be required to repay any cash, Common Stock or other property received pursuant to vested and exercised Awards to the extent recovery is permitted by law. The remedy under this Section XXI is not exclusive and shall not limit any right of the Company under applicable law, including a remedy under (i) Section 10D of the Act, (ii) any applicable rules or regulations promulgated by the Securities and Exchange Commission or any national securities exchange or national securities association on which shares of the Company may be traded, and/or (iii) any Company policy adopted with respect to compensation recoupment.</w:t>
      </w:r>
    </w:p>
    <w:p>
      <w:pPr>
        <w:spacing w:after="0" w:line="194" w:lineRule="exact"/>
        <w:rPr>
          <w:sz w:val="20"/>
          <w:szCs w:val="20"/>
          <w:color w:val="auto"/>
        </w:rPr>
      </w:pPr>
    </w:p>
    <w:p>
      <w:pPr>
        <w:ind w:left="4" w:right="120"/>
        <w:spacing w:after="0" w:line="281" w:lineRule="auto"/>
        <w:rPr>
          <w:sz w:val="20"/>
          <w:szCs w:val="20"/>
          <w:color w:val="auto"/>
        </w:rPr>
      </w:pPr>
      <w:r>
        <w:rPr>
          <w:rFonts w:ascii="Times New Roman" w:cs="Times New Roman" w:eastAsia="Times New Roman" w:hAnsi="Times New Roman"/>
          <w:sz w:val="17"/>
          <w:szCs w:val="17"/>
          <w:color w:val="auto"/>
        </w:rPr>
        <w:t>In addition, 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described in this Section XXI will give rise to a right to resign for “good reason” or a “constructive termination” as such terms (or any similar term) are used in any agreement between any Participant and the Company or its Affiliate.</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 HealthCare Technologies Inc. Mirror 2007 Long-Term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purpose of this GE HealthCare Technologies Inc. Mirror 2007 Long-Term Incentive Plan (the “Plan”) is to assume on the Effective Date (as defined below), as a result of the spin-off of GE’s healthcare business (the “Spin-Off”), awards in GE HealthCare Technologies Inc. (the “Company”) as a result of the conversion of awards originally issued by General Electric Company (including any of its subsidiaries or affiliates, “GE”) under the GE 2007 Long-Term Incentive Plan, as amended from time to time (the “GE 2007 LTIP”) (such awards assuming the maximum achievement of performance metrics with respect to any GE performance-based awards, the “Spin-Off Awards”), to (i) certain current and former employees of GE and its affiliates as of the Spin-Off (“GE Participants”) and (ii) certain employees of the Company and its Affiliates as of the Spin-Off (“GE HealthCare Participants”, and together with GE Participants, “Spin-Off Participants”). Notwithstanding anything herein to the contrary, other than the Spin-Off Awards, no Awards (as defined below) shall be granted under this Plan following the Effective Date.</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Spin-Off Participant’s rights under this Plan are intended to be the same as such Spin-Off Participant’s rights under the GE 2007 LTIP immediately prior to the Effective Date. For the avoidance of doubt, (i) each Spin-Off Participant’s service with GE prior to the Effective Date shall be credited for purposes of such Spin-Off Participant’s respective Spin-Off Awards, (ii) no Spin-Off Participant shall be treated as incurring a termination of employment, separation from service, retirement or similar event for purposes of vesting, settlement, forfeiture or any other purpose under this Plan solely as a result of the Spin-Off and (iii) any Spin-Off Participant whose employment is terminated from GE or the Company or its Affiliates, as applicable, shall be deemed to have a termination of employment and separation from service under this Plan, even if such Spin-Off Participant is subsequently hired by the Company or its Affiliates or GE, as applicable.</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with respect to any GE Participant, all determinations with respect to the employment, status of employment or characterization of termination of employment (including any amendment or acceleration of vesting, exercise or settlement of the GE Participant’s respective Spin-Off Awards in connection with any termination of employment) shall be made by 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117" w:lineRule="exact"/>
        <w:rPr>
          <w:sz w:val="20"/>
          <w:szCs w:val="20"/>
          <w:color w:val="auto"/>
        </w:rPr>
      </w:pPr>
    </w:p>
    <w:p>
      <w:pPr>
        <w:ind w:right="300" w:firstLine="436"/>
        <w:spacing w:after="0" w:line="282" w:lineRule="auto"/>
        <w:tabs>
          <w:tab w:leader="none" w:pos="6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shall mean (i) any entity that, directly or through one or more intermediaries, is controlled by the Company and (ii) any entity in which the Company has a significant equity interest, as determined by the Committee.</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shall mean any Option, Stock Appreciation Right, Restricted Stock, Restricted Stock Unit, Performance Award, Dividend Equivalent, or Other Stock-Based Award granted under the Plan.</w:t>
      </w:r>
    </w:p>
    <w:p>
      <w:pPr>
        <w:sectPr>
          <w:pgSz w:w="11900" w:h="16838" w:orient="portrait"/>
          <w:cols w:equalWidth="0" w:num="1">
            <w:col w:w="11020"/>
          </w:cols>
          <w:pgMar w:left="440" w:top="117" w:right="439" w:bottom="1440" w:gutter="0" w:footer="0" w:header="0"/>
        </w:sectPr>
      </w:pPr>
    </w:p>
    <w:bookmarkStart w:id="334" w:name="page335"/>
    <w:bookmarkEnd w:id="334"/>
    <w:p>
      <w:pPr>
        <w:ind w:firstLine="436"/>
        <w:spacing w:after="0" w:line="282"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Agreement” shall mean any written agreement, contract, or other instrument or document, including an electronic communication, as may from time to time be designated by the Company as evidencing any Award granted under the Plan.</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shall mean the Board of Directors of the Company.</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 from time to time.</w:t>
      </w:r>
    </w:p>
    <w:p>
      <w:pPr>
        <w:spacing w:after="0" w:line="117" w:lineRule="exact"/>
        <w:rPr>
          <w:rFonts w:ascii="Times New Roman" w:cs="Times New Roman" w:eastAsia="Times New Roman" w:hAnsi="Times New Roman"/>
          <w:sz w:val="18"/>
          <w:szCs w:val="18"/>
          <w:color w:val="auto"/>
        </w:rPr>
      </w:pPr>
    </w:p>
    <w:p>
      <w:pPr>
        <w:ind w:right="20" w:firstLine="436"/>
        <w:spacing w:after="0" w:line="261" w:lineRule="auto"/>
        <w:tabs>
          <w:tab w:leader="none" w:pos="66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a committee of the Board, acting in accordance with the provisions of Section 3, designated by the Board to administer the Plan and composed of not less than three non-employee directors. Unless otherwise determined by the Board, the Talent, Culture, and Compensation Committee of the Board generally serves as the Committee for purposes of the Plan, except that a separate committee designated by the Board shall be responsible for administering the Plan as it relates to any Award provided to a Director.</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shall mean any member of the Board who is not a Salaried Employee at the time of receiving an Award under the Plan.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shall mean any right granted under Section 6(e) of the Plan.</w:t>
      </w:r>
    </w:p>
    <w:p>
      <w:pPr>
        <w:spacing w:after="0" w:line="117" w:lineRule="exact"/>
        <w:rPr>
          <w:rFonts w:ascii="Times New Roman" w:cs="Times New Roman" w:eastAsia="Times New Roman" w:hAnsi="Times New Roman"/>
          <w:sz w:val="18"/>
          <w:szCs w:val="18"/>
          <w:color w:val="auto"/>
        </w:rPr>
      </w:pPr>
    </w:p>
    <w:p>
      <w:pPr>
        <w:ind w:right="580" w:firstLine="436"/>
        <w:spacing w:after="0" w:line="282" w:lineRule="auto"/>
        <w:tabs>
          <w:tab w:leader="none" w:pos="65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shall mean, with respect to any Shares or other securities, the closing price of a Share on the date as of which the determination is being made or as otherwise determined in a manner specified by the Committee.</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shall mean an option granted under Section 6(a) of the Plan that is intended to meet the requirements of Section 422 of the Code, or any successor provision thereto.</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shall mean an option granted under Section 6(a) of the Plan that is not intended to be an Incentive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9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shall mean an Incentive Stock Option or a Non-Qualified Stock Option.</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shall mean any right, including a Deferred Stock Unit, granted under Section 6(f) of the Plan.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mean a Spin-Off Participant designated to be granted an Award under the Plan.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shall mean any right granted under Section 6(d) of the Plan.</w:t>
      </w:r>
    </w:p>
    <w:p>
      <w:pPr>
        <w:spacing w:after="0" w:line="117"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shall mean any quantitative and/or qualitative measures, as determined by the Committee, which may be used to measure the level of performance of the Company or any individual Participant during a Performance Period, including any Qualifying Performance Criteria.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60"/>
          </w:cols>
          <w:pgMar w:left="440" w:top="270" w:right="599" w:bottom="1440" w:gutter="0" w:footer="0" w:header="0"/>
        </w:sectPr>
      </w:pPr>
    </w:p>
    <w:bookmarkStart w:id="335" w:name="page336"/>
    <w:bookmarkEnd w:id="335"/>
    <w:p>
      <w:pPr>
        <w:ind w:left="700" w:hanging="264"/>
        <w:spacing w:after="0"/>
        <w:tabs>
          <w:tab w:leader="none" w:pos="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Period” shall mean any period as determined by the Committee in its sole discretion.</w:t>
      </w:r>
    </w:p>
    <w:p>
      <w:pPr>
        <w:spacing w:after="0" w:line="117" w:lineRule="exact"/>
        <w:rPr>
          <w:rFonts w:ascii="Times New Roman" w:cs="Times New Roman" w:eastAsia="Times New Roman" w:hAnsi="Times New Roman"/>
          <w:sz w:val="18"/>
          <w:szCs w:val="18"/>
          <w:color w:val="auto"/>
        </w:rPr>
      </w:pPr>
    </w:p>
    <w:p>
      <w:pPr>
        <w:ind w:right="740" w:firstLine="436"/>
        <w:spacing w:after="0" w:line="282" w:lineRule="auto"/>
        <w:tabs>
          <w:tab w:leader="none" w:pos="66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mean any individual, corporation, partnership, association, joint-stock company, trust, unincorporated organization, or government or political subdivision thereof.</w:t>
      </w:r>
    </w:p>
    <w:p>
      <w:pPr>
        <w:spacing w:after="0" w:line="53" w:lineRule="exact"/>
        <w:rPr>
          <w:rFonts w:ascii="Times New Roman" w:cs="Times New Roman" w:eastAsia="Times New Roman" w:hAnsi="Times New Roman"/>
          <w:sz w:val="18"/>
          <w:szCs w:val="18"/>
          <w:color w:val="auto"/>
        </w:rPr>
      </w:pPr>
    </w:p>
    <w:p>
      <w:pPr>
        <w:ind w:right="60" w:firstLine="436"/>
        <w:spacing w:after="0" w:line="255" w:lineRule="auto"/>
        <w:tabs>
          <w:tab w:leader="none" w:pos="67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Performance Criteria” shall mean one or more of the following performance criteria, either individually, alternatively or in any combination, applied to either the company as a whole or to a business unit or related company, and measured either annually or cumulatively over a period of years, on an absolute basis or relative to a pre-established target, to a previous year’s results or to a designated comparison group, in each case as specified by the Committee in the Award: sales and revenue; income, earnings, profit and margins; earnings per share; return on capital, return on equity and return on investment; cash flow and cash returned to investors; and total shareowner return, subject to adjustment by the Committee to remove the effect of charges for restructurings, discontinued operations and all items of gain, loss or expense determined to be unusual in nature or infrequent in occurrence, related to the disposal of a segment or a business, or related to a change in accounting principle or otherwise.</w:t>
      </w:r>
    </w:p>
    <w:p>
      <w:pPr>
        <w:spacing w:after="0" w:line="80"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shall mean any award of Shares granted under Section 6(c) of the Plan.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shall mean any right granted under Section 6(c) of the Plan that is denominated in Shares.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“Salaried Employee” shall mean any salaried employee of the Company or of any Affiliate.</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73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mean the common shares of the Company and such other securities as may become the subject of Awards, or become subject to Awards, pursuant to an adjustment made under Section 4(b) of the Plan.</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shall mean any right granted under Section 6(b) of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Except as otherwise provided herein, the Plan shall be administered by the Committee, which shall have the power to interpret the Plan and to adopt such rules and guidelines for implementing the terms of the Plan as it may deem appropriate. The Committee shall have the ability to modify the Plan provisions, to the extent necessary, or delegate such authority, to accommodate any law or regulation in jurisdictions in which Participants will receive Awards.</w:t>
      </w:r>
    </w:p>
    <w:p>
      <w:pPr>
        <w:spacing w:after="0" w:line="72" w:lineRule="exact"/>
        <w:rPr>
          <w:sz w:val="20"/>
          <w:szCs w:val="20"/>
          <w:color w:val="auto"/>
        </w:rPr>
      </w:pPr>
    </w:p>
    <w:p>
      <w:pPr>
        <w:ind w:left="680" w:hanging="244"/>
        <w:spacing w:after="0"/>
        <w:tabs>
          <w:tab w:leader="none" w:pos="6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and applicable law, the Committee shall have full power and authority to:</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0"/>
          </w:cols>
          <w:pgMar w:left="440" w:top="270" w:right="479" w:bottom="1440" w:gutter="0" w:footer="0" w:header="0"/>
        </w:sectPr>
      </w:pPr>
    </w:p>
    <w:bookmarkStart w:id="336" w:name="page337"/>
    <w:bookmarkEnd w:id="336"/>
    <w:p>
      <w:pPr>
        <w:ind w:left="1260" w:hanging="273"/>
        <w:spacing w:after="0"/>
        <w:tabs>
          <w:tab w:leader="none" w:pos="12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 the type or types of Awards to be granted to each Participant under the Plan and grant Awards to such Participants;</w:t>
      </w:r>
    </w:p>
    <w:p>
      <w:pPr>
        <w:spacing w:after="0" w:line="117" w:lineRule="exact"/>
        <w:rPr>
          <w:rFonts w:ascii="Times New Roman" w:cs="Times New Roman" w:eastAsia="Times New Roman" w:hAnsi="Times New Roman"/>
          <w:sz w:val="18"/>
          <w:szCs w:val="18"/>
          <w:color w:val="auto"/>
        </w:rPr>
      </w:pPr>
    </w:p>
    <w:p>
      <w:pPr>
        <w:ind w:right="120" w:firstLine="987"/>
        <w:spacing w:after="0" w:line="282" w:lineRule="auto"/>
        <w:tabs>
          <w:tab w:leader="none" w:pos="130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(or with respect to which payments, rights, or other matters are to be calculated in connection with) Awards;</w:t>
      </w:r>
    </w:p>
    <w:p>
      <w:pPr>
        <w:spacing w:after="0" w:line="53" w:lineRule="exact"/>
        <w:rPr>
          <w:rFonts w:ascii="Times New Roman" w:cs="Times New Roman" w:eastAsia="Times New Roman" w:hAnsi="Times New Roman"/>
          <w:sz w:val="18"/>
          <w:szCs w:val="18"/>
          <w:color w:val="auto"/>
        </w:rPr>
      </w:pPr>
    </w:p>
    <w:p>
      <w:pPr>
        <w:ind w:right="60" w:firstLine="987"/>
        <w:spacing w:after="0" w:line="282" w:lineRule="auto"/>
        <w:tabs>
          <w:tab w:leader="none" w:pos="129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and of Award Agreements, and verify the extent of satisfaction of any performance goals or other conditions applicable to the grant, issuance, exercisability, vesting and/or ability to retain any Award;</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Awards may be settled or exercised in cash, Shares, other securities, or other Awards, or canceled, forfeited, or suspended, and the method or methods by which Awards may be settled, exercised, canceled, forfeited, or suspended;</w:t>
      </w:r>
    </w:p>
    <w:p>
      <w:pPr>
        <w:spacing w:after="0" w:line="67" w:lineRule="exact"/>
        <w:rPr>
          <w:rFonts w:ascii="Times New Roman" w:cs="Times New Roman" w:eastAsia="Times New Roman" w:hAnsi="Times New Roman"/>
          <w:sz w:val="18"/>
          <w:szCs w:val="18"/>
          <w:color w:val="auto"/>
        </w:rPr>
      </w:pPr>
    </w:p>
    <w:p>
      <w:pPr>
        <w:ind w:right="320" w:firstLine="987"/>
        <w:spacing w:after="0" w:line="312" w:lineRule="auto"/>
        <w:tabs>
          <w:tab w:leader="none" w:pos="1296"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to what extent, and under what circumstances cash, Shares, other securities, other Awards, and other amounts payable with respect to an Award under the Plan shall be deferred either automatically or at the election of the holder thereof or of the Committee;</w:t>
      </w:r>
    </w:p>
    <w:p>
      <w:pPr>
        <w:spacing w:after="0" w:line="31" w:lineRule="exact"/>
        <w:rPr>
          <w:rFonts w:ascii="Times New Roman" w:cs="Times New Roman" w:eastAsia="Times New Roman" w:hAnsi="Times New Roman"/>
          <w:sz w:val="17"/>
          <w:szCs w:val="17"/>
          <w:color w:val="auto"/>
        </w:rPr>
      </w:pPr>
    </w:p>
    <w:p>
      <w:pPr>
        <w:ind w:left="1340" w:hanging="353"/>
        <w:spacing w:after="0"/>
        <w:tabs>
          <w:tab w:leader="none" w:pos="13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and any instrument or agreement relating to, or Award made under, the Plan;</w:t>
      </w:r>
    </w:p>
    <w:p>
      <w:pPr>
        <w:spacing w:after="0" w:line="117"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amend, suspend, or waive such rules and guidelines;</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such agents as it shall deem appropriate for the proper administration of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the Committee deems necessary or desirable for the administration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and</w:t>
      </w:r>
    </w:p>
    <w:p>
      <w:pPr>
        <w:spacing w:after="0" w:line="98" w:lineRule="exact"/>
        <w:rPr>
          <w:rFonts w:ascii="Times New Roman" w:cs="Times New Roman" w:eastAsia="Times New Roman" w:hAnsi="Times New Roman"/>
          <w:sz w:val="18"/>
          <w:szCs w:val="18"/>
          <w:color w:val="auto"/>
        </w:rPr>
      </w:pPr>
    </w:p>
    <w:p>
      <w:pPr>
        <w:ind w:right="220" w:firstLine="987"/>
        <w:spacing w:after="0" w:line="282" w:lineRule="auto"/>
        <w:tabs>
          <w:tab w:leader="none" w:pos="129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or any Award in the manner and to the extent it shall deem desirable to carry the Plan into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employment determinations with respect to GE Participants shall be made by GE, as described in Section I.</w:t>
      </w:r>
    </w:p>
    <w:p>
      <w:pPr>
        <w:spacing w:after="0" w:line="117" w:lineRule="exact"/>
        <w:rPr>
          <w:sz w:val="20"/>
          <w:szCs w:val="20"/>
          <w:color w:val="auto"/>
        </w:rPr>
      </w:pPr>
    </w:p>
    <w:p>
      <w:pPr>
        <w:ind w:right="20" w:firstLine="436"/>
        <w:spacing w:after="0" w:line="261"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Affiliate, any Participant, any holder or beneficiary of any Award, any shareowner, and any employee of the Company or of any Affiliate. Actions of the Committee may be taken by:</w:t>
      </w:r>
    </w:p>
    <w:p>
      <w:pPr>
        <w:spacing w:after="0" w:line="7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Committee;</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subcommittee, designated by the Committee;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00"/>
          </w:cols>
          <w:pgMar w:left="440" w:top="270" w:right="559" w:bottom="1440" w:gutter="0" w:footer="0" w:header="0"/>
        </w:sectPr>
      </w:pPr>
    </w:p>
    <w:bookmarkStart w:id="337" w:name="page338"/>
    <w:bookmarkEnd w:id="337"/>
    <w:p>
      <w:pPr>
        <w:ind w:right="240" w:firstLine="987"/>
        <w:spacing w:after="0" w:line="266" w:lineRule="auto"/>
        <w:tabs>
          <w:tab w:leader="none" w:pos="130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Committee but with one or more members abstaining or recusing himself or herself from acting on the matter, so long as two or more members remain to act on the matter. Such action, authorized by the Chairman, such a subcommittee or by the Committee (whether upon the abstention or recusal of such members or otherwise), shall be the action of the Committee for purposes of the Plan; or</w:t>
      </w:r>
    </w:p>
    <w:p>
      <w:pPr>
        <w:spacing w:after="0" w:line="67" w:lineRule="exact"/>
        <w:rPr>
          <w:rFonts w:ascii="Times New Roman" w:cs="Times New Roman" w:eastAsia="Times New Roman" w:hAnsi="Times New Roman"/>
          <w:sz w:val="18"/>
          <w:szCs w:val="18"/>
          <w:color w:val="auto"/>
        </w:rPr>
      </w:pPr>
    </w:p>
    <w:p>
      <w:pPr>
        <w:jc w:val="both"/>
        <w:ind w:right="280" w:firstLine="987"/>
        <w:spacing w:after="0" w:line="261" w:lineRule="auto"/>
        <w:tabs>
          <w:tab w:leader="none" w:pos="129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officers or managers of the Company or any Affiliate, or a committee of such officers or managers whose authority is subject to such terms and limitations set forth by the Committee, and only with respect to Salaried Employees who are not officers or directors of the Company for purposes of Section 16 of the Securities Exchange Act of 1934, as amended. This delegation shall include modifications necessary to accommodate changes in the laws or regulations of jurisdictions outside the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SHARES AVAILABLE FOR AWARDS</w:t>
      </w:r>
    </w:p>
    <w:p>
      <w:pPr>
        <w:spacing w:after="0" w:line="121" w:lineRule="exact"/>
        <w:rPr>
          <w:sz w:val="20"/>
          <w:szCs w:val="20"/>
          <w:color w:val="auto"/>
        </w:rPr>
      </w:pPr>
    </w:p>
    <w:p>
      <w:pPr>
        <w:ind w:left="680" w:hanging="244"/>
        <w:spacing w:after="0"/>
        <w:tabs>
          <w:tab w:leader="none" w:pos="6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AVAILABLE. Subject to adjustment as provided in Section 4(b):</w:t>
      </w:r>
    </w:p>
    <w:p>
      <w:pPr>
        <w:spacing w:after="0" w:line="117" w:lineRule="exact"/>
        <w:rPr>
          <w:rFonts w:ascii="Times New Roman" w:cs="Times New Roman" w:eastAsia="Times New Roman" w:hAnsi="Times New Roman"/>
          <w:sz w:val="18"/>
          <w:szCs w:val="18"/>
          <w:color w:val="auto"/>
        </w:rPr>
      </w:pPr>
    </w:p>
    <w:p>
      <w:pPr>
        <w:ind w:right="100" w:firstLine="987"/>
        <w:spacing w:after="0" w:line="254" w:lineRule="auto"/>
        <w:tabs>
          <w:tab w:leader="none" w:pos="120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reserved and available for delivery pursuant to Awards granted under the Plan shall be equal to the number of Shares necessary to satisfy all Spin-Off Awards upon exercise or settlement, as applicable (the “Share Reserve”); of which no more than the Share Reserve may be available for Awards granted in any form provided for under the Plan other than Options or Stock Appreciation Rights. If any Shares covered by an Award granted under the Plan, or to which such an Award or award relates, are forfeited, or if an Award or award otherwise terminates without the delivery of Shares or of other consideration, then the Shares covered by such Award or award, or to which such Award or award relates, or the number of Shares otherwise counted against the aggregate number of Shares available under the Plan with respect to such Award or award, to the extent of any such forfeiture or termination, shall be available for granting Awards under the GE HealthCare Technologies Inc. 2023 Long-Term Incentive Plan. Notwithstanding the foregoing, but subject to adjustment as provided in Section 4(b), no more than the Share Reserve shall be available for delivery pursuant to the exercise of Incentive Stock Options.</w:t>
      </w:r>
    </w:p>
    <w:p>
      <w:pPr>
        <w:spacing w:after="0" w:line="80"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AWARDS. For purposes of this Section 4,</w:t>
      </w:r>
    </w:p>
    <w:p>
      <w:pPr>
        <w:spacing w:after="0" w:line="130" w:lineRule="exact"/>
        <w:rPr>
          <w:rFonts w:ascii="Times New Roman" w:cs="Times New Roman" w:eastAsia="Times New Roman" w:hAnsi="Times New Roman"/>
          <w:sz w:val="18"/>
          <w:szCs w:val="18"/>
          <w:color w:val="auto"/>
        </w:rPr>
      </w:pPr>
    </w:p>
    <w:p>
      <w:pPr>
        <w:ind w:left="1960" w:hanging="533"/>
        <w:spacing w:after="0" w:line="266" w:lineRule="auto"/>
        <w:tabs>
          <w:tab w:leader="none" w:pos="1960"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(other than a Dividend Equivalent) is denominated in Shares, the number of Shares covered by such Award, or to which such Award relates, shall be counted on the date of grant of such Award against the aggregate number of Shares available for granting Awards under the Plan;</w:t>
      </w:r>
    </w:p>
    <w:p>
      <w:pPr>
        <w:spacing w:after="0" w:line="81" w:lineRule="exact"/>
        <w:rPr>
          <w:rFonts w:ascii="Times New Roman" w:cs="Times New Roman" w:eastAsia="Times New Roman" w:hAnsi="Times New Roman"/>
          <w:sz w:val="18"/>
          <w:szCs w:val="18"/>
          <w:color w:val="auto"/>
        </w:rPr>
      </w:pPr>
    </w:p>
    <w:p>
      <w:pPr>
        <w:ind w:left="1960" w:right="60" w:hanging="533"/>
        <w:spacing w:after="0" w:line="281" w:lineRule="auto"/>
        <w:tabs>
          <w:tab w:leader="none" w:pos="1960" w:val="left"/>
        </w:tabs>
        <w:numPr>
          <w:ilvl w:val="2"/>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Equivalents denominated in Shares and Awards not denominated, but potentially payable, in Shares shall be counted against the aggregate number of Shares available for granting Awards under the Plan in such amount and at such time as the Dividend Equivalents and such Awards are settled in Shares, PROVIDED, HOWEVER, that Awards that operate in tandem with (whether granted simultaneously with or at a different time from), or that are substituted for, other Awards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338" w:name="page339"/>
    <w:bookmarkEnd w:id="338"/>
    <w:p>
      <w:pPr>
        <w:ind w:left="194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only be counted once against the aggregate number of shares available, and the Committee shall adopt procedures, as it deems appropriate, in order to avoid double counting. Any Shares that are delivered by the Company, and any Awards that are granted by, or become obligations of, the Company through the assumption by the Company or an Affiliate of, or in substitution for, outstanding awards previously granted by an acquired company, shall not be counted against the Shares available for granting Awards under this Plan; and</w:t>
      </w:r>
    </w:p>
    <w:p>
      <w:pPr>
        <w:spacing w:after="0" w:line="89" w:lineRule="exact"/>
        <w:rPr>
          <w:sz w:val="20"/>
          <w:szCs w:val="20"/>
          <w:color w:val="auto"/>
        </w:rPr>
      </w:pPr>
    </w:p>
    <w:p>
      <w:pPr>
        <w:ind w:left="1940" w:hanging="533"/>
        <w:spacing w:after="0" w:line="254" w:lineRule="auto"/>
        <w:tabs>
          <w:tab w:leader="none" w:pos="194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any Shares related to Awards which terminate by expiration, forfeiture, cancellation, or otherwise without the issuance of such Shares, are settled in cash in lieu of Shares, or, subject to Section 6(g) (ix), are exchanged with the Committee’s permission, prior to the issuance of Shares, for Awards not involving Shares, shall be available again for grant under this Plan. Shares subject to an Award under the Plan may not again be made available for issuance under the Plan if such Shares are: (w) Shares delivered to or withheld by the Company to pay taxes on Awards other than Options or Stock Appreciation Rights, (x) Shares that were subject to an Option or a stock-settled Stock Appreciation Right and were not issued upon the net settlement or net exercise of such Option or Stock Appreciation Right, (y) Shares delivered to or withheld by the Company to pay the exercise price or the withholding taxes under Options or Stock Appreciation Rights, or (z) Shares repurchased on the open market with the proceeds of an Option exercise.</w:t>
      </w:r>
    </w:p>
    <w:p>
      <w:pPr>
        <w:spacing w:after="0" w:line="80"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8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SHARES DELIVERABLE UNDER AWARDS. Any Shares delivered pursuant to an Award may consist, in whole or in part, of authorized and unissued Shares or of treasury Shares.</w:t>
      </w:r>
    </w:p>
    <w:p>
      <w:pPr>
        <w:spacing w:after="0" w:line="5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w:t>
      </w:r>
    </w:p>
    <w:p>
      <w:pPr>
        <w:spacing w:after="0" w:line="117"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18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Committee shall determine that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constitutes an equity restructuring transaction, as that term is defined in Accounting Standards Codification Topic 718 (or any successor thereto) or otherwise affects the Shares, then the Committee shall adjust the following in a manner that is determined by the Committee to be appropriate in order to prevent dilution or enlargement of the benefits or potential benefits intended to be made available under the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0"/>
          </w:cols>
          <w:pgMar w:left="460" w:top="270" w:right="479" w:bottom="1440" w:gutter="0" w:footer="0" w:header="0"/>
        </w:sectPr>
      </w:pPr>
    </w:p>
    <w:bookmarkStart w:id="339" w:name="page340"/>
    <w:bookmarkEnd w:id="339"/>
    <w:p>
      <w:pPr>
        <w:jc w:val="both"/>
        <w:ind w:left="1960" w:right="220" w:hanging="533"/>
        <w:spacing w:after="0" w:line="266" w:lineRule="auto"/>
        <w:tabs>
          <w:tab w:leader="none" w:pos="1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and type of Shares or other securities which thereafter may be made the subject of Awards including the limit specified in Section 4(a)(i) regarding the number of shares that may be granted in the form of Restricted Stock, Restricted Stock Units, Performance Awards, or Other Stock-Based Awards;</w:t>
      </w:r>
    </w:p>
    <w:p>
      <w:pPr>
        <w:spacing w:after="0" w:line="81"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subject to outstanding Awards;</w:t>
      </w:r>
    </w:p>
    <w:p>
      <w:pPr>
        <w:spacing w:after="0" w:line="130" w:lineRule="exact"/>
        <w:rPr>
          <w:rFonts w:ascii="Times New Roman" w:cs="Times New Roman" w:eastAsia="Times New Roman" w:hAnsi="Times New Roman"/>
          <w:sz w:val="18"/>
          <w:szCs w:val="18"/>
          <w:color w:val="auto"/>
        </w:rPr>
      </w:pPr>
    </w:p>
    <w:p>
      <w:pPr>
        <w:ind w:left="1960" w:right="580" w:hanging="533"/>
        <w:spacing w:after="0" w:line="282" w:lineRule="auto"/>
        <w:tabs>
          <w:tab w:leader="none" w:pos="1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purchase, or exercise price with respect to any Award, or, if deemed appropriate, make provision for a cash payment to the holder of an outstanding Award; and</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value determinations applicable to outstanding awards.</w:t>
      </w:r>
    </w:p>
    <w:p>
      <w:pPr>
        <w:spacing w:after="0" w:line="117" w:lineRule="exact"/>
        <w:rPr>
          <w:sz w:val="20"/>
          <w:szCs w:val="20"/>
          <w:color w:val="auto"/>
        </w:rPr>
      </w:pPr>
    </w:p>
    <w:p>
      <w:pPr>
        <w:ind w:left="1420"/>
        <w:spacing w:after="0" w:line="261" w:lineRule="auto"/>
        <w:rPr>
          <w:sz w:val="20"/>
          <w:szCs w:val="20"/>
          <w:color w:val="auto"/>
        </w:rPr>
      </w:pPr>
      <w:r>
        <w:rPr>
          <w:rFonts w:ascii="Times New Roman" w:cs="Times New Roman" w:eastAsia="Times New Roman" w:hAnsi="Times New Roman"/>
          <w:sz w:val="18"/>
          <w:szCs w:val="18"/>
          <w:color w:val="auto"/>
        </w:rPr>
        <w:t>PROVIDED, HOWEVER, in each case, that with respect to Awards of Incentive Stock Options no such adjustment shall be authorized to the extent that such authority would cause the Plan to violate Section 422(b)(1) of the Code or any successor provision thereto; and PROVIDED FURTHER, HOWEVER, that the number of Shares subject to any Award denominated in Shares shall always be a whole number.</w:t>
      </w:r>
    </w:p>
    <w:p>
      <w:pPr>
        <w:spacing w:after="0" w:line="72" w:lineRule="exact"/>
        <w:rPr>
          <w:sz w:val="20"/>
          <w:szCs w:val="20"/>
          <w:color w:val="auto"/>
        </w:rPr>
      </w:pPr>
    </w:p>
    <w:p>
      <w:pPr>
        <w:ind w:right="40" w:firstLine="987"/>
        <w:spacing w:after="0" w:line="258" w:lineRule="auto"/>
        <w:tabs>
          <w:tab w:leader="none" w:pos="125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OF AWARDS UPON CERTAIN ACQUISITIONS. In the event the Company or any Affiliate shall assume outstanding employee awards or the right or obligation to make future such awards in connection with the acquisition of another business or another corporation or business entity, the Committee may make such adjustments, not inconsistent with the terms of the Plan, in the terms of Awards as it shall deem appropriate in order to achieve reasonable comparability or other equitable relationship between the assumed awards and the Awards granted under the Plan as so adjusted.</w:t>
      </w:r>
    </w:p>
    <w:p>
      <w:pPr>
        <w:spacing w:after="0" w:line="75" w:lineRule="exact"/>
        <w:rPr>
          <w:rFonts w:ascii="Times New Roman" w:cs="Times New Roman" w:eastAsia="Times New Roman" w:hAnsi="Times New Roman"/>
          <w:sz w:val="18"/>
          <w:szCs w:val="18"/>
          <w:color w:val="auto"/>
        </w:rPr>
      </w:pPr>
    </w:p>
    <w:p>
      <w:pPr>
        <w:ind w:right="60" w:firstLine="987"/>
        <w:spacing w:after="0" w:line="258" w:lineRule="auto"/>
        <w:tabs>
          <w:tab w:leader="none" w:pos="130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OF AWARDS UPON THE OCCURRENCE OF CERTAIN UNUSUAL OR NONRECURRING EVENTS. The Committee shall be authorized to make adjustments in the terms and conditions of, and the criteria included in, Awards in recognition of unusual or nonrecurring events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to be made available under the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ELIGIBILITY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Spin-Off Participant shall be eligible to be designated a Participant.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AWARDS</w:t>
      </w:r>
    </w:p>
    <w:p>
      <w:pPr>
        <w:spacing w:after="0" w:line="121" w:lineRule="exact"/>
        <w:rPr>
          <w:sz w:val="20"/>
          <w:szCs w:val="20"/>
          <w:color w:val="auto"/>
        </w:rPr>
      </w:pPr>
    </w:p>
    <w:p>
      <w:pPr>
        <w:ind w:right="540" w:firstLine="436"/>
        <w:spacing w:after="0" w:line="282"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0"/>
          </w:cols>
          <w:pgMar w:left="440" w:top="270" w:right="499" w:bottom="1440" w:gutter="0" w:footer="0" w:header="0"/>
        </w:sectPr>
      </w:pPr>
    </w:p>
    <w:bookmarkStart w:id="340" w:name="page341"/>
    <w:bookmarkEnd w:id="340"/>
    <w:p>
      <w:pPr>
        <w:ind w:left="-20" w:right="60" w:firstLine="987"/>
        <w:spacing w:after="0" w:line="266" w:lineRule="auto"/>
        <w:tabs>
          <w:tab w:leader="none" w:pos="118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PRICE. The purchase price per Share purchasable under an Option shall be determined by the Committee; provided, however, and except as provided in Section 4(b), that such purchase price shall not be less than 100% of the Fair Market Value of a Share on the date of grant of such Option unless such Option is assumed in connection with the Spin-Off.</w:t>
      </w:r>
    </w:p>
    <w:p>
      <w:pPr>
        <w:spacing w:after="0" w:line="67"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TERM. The term of each Option shall not exceed ten (10) years from the date of grant.</w:t>
      </w:r>
    </w:p>
    <w:p>
      <w:pPr>
        <w:spacing w:after="0" w:line="117" w:lineRule="exact"/>
        <w:rPr>
          <w:rFonts w:ascii="Times New Roman" w:cs="Times New Roman" w:eastAsia="Times New Roman" w:hAnsi="Times New Roman"/>
          <w:sz w:val="18"/>
          <w:szCs w:val="18"/>
          <w:color w:val="auto"/>
        </w:rPr>
      </w:pPr>
    </w:p>
    <w:p>
      <w:pPr>
        <w:jc w:val="both"/>
        <w:ind w:left="-20" w:firstLine="987"/>
        <w:spacing w:after="0" w:line="261" w:lineRule="auto"/>
        <w:tabs>
          <w:tab w:leader="none" w:pos="128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METHOD OF EXERCISE. The Committee shall establish in the applicable Award Agreement the time or times at which an Option may be exercised in whole or in part, and the method or methods by which, and the form or forms, including, without limitation, cash, Shares, or other Awards, or any combination thereof, having a Fair Market Value on the exercise date equal to the relevant exercise price, in which, payment of the exercise price with respect thereto may be made or deemed to have been made.</w:t>
      </w:r>
    </w:p>
    <w:p>
      <w:pPr>
        <w:spacing w:after="0" w:line="71"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7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The terms of any Incentive Stock Option granted under the Plan shall be designed to comply in all respects with the provisions of Section 422 of the Code, or any successor provision thereto, and any regulations promulgated thereunder. For the avoidance of doubt, Incentive Stock Options shall not be granted to Directors. Notwithstanding anything in this Section 6(a) to the contrary, Options designated as Incentive Stock Options shall not be eligible for treatment under the Code as Incentive Stock Options (and will be deemed to be Non-Qualified Stock Options) to the extent that either (1) 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(2) such Options otherwise remain exercisable but are not exercised within three (3) months of termination of employment (or such other period of time provided in Section 422 of the Code).</w:t>
      </w:r>
    </w:p>
    <w:p>
      <w:pPr>
        <w:spacing w:after="0" w:line="83" w:lineRule="exact"/>
        <w:rPr>
          <w:rFonts w:ascii="Times New Roman" w:cs="Times New Roman" w:eastAsia="Times New Roman" w:hAnsi="Times New Roman"/>
          <w:sz w:val="18"/>
          <w:szCs w:val="18"/>
          <w:color w:val="auto"/>
        </w:rPr>
      </w:pPr>
    </w:p>
    <w:p>
      <w:pPr>
        <w:ind w:left="-20" w:right="140" w:firstLine="436"/>
        <w:spacing w:after="0" w:line="261" w:lineRule="auto"/>
        <w:tabs>
          <w:tab w:leader="none" w:pos="67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The Committee is hereby authorized to grant Stock Appreciation Rights to Participants. Subject to the terms of the Plan and any applicable Award Agreement, a Stock Appreciation Right granted under the Plan shall confer on the holder thereof a right to receive, upon exercise thereof, the excess of (1) the Fair Market Value of one Share on the date of exercise over (2) the grant price of the right as specified by the Committee.</w:t>
      </w:r>
    </w:p>
    <w:p>
      <w:pPr>
        <w:spacing w:after="0" w:line="71" w:lineRule="exact"/>
        <w:rPr>
          <w:rFonts w:ascii="Times New Roman" w:cs="Times New Roman" w:eastAsia="Times New Roman" w:hAnsi="Times New Roman"/>
          <w:sz w:val="18"/>
          <w:szCs w:val="18"/>
          <w:color w:val="auto"/>
        </w:rPr>
      </w:pPr>
    </w:p>
    <w:p>
      <w:pPr>
        <w:ind w:left="-20" w:firstLine="987"/>
        <w:spacing w:after="0" w:line="261" w:lineRule="auto"/>
        <w:tabs>
          <w:tab w:leader="none" w:pos="118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PRICE. The grant price per share of each Stock Appreciation Right shall be determined by the Committee, provided, however, and except as provided in Section 4(b), that such price shall not be less than 100% of the Fair Market Value of one Share on the date of grant of the Stock Appreciation Right, except that if a Stock Appreciation Right is at any time granted in tandem to an Option, the grant price of the Stock Appreciation Right shall not be less than the exercise price of such Option.</w:t>
      </w:r>
    </w:p>
    <w:p>
      <w:pPr>
        <w:spacing w:after="0" w:line="71"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The term of each Stock Appreciation Right shall not exceed ten (10) years from the date of grant.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60"/>
          </w:cols>
          <w:pgMar w:left="460" w:top="270" w:right="479" w:bottom="1440" w:gutter="0" w:footer="0" w:header="0"/>
        </w:sectPr>
      </w:pPr>
    </w:p>
    <w:bookmarkStart w:id="341" w:name="page342"/>
    <w:bookmarkEnd w:id="341"/>
    <w:p>
      <w:pPr>
        <w:ind w:left="-20" w:right="20" w:firstLine="987"/>
        <w:spacing w:after="0" w:line="282" w:lineRule="auto"/>
        <w:tabs>
          <w:tab w:leader="none" w:pos="1286"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AND METHOD OF EXERCISE. The Committee shall establish in the applicable Award Agreement the time or times at which a Stock Appreciation Right may be exercised in whole or in part.</w:t>
      </w:r>
    </w:p>
    <w:p>
      <w:pPr>
        <w:spacing w:after="0" w:line="53"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AND RESTRICTED STOCK UNITS.</w:t>
      </w:r>
    </w:p>
    <w:p>
      <w:pPr>
        <w:spacing w:after="0" w:line="117"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The Committee is hereby authorized to grant Awards of Restricted Stock and Restricted Stock Units to Participants.</w:t>
      </w:r>
    </w:p>
    <w:p>
      <w:pPr>
        <w:spacing w:after="0" w:line="117" w:lineRule="exact"/>
        <w:rPr>
          <w:sz w:val="20"/>
          <w:szCs w:val="20"/>
          <w:color w:val="auto"/>
        </w:rPr>
      </w:pPr>
    </w:p>
    <w:p>
      <w:pPr>
        <w:ind w:left="-20" w:right="40" w:firstLine="987"/>
        <w:spacing w:after="0" w:line="258" w:lineRule="auto"/>
        <w:tabs>
          <w:tab w:leader="none" w:pos="12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Awards of Restricted Stock and Restricted Stock Units shall be subject to such restrictions as the Committee may establish in the applicable Award Agreement (including, without limitation, any limitation on the right to vote a Share of Restricted Stock or the right to receive any dividend or other right), which restrictions may lapse separately or in combination at such time or times, in such installments or otherwise, as the Committee may deem appropriate. Unrestricted Shares, evidenced in such manner as the Committee shall deem appropriate, shall be delivered to the holder of Restricted Stock promptly after such restrictions have lapsed.</w:t>
      </w:r>
    </w:p>
    <w:p>
      <w:pPr>
        <w:spacing w:after="0" w:line="75" w:lineRule="exact"/>
        <w:rPr>
          <w:rFonts w:ascii="Times New Roman" w:cs="Times New Roman" w:eastAsia="Times New Roman" w:hAnsi="Times New Roman"/>
          <w:sz w:val="18"/>
          <w:szCs w:val="18"/>
          <w:color w:val="auto"/>
        </w:rPr>
      </w:pPr>
    </w:p>
    <w:p>
      <w:pPr>
        <w:ind w:left="-20" w:firstLine="987"/>
        <w:spacing w:after="0" w:line="261" w:lineRule="auto"/>
        <w:tabs>
          <w:tab w:leader="none" w:pos="128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Any Restricted Stock or Restricted Stock Units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71" w:lineRule="exact"/>
        <w:rPr>
          <w:rFonts w:ascii="Times New Roman" w:cs="Times New Roman" w:eastAsia="Times New Roman" w:hAnsi="Times New Roman"/>
          <w:sz w:val="18"/>
          <w:szCs w:val="18"/>
          <w:color w:val="auto"/>
        </w:rPr>
      </w:pPr>
    </w:p>
    <w:p>
      <w:pPr>
        <w:ind w:left="-20" w:firstLine="987"/>
        <w:spacing w:after="0" w:line="266" w:lineRule="auto"/>
        <w:tabs>
          <w:tab w:leader="none" w:pos="127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Upon termination of employment during the applicable restriction period, except as determined otherwise by the Committee, all Shares of Restricted Stock and all Restricted Stock Units still, in either case, subject to restriction shall be forfeited and reacquired by the Company.</w:t>
      </w:r>
    </w:p>
    <w:p>
      <w:pPr>
        <w:spacing w:after="0" w:line="67"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7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The Committee is hereby authorized to grant Performance Awards to Participants. Performance Awards include arrangements under which the grant, issuance, retention, exercisability, vesting and/or transferability of any Award is subject to such Performance Criteria and such additional conditions or terms as the Committee may designate. Subject to the terms of the Plan and any applicable Award Agreement, a Performance Award granted under the Plan:</w:t>
      </w:r>
    </w:p>
    <w:p>
      <w:pPr>
        <w:spacing w:after="0" w:line="71"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denominated or payable in cash, Shares (including, without limitation, Restricted Stock), other securities, or other Awards; and</w:t>
      </w:r>
    </w:p>
    <w:p>
      <w:pPr>
        <w:spacing w:after="0" w:line="117" w:lineRule="exact"/>
        <w:rPr>
          <w:rFonts w:ascii="Times New Roman" w:cs="Times New Roman" w:eastAsia="Times New Roman" w:hAnsi="Times New Roman"/>
          <w:sz w:val="18"/>
          <w:szCs w:val="18"/>
          <w:color w:val="auto"/>
        </w:rPr>
      </w:pPr>
    </w:p>
    <w:p>
      <w:pPr>
        <w:ind w:left="-20" w:right="300" w:firstLine="987"/>
        <w:spacing w:after="0" w:line="266" w:lineRule="auto"/>
        <w:tabs>
          <w:tab w:leader="none" w:pos="123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confer on the holder thereof rights valued as determined by the Committee and payable to, or exercisable by, the holder of the Performance Award, in whole or in part, upon the achievement of such performance goals during such Performance Periods as the Committee shall establish.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60"/>
          </w:cols>
          <w:pgMar w:left="460" w:top="270" w:right="479" w:bottom="1440" w:gutter="0" w:footer="0" w:header="0"/>
        </w:sectPr>
      </w:pPr>
    </w:p>
    <w:bookmarkStart w:id="342" w:name="page343"/>
    <w:bookmarkEnd w:id="342"/>
    <w:p>
      <w:pPr>
        <w:ind w:firstLine="436"/>
        <w:spacing w:after="0" w:line="258" w:lineRule="auto"/>
        <w:tabs>
          <w:tab w:leader="none" w:pos="6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EQUIVALENTS. The Committee is hereby authorized to grant to Participants Awards (other than Options and Stock Appreciation Rights) under which the holders thereof shall be entitled to receive payments equivalent to dividends or interest with respect to a number of Shares determined by the Committee, and the Committee may provide that such amounts (if any) shall be deemed to have been reinvested in additional Shares and paid out only on and when Shares actually vest, are earned or are received under such Awards. Subject to the terms of the Plan and any applicable Award Agreement, such Awards may have such terms and conditions as the Committee shall determine.</w:t>
      </w:r>
    </w:p>
    <w:p>
      <w:pPr>
        <w:spacing w:after="0" w:line="75" w:lineRule="exact"/>
        <w:rPr>
          <w:rFonts w:ascii="Times New Roman" w:cs="Times New Roman" w:eastAsia="Times New Roman" w:hAnsi="Times New Roman"/>
          <w:sz w:val="18"/>
          <w:szCs w:val="18"/>
          <w:color w:val="auto"/>
        </w:rPr>
      </w:pPr>
    </w:p>
    <w:p>
      <w:pPr>
        <w:ind w:right="40" w:firstLine="436"/>
        <w:spacing w:after="0" w:line="254" w:lineRule="auto"/>
        <w:tabs>
          <w:tab w:leader="none" w:pos="66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The Committee is hereby authorized to grant to Participants such other Awards, including, but not limited to, Deferred Stock Units, that are denominated or payable in, valued in whole or in part by reference to, or otherwise based on or related to, Shares (including, without limitation, securities convertible into Shares), as are deemed by the Committee to be consistent with the purposes of the Plan, provided, however, that such grants must comply with applicable law. Subject to the terms of the Plan and any applicable Award Agreement, the Committee shall determine the terms and conditions of such Awards. Shares or other securities delivered pursuant to a purchase right granted under this Section 6(f) shall be purchased for such consideration, which may be paid by such method or methods and in such form or forms, including, without limitation, cash, Shares, other securities, or other Awards, or any combination thereof, as the Committee shall determine, the value of which consideration, as established by the Committee, and except as provided in Section 4(b), shall not be less than the Fair Market Value of such Shares or other securities as of the date such purchase right is granted.</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117" w:lineRule="exact"/>
        <w:rPr>
          <w:rFonts w:ascii="Times New Roman" w:cs="Times New Roman" w:eastAsia="Times New Roman" w:hAnsi="Times New Roman"/>
          <w:sz w:val="18"/>
          <w:szCs w:val="18"/>
          <w:color w:val="auto"/>
        </w:rPr>
      </w:pPr>
    </w:p>
    <w:p>
      <w:pPr>
        <w:ind w:right="840" w:firstLine="987"/>
        <w:spacing w:after="0" w:line="282" w:lineRule="auto"/>
        <w:tabs>
          <w:tab w:leader="none" w:pos="120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CONSIDERATION FOR AWARDS. Awards shall be granted for no cash consideration or for such minimal cash consideration as may be required by applicable law.</w:t>
      </w:r>
    </w:p>
    <w:p>
      <w:pPr>
        <w:spacing w:after="0" w:line="53" w:lineRule="exact"/>
        <w:rPr>
          <w:rFonts w:ascii="Times New Roman" w:cs="Times New Roman" w:eastAsia="Times New Roman" w:hAnsi="Times New Roman"/>
          <w:sz w:val="18"/>
          <w:szCs w:val="18"/>
          <w:color w:val="auto"/>
        </w:rPr>
      </w:pPr>
    </w:p>
    <w:p>
      <w:pPr>
        <w:ind w:right="120" w:firstLine="987"/>
        <w:spacing w:after="0" w:line="261" w:lineRule="auto"/>
        <w:tabs>
          <w:tab w:leader="none" w:pos="125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SEPARATELY OR TOGETHER. Awards may, in the discretion of the Committee, be granted either alone or in addition to, in tandem with, or in substitution for any other Award or any award granted under any other plan of the Company or any Affiliate. Awards granted in addition to or in tandem with other Awards, or in addition to or in tandem with awards granted under any other plan of the Company or any Affiliate, may be granted either at the same time as or at a different time from the grant of such other Awards or awards.</w:t>
      </w:r>
    </w:p>
    <w:p>
      <w:pPr>
        <w:spacing w:after="0" w:line="71" w:lineRule="exact"/>
        <w:rPr>
          <w:rFonts w:ascii="Times New Roman" w:cs="Times New Roman" w:eastAsia="Times New Roman" w:hAnsi="Times New Roman"/>
          <w:sz w:val="18"/>
          <w:szCs w:val="18"/>
          <w:color w:val="auto"/>
        </w:rPr>
      </w:pPr>
    </w:p>
    <w:p>
      <w:pPr>
        <w:ind w:right="60" w:firstLine="987"/>
        <w:spacing w:after="0" w:line="255" w:lineRule="auto"/>
        <w:tabs>
          <w:tab w:leader="none" w:pos="130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PAYMENT UNDER AWARDS. Subject to the terms of the Plan and of any applicable Award Agreement, payments or transfers to be made by the Company or an Affiliate upon the grant, exercise, or payment of an Award may be made in such form or forms as the Committee shall determine, including, without limitation, cash, Shares, rights in or to Shares issuable under the Award or other Awards, other securities, or other Awards,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00"/>
          </w:cols>
          <w:pgMar w:left="440" w:top="270" w:right="459" w:bottom="1440" w:gutter="0" w:footer="0" w:header="0"/>
        </w:sectPr>
      </w:pPr>
    </w:p>
    <w:bookmarkStart w:id="343" w:name="page344"/>
    <w:bookmarkEnd w:id="343"/>
    <w:p>
      <w:pPr>
        <w:ind w:left="-60" w:right="20" w:firstLine="987"/>
        <w:spacing w:after="0" w:line="255"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LIMITS ON TRANSFER OF AWARDS. Except as provided by the Committee, no Award and no right under any such Award, shall be assignable, alienable, saleable, or transferable by a Participant otherwise than by will or by the laws of descent and distribution provided, however, that, if so determined by the Committee, a Participant may, in the manner established by the Committee, designate a beneficiary or beneficiaries to exercise the rights of the Participant with respect to any Award upon the death of the Participant. Each Award, and each right under any Award, shall be exercisable, during the Participant’s lifetime, only by the Participant or, if permissible under applicable law, by the Participant’s guardian or legal representative. No Award and no right under any such Award, may be pledged, alienated, attached, or otherwise encumbered, and any purported pledge, alienation, attachment, or encumbrance thereof shall be void and unenforceable against the Company or any Affiliate.</w:t>
      </w:r>
    </w:p>
    <w:p>
      <w:pPr>
        <w:spacing w:after="0" w:line="80" w:lineRule="exact"/>
        <w:rPr>
          <w:rFonts w:ascii="Times New Roman" w:cs="Times New Roman" w:eastAsia="Times New Roman" w:hAnsi="Times New Roman"/>
          <w:sz w:val="18"/>
          <w:szCs w:val="18"/>
          <w:color w:val="auto"/>
        </w:rPr>
      </w:pPr>
    </w:p>
    <w:p>
      <w:pPr>
        <w:ind w:left="-60" w:right="140" w:firstLine="987"/>
        <w:spacing w:after="0" w:line="266" w:lineRule="auto"/>
        <w:tabs>
          <w:tab w:leader="none" w:pos="118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PER-PERSON LIMITATION FOR SALARIED EMPLOYEES. The aggregate dollar value of any Awards granted to a Salaried Employee under the Plan (based on the grant date fair value of Awards as determined for financial reporting purposes, which shall be calculated based on the target value for any performance based award) in any fiscal year may not exceed $20,000,000.</w:t>
      </w:r>
    </w:p>
    <w:p>
      <w:pPr>
        <w:spacing w:after="0" w:line="67" w:lineRule="exact"/>
        <w:rPr>
          <w:rFonts w:ascii="Times New Roman" w:cs="Times New Roman" w:eastAsia="Times New Roman" w:hAnsi="Times New Roman"/>
          <w:sz w:val="18"/>
          <w:szCs w:val="18"/>
          <w:color w:val="auto"/>
        </w:rPr>
      </w:pPr>
    </w:p>
    <w:p>
      <w:pPr>
        <w:ind w:left="-60" w:right="120" w:firstLine="987"/>
        <w:spacing w:after="0" w:line="256"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PER-PERSON LIMITATION FOR DIRECTORS. The aggregate dollar value of (A) any Awards (excluding the Spin-Off Awards) granted to a Director under the Plan (based on the grant date fair value of Awards as determined for financial reporting purposes) and (B) any cash or other compensation that is not equity-based and that is paid by the Company under the Plan with respect to the Director’s service as a Director for any fiscal year may not exceed $1,500,000. The Committee may make exceptions to the foregoing limit for a Director or committee of Directors, as it may determine in its discretion, provided that (C) the aggregate dollar value of any such additional compensation may not exceed $1,000,000 for the fiscal year and (D) the Director receiving such additional compensation does not participate in the decision to award such compensation.</w:t>
      </w:r>
    </w:p>
    <w:p>
      <w:pPr>
        <w:spacing w:after="0" w:line="79" w:lineRule="exact"/>
        <w:rPr>
          <w:rFonts w:ascii="Times New Roman" w:cs="Times New Roman" w:eastAsia="Times New Roman" w:hAnsi="Times New Roman"/>
          <w:sz w:val="18"/>
          <w:szCs w:val="18"/>
          <w:color w:val="auto"/>
        </w:rPr>
      </w:pPr>
    </w:p>
    <w:p>
      <w:pPr>
        <w:ind w:left="-60" w:firstLine="987"/>
        <w:spacing w:after="0" w:line="253" w:lineRule="auto"/>
        <w:tabs>
          <w:tab w:leader="none" w:pos="128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RESTRICTIONS UPON SECURITIES SUBJECT TO AWARDS. The Committee may provide that the Shares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(A) restrictions under an insider trading policy or pursuant to applicable law, (B) restrictions designed to delay and/or coordinate the timing and manner of sales by Participant and holders of other Company equity compensation arrangements, (C) restrictions as to the use of a specified brokerage firm for such resales or other transfers and (D) provisions requiring Shares to be sold on the open market or to the Company in order to satisfy tax withholding or other obligations.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00"/>
          </w:cols>
          <w:pgMar w:left="500" w:top="270" w:right="499" w:bottom="1440" w:gutter="0" w:footer="0" w:header="0"/>
        </w:sectPr>
      </w:pPr>
    </w:p>
    <w:bookmarkStart w:id="344" w:name="page345"/>
    <w:bookmarkEnd w:id="344"/>
    <w:p>
      <w:pPr>
        <w:ind w:right="60" w:firstLine="987"/>
        <w:spacing w:after="0" w:line="258" w:lineRule="auto"/>
        <w:tabs>
          <w:tab w:leader="none" w:pos="139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CERTIFICATES. All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local securities laws, and the Committee may cause a legend or legends to be put on any such certificates to make appropriate reference to such restrictions.</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9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REPRICING. Except in connection with a corporate transaction or adjustment described in Section 4(b) of the Plan, the terms of outstanding Options, Stock Appreciation Rights or other Stock-Based Awards encompassing rights to purchase Shares that have an exercise or purchase price in excess of the Fair Market Value of a Share may not be amended to reduce the exercise or purchase price of such Awards, and any such outstanding Options, Stock Appreciation Rights or other Stock-Based Awards encompassing rights to purchase Shares may not be exchanged for cash or property, other Awards, or Options, Stock Appreciation Rights or other Stock-Based Awards encompassing rights to purchase Shares with an exercise or purchase price that is less than the exercise or purchase price of the original Awards, in each case unless approved by shareowners.</w:t>
      </w:r>
    </w:p>
    <w:p>
      <w:pPr>
        <w:spacing w:after="0" w:line="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The Plan will be administered in compliance with Section 10D of the Securities Exchange Act of 1934, as amended, any applicable rules or regulations promulgated by the Securities and Exchange Commission or any national securities exchange or national securities association on which the Shares may be traded, and any Company policy adopted with respect to compensation recoupment. This Section 6(g)(x) will not be the Company’s exclusive remedy with respect to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AMENDMENT AND TERMINATION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to the extent prohibited by applicable law and unless otherwise expressly provided in an Award Agreement or in the Plan:</w:t>
      </w:r>
    </w:p>
    <w:p>
      <w:pPr>
        <w:spacing w:after="0" w:line="117" w:lineRule="exact"/>
        <w:rPr>
          <w:sz w:val="20"/>
          <w:szCs w:val="20"/>
          <w:color w:val="auto"/>
        </w:rPr>
      </w:pPr>
    </w:p>
    <w:p>
      <w:pPr>
        <w:ind w:right="260" w:firstLine="436"/>
        <w:spacing w:after="0" w:line="258" w:lineRule="auto"/>
        <w:tabs>
          <w:tab w:leader="none" w:pos="68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PLAN. The Board may amend, alter, suspend, discontinue, or terminate the Plan, in whole or in part; provided, however, that without the prior approval of the Company’s shareowners, no material amendment shall be made if shareowner approval is required by law, regulation, or stock exchange, and; PROVIDED, FURTHER, that, notwithstanding any other provision of the Plan or any Award Agreement, no such amendment, alteration, suspension, discontinuation, or termination shall be made without the approval of the shareowners of the Company that would:</w:t>
      </w:r>
    </w:p>
    <w:p>
      <w:pPr>
        <w:spacing w:after="0" w:line="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total number of Shares available for Awards under the Plan, except as provided in Section 4 hereof; or</w:t>
      </w:r>
    </w:p>
    <w:p>
      <w:pPr>
        <w:spacing w:after="0" w:line="117" w:lineRule="exact"/>
        <w:rPr>
          <w:rFonts w:ascii="Times New Roman" w:cs="Times New Roman" w:eastAsia="Times New Roman" w:hAnsi="Times New Roman"/>
          <w:sz w:val="18"/>
          <w:szCs w:val="18"/>
          <w:color w:val="auto"/>
        </w:rPr>
      </w:pPr>
    </w:p>
    <w:p>
      <w:pPr>
        <w:ind w:right="540" w:firstLine="987"/>
        <w:spacing w:after="0" w:line="282" w:lineRule="auto"/>
        <w:tabs>
          <w:tab w:leader="none" w:pos="125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Section 6(g)(ix) or, except as provided in Section 4(b), permit Options, Stock Appreciation Rights, or other Stock-Based Awards encompassing rights to purchase Shares to be repriced, replaced, or exchanged as described in Section 6(g)(ix).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80"/>
          </w:cols>
          <w:pgMar w:left="440" w:top="270" w:right="479" w:bottom="1440" w:gutter="0" w:footer="0" w:header="0"/>
        </w:sectPr>
      </w:pPr>
    </w:p>
    <w:bookmarkStart w:id="345" w:name="page346"/>
    <w:bookmarkEnd w:id="345"/>
    <w:p>
      <w:pPr>
        <w:ind w:right="20" w:firstLine="436"/>
        <w:spacing w:after="0" w:line="256" w:lineRule="auto"/>
        <w:tabs>
          <w:tab w:leader="none" w:pos="6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TO AWARDS. Subject to Section 6(g)(ix), the Committee may waive any conditions or rights under, amend any terms of, or amend, alter, suspend, discontinue, or terminate, any Awards theretofore granted, prospectively or retroactively. No such amendment or alteration shall be made which would impair the rights of any Participant, without such Participant’s consent, under any Award theretofore granted, provided that no such consent shall be required with respect to any amendment or alteration if the Committee determines in its sole discretion that such amendment or alteration either (i) is required or advisable in order for the Company, the Plan or the Award to satisfy or conform to any law or regulation or to meet the requirements of any accounting standard, or (ii) is not reasonably likely to significantly diminish the benefits provided under such Award.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GENERAL PROVISIONS</w:t>
      </w:r>
    </w:p>
    <w:p>
      <w:pPr>
        <w:spacing w:after="0" w:line="121" w:lineRule="exact"/>
        <w:rPr>
          <w:sz w:val="20"/>
          <w:szCs w:val="20"/>
          <w:color w:val="auto"/>
        </w:rPr>
      </w:pPr>
    </w:p>
    <w:p>
      <w:pPr>
        <w:ind w:right="20" w:firstLine="436"/>
        <w:spacing w:after="0" w:line="261" w:lineRule="auto"/>
        <w:tabs>
          <w:tab w:leader="none" w:pos="68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TO AWARDS. No Salaried Employee, Participant or other Person shall have any claim to be granted any Award under the Plan, or, having been selected to receive an Award under this Plan, to be selected to receive a future Award, and further there is no obligation for uniformity of treatment of Salaried Employees, Participants, or holders or beneficiaries of Awards under the Plan. The terms and conditions of Awards need not be the same with respect to each recipient.</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The Company or any Affiliate shall be authorized to withhold from any Award granted or any payment due or transfer made under any Award or under the Plan the amount (in cash, Shares, other securities, or other Awards) of taxes required or permitted to be withheld (up to the maximum statutory tax rate in the relevant jurisdiction) in respect of an Award, its exercise, or any payment or transfer under such Award or under the Plan and to take such other action as may be necessary or appropriate in the opinion of the Company or Affiliate to satisfy withholding taxes.</w:t>
      </w:r>
    </w:p>
    <w:p>
      <w:pPr>
        <w:spacing w:after="0" w:line="71" w:lineRule="exact"/>
        <w:rPr>
          <w:rFonts w:ascii="Times New Roman" w:cs="Times New Roman" w:eastAsia="Times New Roman" w:hAnsi="Times New Roman"/>
          <w:sz w:val="18"/>
          <w:szCs w:val="18"/>
          <w:color w:val="auto"/>
        </w:rPr>
      </w:pPr>
    </w:p>
    <w:p>
      <w:pPr>
        <w:ind w:right="240" w:firstLine="436"/>
        <w:spacing w:after="0" w:line="266" w:lineRule="auto"/>
        <w:tabs>
          <w:tab w:leader="none" w:pos="68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 ON OTHER COMPENSATION ARRANGEMENTS. Nothing contained in the Plan shall prevent the Company or any Affiliate from adopting or continuing in effect other or additional compensation arrangements, and such arrangements may be either generally applicable or applicable only in specific cases.</w:t>
      </w:r>
    </w:p>
    <w:p>
      <w:pPr>
        <w:spacing w:after="0" w:line="67" w:lineRule="exact"/>
        <w:rPr>
          <w:rFonts w:ascii="Times New Roman" w:cs="Times New Roman" w:eastAsia="Times New Roman" w:hAnsi="Times New Roman"/>
          <w:sz w:val="18"/>
          <w:szCs w:val="18"/>
          <w:color w:val="auto"/>
        </w:rPr>
      </w:pPr>
    </w:p>
    <w:p>
      <w:pPr>
        <w:jc w:val="both"/>
        <w:ind w:right="100" w:firstLine="436"/>
        <w:spacing w:after="0" w:line="289" w:lineRule="auto"/>
        <w:tabs>
          <w:tab w:leader="none" w:pos="69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RIGHT TO EMPLOYMENT. The grant of an Award shall not constitute an employment contract nor be construed as giving a Participant the right to be retained in the employ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49" w:lineRule="exact"/>
        <w:rPr>
          <w:rFonts w:ascii="Times New Roman" w:cs="Times New Roman" w:eastAsia="Times New Roman" w:hAnsi="Times New Roman"/>
          <w:sz w:val="17"/>
          <w:szCs w:val="17"/>
          <w:color w:val="auto"/>
        </w:rPr>
      </w:pPr>
    </w:p>
    <w:p>
      <w:pPr>
        <w:ind w:right="60" w:firstLine="436"/>
        <w:spacing w:after="0" w:line="282" w:lineRule="auto"/>
        <w:tabs>
          <w:tab w:leader="none" w:pos="68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validity, construction, and effect of the Plan and any rules and regulations relating to the Plan shall be determined in accordance with the laws of the State of New York and applicable Federal law without regard to conflict of law.</w:t>
      </w:r>
    </w:p>
    <w:p>
      <w:pPr>
        <w:spacing w:after="0" w:line="53" w:lineRule="exact"/>
        <w:rPr>
          <w:rFonts w:ascii="Times New Roman" w:cs="Times New Roman" w:eastAsia="Times New Roman" w:hAnsi="Times New Roman"/>
          <w:sz w:val="18"/>
          <w:szCs w:val="18"/>
          <w:color w:val="auto"/>
        </w:rPr>
      </w:pPr>
    </w:p>
    <w:p>
      <w:pPr>
        <w:ind w:right="160" w:firstLine="436"/>
        <w:spacing w:after="0" w:line="258" w:lineRule="auto"/>
        <w:tabs>
          <w:tab w:leader="none" w:pos="66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70" w:right="459" w:bottom="1440" w:gutter="0" w:footer="0" w:header="0"/>
        </w:sectPr>
      </w:pPr>
    </w:p>
    <w:bookmarkStart w:id="346" w:name="page347"/>
    <w:bookmarkEnd w:id="346"/>
    <w:p>
      <w:pPr>
        <w:jc w:val="both"/>
        <w:ind w:left="-20" w:right="100" w:firstLine="436"/>
        <w:spacing w:after="0" w:line="261" w:lineRule="auto"/>
        <w:tabs>
          <w:tab w:leader="none" w:pos="67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71" w:lineRule="exact"/>
        <w:rPr>
          <w:rFonts w:ascii="Times New Roman" w:cs="Times New Roman" w:eastAsia="Times New Roman" w:hAnsi="Times New Roman"/>
          <w:sz w:val="18"/>
          <w:szCs w:val="18"/>
          <w:color w:val="auto"/>
        </w:rPr>
      </w:pPr>
    </w:p>
    <w:p>
      <w:pPr>
        <w:jc w:val="both"/>
        <w:ind w:left="-20" w:right="200" w:firstLine="436"/>
        <w:spacing w:after="0" w:line="266" w:lineRule="auto"/>
        <w:tabs>
          <w:tab w:leader="none" w:pos="67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67" w:lineRule="exact"/>
        <w:rPr>
          <w:rFonts w:ascii="Times New Roman" w:cs="Times New Roman" w:eastAsia="Times New Roman" w:hAnsi="Times New Roman"/>
          <w:sz w:val="18"/>
          <w:szCs w:val="18"/>
          <w:color w:val="auto"/>
        </w:rPr>
      </w:pPr>
    </w:p>
    <w:p>
      <w:pPr>
        <w:ind w:left="-20" w:firstLine="436"/>
        <w:spacing w:after="0" w:line="282" w:lineRule="auto"/>
        <w:tabs>
          <w:tab w:leader="none" w:pos="63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53"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3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Subject to requirements of New York State law, each individual who is or shall have been a member of the Board, or a Committee appointed by the Board, or an officer or manager of the Company to whom authority was delegated in accordance with Section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83" w:lineRule="exact"/>
        <w:rPr>
          <w:rFonts w:ascii="Times New Roman" w:cs="Times New Roman" w:eastAsia="Times New Roman" w:hAnsi="Times New Roman"/>
          <w:sz w:val="18"/>
          <w:szCs w:val="18"/>
          <w:color w:val="auto"/>
        </w:rPr>
      </w:pPr>
    </w:p>
    <w:p>
      <w:pPr>
        <w:ind w:left="-20" w:right="40" w:firstLine="436"/>
        <w:spacing w:after="0" w:line="273" w:lineRule="auto"/>
        <w:tabs>
          <w:tab w:leader="none" w:pos="675"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SECTION 409A OF THE CODE. Except to the extent specifically provided otherwise by the Committee, Awards under the Plan are intended to be exempt from or satisfy the requirements of Section 409A of the Code (and the Treasury Department guidance and regulations issued thereunder) so as to avoid the imposition of any additional taxes or penalties under Section 409A of the Code. If the Committee determines that an Award, Award Agreement, payment, distribution, deferral election, transaction or any other action or arrangement contemplated by the provisions of the Plan would, if undertaken, cause a Participant to become subject to any additional taxes or other penalties under Section 409A of the Code, then unless the Committee specifically provides otherwise, such Award, Award Agreement, payment, distribution, deferral election, transaction or other action or arrangement shall not be given effect to the extent it causes such result and the related provisions of the Plan and/or Award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960"/>
          </w:cols>
          <w:pgMar w:left="460" w:top="270" w:right="479" w:bottom="1440" w:gutter="0" w:footer="0" w:header="0"/>
        </w:sectPr>
      </w:pPr>
    </w:p>
    <w:bookmarkStart w:id="347" w:name="page348"/>
    <w:bookmarkEnd w:id="347"/>
    <w:p>
      <w:pPr>
        <w:ind w:left="4"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will be deemed modified, or, if necessary, suspended in order to comply with the requirements of Section 409A of the Code to the extent determined appropriate by the Committee, in each case without the consent of or notice to the Participant.</w:t>
      </w:r>
    </w:p>
    <w:p>
      <w:pPr>
        <w:spacing w:after="0" w:line="54" w:lineRule="exact"/>
        <w:rPr>
          <w:sz w:val="20"/>
          <w:szCs w:val="20"/>
          <w:color w:val="auto"/>
        </w:rPr>
      </w:pPr>
    </w:p>
    <w:p>
      <w:pPr>
        <w:ind w:left="664" w:hanging="224"/>
        <w:spacing w:after="0"/>
        <w:tabs>
          <w:tab w:leader="none" w:pos="66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REPRESENTATIONS OR COVENANTS WITH RESPECT TO TAX QUALIFICATION. Although the Company may endeavor to</w:t>
      </w:r>
    </w:p>
    <w:p>
      <w:pPr>
        <w:spacing w:after="0" w:line="27"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1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 Award for favorable U.S. or foreign tax treatment (e.g., incentive stock options under Section 422 of the Code or French qualified stock options) or (ii) avoid adverse tax treatment (e.g., under Section 409A of the Code),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80" w:lineRule="exact"/>
        <w:rPr>
          <w:rFonts w:ascii="Times New Roman" w:cs="Times New Roman" w:eastAsia="Times New Roman" w:hAnsi="Times New Roman"/>
          <w:sz w:val="18"/>
          <w:szCs w:val="18"/>
          <w:color w:val="auto"/>
        </w:rPr>
      </w:pPr>
    </w:p>
    <w:p>
      <w:pPr>
        <w:ind w:left="4" w:firstLine="436"/>
        <w:spacing w:after="0" w:line="254" w:lineRule="auto"/>
        <w:tabs>
          <w:tab w:leader="none" w:pos="749"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NON-U.S. EMPLOYEES. The Committee shall have the power and authority to determine which Affiliates shall be covered by this Plan and which employees outside the U.S. shall be eligible to participate in the Plan. The Committee may adopt, amend or rescind rules, procedures or sub-plans relating to the operation and administration of the Plan to accommodate the specific requirements of local laws, procedures, and practices. Without limiting the generality of the foregoing, the Committee is specifically authorized to adopt rules, procedures and sub-plans with provisions that limit or modify rights on death, disability or retirement or on termination of employment; available methods of exercise or settlement of an award; payment of income, social insurance contributions and payroll taxes; the withholding procedures and handling of any stock certificates or other indicia of ownership which vary with local requirements. The Committee may also adopt rules, procedures or sub-plans applicable to particular Affiliates or locations.</w:t>
      </w:r>
    </w:p>
    <w:p>
      <w:pPr>
        <w:spacing w:after="0" w:line="83"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The granting of Awards and the issuance of Shares under the Plan shall be subject to all applicable laws, rules, and regulations, and to such approvals by any governmental agencies or stock exchanges on which the Company’s securities are listed as may be required. The Company shall have no obligation to issue or deliver evidence of title for Shares issued under the Plan prior to:</w:t>
      </w:r>
    </w:p>
    <w:p>
      <w:pPr>
        <w:spacing w:after="0" w:line="6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approvals from governmental agencies that the Company determines are necessary or advisable; and</w:t>
      </w:r>
    </w:p>
    <w:p>
      <w:pPr>
        <w:spacing w:after="0" w:line="11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60"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registration or other qualification of the Shares under any applicable national or foreign law or ruling of any governmental body that the Company determines to be necessary or advisable or at a time when any such registration or qualification is not current, has been suspended or otherwise has ceased to be effective.</w:t>
      </w:r>
    </w:p>
    <w:p>
      <w:pPr>
        <w:spacing w:after="0" w:line="68" w:lineRule="exact"/>
        <w:rPr>
          <w:sz w:val="20"/>
          <w:szCs w:val="20"/>
          <w:color w:val="auto"/>
        </w:rPr>
      </w:pPr>
    </w:p>
    <w:p>
      <w:pPr>
        <w:ind w:left="444" w:right="120"/>
        <w:spacing w:after="0" w:line="266" w:lineRule="auto"/>
        <w:rPr>
          <w:sz w:val="20"/>
          <w:szCs w:val="20"/>
          <w:color w:val="auto"/>
        </w:rPr>
      </w:pPr>
      <w:r>
        <w:rPr>
          <w:rFonts w:ascii="Times New Roman" w:cs="Times New Roman" w:eastAsia="Times New Roman" w:hAnsi="Times New Roman"/>
          <w:sz w:val="18"/>
          <w:szCs w:val="18"/>
          <w:color w:val="auto"/>
        </w:rPr>
        <w:t>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984"/>
          </w:cols>
          <w:pgMar w:left="436" w:top="270" w:right="47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 EFFECTIVE DATE OF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become effective as of the date of the consummation of the Spin-Off (the “Effective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TERM OF THE PLAN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 Award shall be granted under the Plan other than the Spin-Off Awards.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0920"/>
          </w:cols>
          <w:pgMar w:left="440" w:top="266" w:right="5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GE HEALTHCARE TECHNOLOGIES INC. MIRROR 1990 LONG-TERM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121"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The purpose of this GE HealthCare Technologies Inc. Mirror 1990 Long-Term Incentive Plan (the “Plan”) is to assume on the Effective Date (as defined below), as a result of the spin-off of GE’s healthcare business (the “Spin-Off”), awards in GE HealthCare Technologies Inc. (the “Company”) as a result of the conversion of awards originally issued by General Electric Company (including any of its subsidiaries or affiliates, “GE”) under the GE 1990 Long-Term Incentive Plan, as amended from time to time (the “GE 1990 LTIP”) (such awards assuming the maximum achievement of performance metrics with respect to any GE performance-based awards, the “Spin-Off Awards”), to (i) certain current and former employees of GE and its affiliates as of the Spin-Off (“GE Participants”) and (ii) certain employees of the Company and its Affiliates as of the Spin-Off (“GE HealthCare Participants”, and together with GE Participants, “Spin-Off Participants”). Notwithstanding anything herein to the contrary, other than the Spin-Off Awards, no Awards (as defined below) shall be granted under this Plan following the Effective Date.</w:t>
      </w:r>
    </w:p>
    <w:p>
      <w:pPr>
        <w:spacing w:after="0" w:line="192" w:lineRule="exact"/>
        <w:rPr>
          <w:sz w:val="20"/>
          <w:szCs w:val="20"/>
          <w:color w:val="auto"/>
        </w:rPr>
      </w:pPr>
    </w:p>
    <w:p>
      <w:pPr>
        <w:ind w:right="360" w:firstLine="991"/>
        <w:spacing w:after="0" w:line="255" w:lineRule="auto"/>
        <w:rPr>
          <w:sz w:val="20"/>
          <w:szCs w:val="20"/>
          <w:color w:val="auto"/>
        </w:rPr>
      </w:pPr>
      <w:r>
        <w:rPr>
          <w:rFonts w:ascii="Times New Roman" w:cs="Times New Roman" w:eastAsia="Times New Roman" w:hAnsi="Times New Roman"/>
          <w:sz w:val="18"/>
          <w:szCs w:val="18"/>
          <w:color w:val="auto"/>
        </w:rPr>
        <w:t>Each Spin-Off Participant’s rights under this Plan are intended to be the same as such Spin-Off Participant’s rights under the GE 1990 LTIP immediately prior to the Effective Date. For the avoidance of doubt, (i) each Spin-Off Participant’s service with GE prior to the Effective Date shall be credited for purposes of such Spin-Off Participant’s respective Spin-Off Awards, (ii) no Spin-Off Participant shall be treated as incurring a termination of employment, separation from service, retirement or similar event for purposes of vesting, settlement, forfeiture or any other purpose under this Plan solely as a result of the Spin-Off and (iii) any Spin-Off Participant whose employment is terminated from GE or the Company or its Affiliates, as applicable, shall be deemed to have a termination of employment and separation from service under this Plan, even if such Spin-Off Participant is subsequently hired by the Company or its Affiliates or GE, as applicable.</w:t>
      </w:r>
    </w:p>
    <w:p>
      <w:pPr>
        <w:spacing w:after="0" w:line="18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with respect to any GE Participant, all determinations with respect to the employment, status of employment or characterization of termination of employment (including any amendment or acceleration of vesting, exercise or settlement of the GE Participant’s respective Spin-Off Awards in connection with any termination of employment) shall be made by GE.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117" w:lineRule="exact"/>
        <w:rPr>
          <w:sz w:val="20"/>
          <w:szCs w:val="20"/>
          <w:color w:val="auto"/>
        </w:rPr>
      </w:pPr>
    </w:p>
    <w:p>
      <w:pPr>
        <w:ind w:right="300" w:firstLine="436"/>
        <w:spacing w:after="0" w:line="282" w:lineRule="auto"/>
        <w:tabs>
          <w:tab w:leader="none" w:pos="68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shall mean (i) any entity that, directly or through one or more intermediaries, is controlled by the Company and (ii) any entity in which the Company has a significant equity interest, as determined by the Committee.</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shall mean any Option, Stock Appreciation Right, Restricted Stock, Restricted Stock Unit, Performance Award, Dividend Equivalent, or Other Stock-Based Award granted under the Plan.</w:t>
      </w:r>
    </w:p>
    <w:p>
      <w:pPr>
        <w:sectPr>
          <w:pgSz w:w="11900" w:h="16838" w:orient="portrait"/>
          <w:cols w:equalWidth="0" w:num="1">
            <w:col w:w="11020"/>
          </w:cols>
          <w:pgMar w:left="440" w:top="117" w:right="439" w:bottom="1440" w:gutter="0" w:footer="0" w:header="0"/>
        </w:sectPr>
      </w:pPr>
    </w:p>
    <w:bookmarkStart w:id="350" w:name="page351"/>
    <w:bookmarkEnd w:id="3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“Award Agreement” shall mean any written agreement, contract, or other instrument or document evidencing any Award granted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9" w:lineRule="exact"/>
        <w:rPr>
          <w:sz w:val="20"/>
          <w:szCs w:val="20"/>
          <w:color w:val="auto"/>
        </w:rPr>
      </w:pPr>
    </w:p>
    <w:p>
      <w:pPr>
        <w:ind w:left="700" w:hanging="264"/>
        <w:spacing w:after="0"/>
        <w:tabs>
          <w:tab w:leader="none" w:pos="7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 from time to time.</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8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a committee of the Board of Directors of the Company, acting in accordance with the provisions of Section 3, designated by the Board to administer the Plan and composed of not less than three directors, each of whom is not an employee of the Company or an Affiliate.</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shall mean any right granted under Section 6(e) of the Plan.</w:t>
      </w:r>
    </w:p>
    <w:p>
      <w:pPr>
        <w:spacing w:after="0" w:line="117"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shall mean an option granted under Section 6(a) of the Plan that is intended to meet the requirements of Section 422 of the Code, or any successor provision thereto.</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“Non-Qualified Stock Option” shall mean an option granted under Section 6(a) of the Plan that is not intended to be an Incentive Stock Option.</w:t>
      </w:r>
    </w:p>
    <w:p>
      <w:pPr>
        <w:spacing w:after="0" w:line="128"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shall mean an Incentive Stock Option or a Non-Qualified Stock Option.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shall mean any right granted under Section 6(f) of the Plan.</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mean a Spin-Off Participant designated to be granted an Award under the Plan.</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shall mean any right granted under Section 6(d) of the Plan.</w:t>
      </w:r>
    </w:p>
    <w:p>
      <w:pPr>
        <w:spacing w:after="0" w:line="117" w:lineRule="exact"/>
        <w:rPr>
          <w:rFonts w:ascii="Times New Roman" w:cs="Times New Roman" w:eastAsia="Times New Roman" w:hAnsi="Times New Roman"/>
          <w:sz w:val="18"/>
          <w:szCs w:val="18"/>
          <w:color w:val="auto"/>
        </w:rPr>
      </w:pPr>
    </w:p>
    <w:p>
      <w:pPr>
        <w:ind w:right="700" w:firstLine="436"/>
        <w:spacing w:after="0" w:line="282" w:lineRule="auto"/>
        <w:tabs>
          <w:tab w:leader="none" w:pos="6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mean any individual, corporation, partnership, association, joint-stock company, trust, unincorporated organization, or government or political subdivision thereof.</w:t>
      </w:r>
    </w:p>
    <w:p>
      <w:pPr>
        <w:spacing w:after="0" w:line="53" w:lineRule="exact"/>
        <w:rPr>
          <w:rFonts w:ascii="Times New Roman" w:cs="Times New Roman" w:eastAsia="Times New Roman" w:hAnsi="Times New Roman"/>
          <w:sz w:val="18"/>
          <w:szCs w:val="18"/>
          <w:color w:val="auto"/>
        </w:rPr>
      </w:pPr>
    </w:p>
    <w:p>
      <w:pPr>
        <w:ind w:right="480" w:firstLine="436"/>
        <w:spacing w:after="0" w:line="282" w:lineRule="auto"/>
        <w:tabs>
          <w:tab w:leader="none" w:pos="6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Securities” shall mean securities that were Restricted Securities with respect to which all applicable restrictions have expired, lapsed, or been waived.</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Securities” shall mean Awards of Restricted Stock or other Awards under which issued and outstanding Shares are held subject to certain restrictions.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shall mean any Share granted under Section 6(c) of the Plan.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51" w:name="page352"/>
    <w:bookmarkEnd w:id="351"/>
    <w:p>
      <w:pPr>
        <w:ind w:left="660" w:hanging="224"/>
        <w:spacing w:after="0"/>
        <w:tabs>
          <w:tab w:leader="none" w:pos="6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shall mean any right granted under Section 6(c) of the Plan that is denominated in Shares.</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“Salaried Employee” shall mean any salaried employee of the Company or of any Affiliate.</w:t>
      </w:r>
    </w:p>
    <w:p>
      <w:pPr>
        <w:spacing w:after="0" w:line="117" w:lineRule="exact"/>
        <w:rPr>
          <w:rFonts w:ascii="Times New Roman" w:cs="Times New Roman" w:eastAsia="Times New Roman" w:hAnsi="Times New Roman"/>
          <w:sz w:val="18"/>
          <w:szCs w:val="18"/>
          <w:color w:val="auto"/>
        </w:rPr>
      </w:pPr>
    </w:p>
    <w:p>
      <w:pPr>
        <w:ind w:right="100" w:firstLine="436"/>
        <w:spacing w:after="0" w:line="282" w:lineRule="auto"/>
        <w:tabs>
          <w:tab w:leader="none" w:pos="65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mean the common shares of the Company, $0.01 par value, and such other securities or property as may become the subject of Awards, or become subject to Awards, pursuant to an adjustment made under Section 4(b) of the Plan.</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shall mean any right granted under Section 6(b) of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otherwise provided herein, the Plan shall be administered by the Committee. Subject to the terms of the Plan and applicable law,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shall have full power and authority to:</w:t>
      </w:r>
    </w:p>
    <w:p>
      <w:pPr>
        <w:spacing w:after="0" w:line="99" w:lineRule="exact"/>
        <w:rPr>
          <w:sz w:val="20"/>
          <w:szCs w:val="20"/>
          <w:color w:val="auto"/>
        </w:rPr>
      </w:pPr>
    </w:p>
    <w:p>
      <w:pPr>
        <w:ind w:left="1200" w:hanging="213"/>
        <w:spacing w:after="0"/>
        <w:tabs>
          <w:tab w:leader="none" w:pos="12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 under the Plan;</w:t>
      </w:r>
    </w:p>
    <w:p>
      <w:pPr>
        <w:spacing w:after="0" w:line="117" w:lineRule="exact"/>
        <w:rPr>
          <w:rFonts w:ascii="Times New Roman" w:cs="Times New Roman" w:eastAsia="Times New Roman" w:hAnsi="Times New Roman"/>
          <w:sz w:val="18"/>
          <w:szCs w:val="18"/>
          <w:color w:val="auto"/>
        </w:rPr>
      </w:pPr>
    </w:p>
    <w:p>
      <w:pPr>
        <w:ind w:right="140" w:firstLine="987"/>
        <w:spacing w:after="0" w:line="282" w:lineRule="auto"/>
        <w:tabs>
          <w:tab w:leader="none" w:pos="130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(or with respect to which payments, rights, or other matters are to be calculated in connection with) Awards;</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w:t>
      </w:r>
    </w:p>
    <w:p>
      <w:pPr>
        <w:spacing w:after="0" w:line="11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67" w:lineRule="exact"/>
        <w:rPr>
          <w:rFonts w:ascii="Times New Roman" w:cs="Times New Roman" w:eastAsia="Times New Roman" w:hAnsi="Times New Roman"/>
          <w:sz w:val="18"/>
          <w:szCs w:val="18"/>
          <w:color w:val="auto"/>
        </w:rPr>
      </w:pPr>
    </w:p>
    <w:p>
      <w:pPr>
        <w:ind w:right="220" w:firstLine="987"/>
        <w:spacing w:after="0" w:line="266" w:lineRule="auto"/>
        <w:tabs>
          <w:tab w:leader="none" w:pos="129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w:t>
      </w:r>
    </w:p>
    <w:p>
      <w:pPr>
        <w:spacing w:after="0" w:line="67"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and any instrument or agreement relating to, or Award made under, the Plan;</w:t>
      </w:r>
    </w:p>
    <w:p>
      <w:pPr>
        <w:spacing w:after="0" w:line="117" w:lineRule="exact"/>
        <w:rPr>
          <w:rFonts w:ascii="Times New Roman" w:cs="Times New Roman" w:eastAsia="Times New Roman" w:hAnsi="Times New Roman"/>
          <w:sz w:val="18"/>
          <w:szCs w:val="18"/>
          <w:color w:val="auto"/>
        </w:rPr>
      </w:pPr>
    </w:p>
    <w:p>
      <w:pPr>
        <w:ind w:right="200" w:firstLine="987"/>
        <w:spacing w:after="0" w:line="282" w:lineRule="auto"/>
        <w:tabs>
          <w:tab w:leader="none" w:pos="139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amend, suspend, or waive such rules and regulations and appoint such agents as it shall deem appropriate for the proper administration of the Plan; and</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other determination and take any other action that the Committee deems necessary or desirable for the administration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employment determinations with respect to GE Participants shall be made by GE, as described in Section I.</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Affiliate, any Participant, any holder or beneficiary of any Award, any share owner, and any employee of the Company or of any Affiliate. Actions of the Committee may be taken either (i) by a subcommittee, designated by the Committee, composed of three or more members, or (ii) by the Committee but with one or more members abstaining or recusing himself or herself from acting on the matter, so long as two or more members remain to act on the matter. Such action, authorized by such a subcommittee or by the Committee upon the abstention or recusal of such members, shall be the action of the Committee for purposes of the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SHARES AVAILABLE FOR AWARDS</w:t>
      </w:r>
    </w:p>
    <w:p>
      <w:pPr>
        <w:spacing w:after="0" w:line="121" w:lineRule="exact"/>
        <w:rPr>
          <w:sz w:val="20"/>
          <w:szCs w:val="20"/>
          <w:color w:val="auto"/>
        </w:rPr>
      </w:pPr>
    </w:p>
    <w:p>
      <w:pPr>
        <w:ind w:left="680" w:hanging="244"/>
        <w:spacing w:after="0"/>
        <w:tabs>
          <w:tab w:leader="none" w:pos="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AVAILABLE. Subject to adjustment as provided in Section 4(b):</w:t>
      </w:r>
    </w:p>
    <w:p>
      <w:pPr>
        <w:spacing w:after="0" w:line="117" w:lineRule="exact"/>
        <w:rPr>
          <w:rFonts w:ascii="Times New Roman" w:cs="Times New Roman" w:eastAsia="Times New Roman" w:hAnsi="Times New Roman"/>
          <w:sz w:val="18"/>
          <w:szCs w:val="18"/>
          <w:color w:val="auto"/>
        </w:rPr>
      </w:pPr>
    </w:p>
    <w:p>
      <w:pPr>
        <w:ind w:firstLine="987"/>
        <w:spacing w:after="0" w:line="272" w:lineRule="auto"/>
        <w:tabs>
          <w:tab w:leader="none" w:pos="1206"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CALCULATION OF NUMBER OF SHARES AVAILABLE. The number of Shares available for granting Awards under the Plan shall be equal to the number of Shares necessary to satisfy all Spin-Off Awards upon exercise or settlement, as applicable (the “Share Reserve”). Further, if, after the effective date of the Plan, any Shares covered by an Award granted under the Plan, or to which such an Award or award relates, are forfeited, or if an Award or award otherwise terminates without the delivery of Shares or of other consideration, then the Shares covered by such Award or award, or to which such Award or award relates, or the number of Shares otherwise counted against the aggregate number of Shares available under the Plan with respect to such Award or award, to the extent of any such forfeiture or termination, shall again be, or shall become, available for granting Awards under the GE HealthCare Technologies Inc. 2023 Long-Term Incentive Plan. Notwithstanding the foregoing but subject to adjustment as provided in Section 4(b), no more than the Share Reserve shall be cumulatively available for delivery pursuant to the exercise of Incentive Stock Options.</w:t>
      </w:r>
    </w:p>
    <w:p>
      <w:pPr>
        <w:spacing w:after="0" w:line="63" w:lineRule="exact"/>
        <w:rPr>
          <w:rFonts w:ascii="Times New Roman" w:cs="Times New Roman" w:eastAsia="Times New Roman" w:hAnsi="Times New Roman"/>
          <w:sz w:val="17"/>
          <w:szCs w:val="17"/>
          <w:color w:val="auto"/>
        </w:rPr>
      </w:pPr>
    </w:p>
    <w:p>
      <w:pPr>
        <w:ind w:left="1260" w:hanging="273"/>
        <w:spacing w:after="0"/>
        <w:tabs>
          <w:tab w:leader="none" w:pos="126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AWARDS. For purposes of this Section 4,</w:t>
      </w:r>
    </w:p>
    <w:p>
      <w:pPr>
        <w:spacing w:after="0" w:line="130" w:lineRule="exact"/>
        <w:rPr>
          <w:rFonts w:ascii="Times New Roman" w:cs="Times New Roman" w:eastAsia="Times New Roman" w:hAnsi="Times New Roman"/>
          <w:sz w:val="18"/>
          <w:szCs w:val="18"/>
          <w:color w:val="auto"/>
        </w:rPr>
      </w:pPr>
    </w:p>
    <w:p>
      <w:pPr>
        <w:ind w:left="1960" w:hanging="533"/>
        <w:spacing w:after="0" w:line="266" w:lineRule="auto"/>
        <w:tabs>
          <w:tab w:leader="none" w:pos="196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(other than a Dividend Equivalent) is denominated in Shares, the number of Shares covered by such Award, or to which such Award relates, shall be counted on the date of grant of such Award against the aggregate number of Shares available for granting Awards under the Plan; and</w:t>
      </w:r>
    </w:p>
    <w:p>
      <w:pPr>
        <w:spacing w:after="0" w:line="81" w:lineRule="exact"/>
        <w:rPr>
          <w:rFonts w:ascii="Times New Roman" w:cs="Times New Roman" w:eastAsia="Times New Roman" w:hAnsi="Times New Roman"/>
          <w:sz w:val="18"/>
          <w:szCs w:val="18"/>
          <w:color w:val="auto"/>
        </w:rPr>
      </w:pPr>
    </w:p>
    <w:p>
      <w:pPr>
        <w:jc w:val="both"/>
        <w:ind w:left="1960" w:right="500" w:hanging="533"/>
        <w:spacing w:after="0" w:line="266" w:lineRule="auto"/>
        <w:tabs>
          <w:tab w:leader="none" w:pos="196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and Awards not denominated in Shares shall be counted against the aggregate number of Shares available for granting Awards under the Plan in such amount and at such time as the Committee shall determine under procedures adopted by the Committee consistent with the purposes of the Plan;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53" w:name="page354"/>
    <w:bookmarkEnd w:id="353"/>
    <w:p>
      <w:pPr>
        <w:ind w:left="142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HOWEVER, that Awards that operate in tandem with (whether granted simultaneously with or at a different time from), or that are substituted for, other Awards may be counted or not counted under procedures adopted by the Committee in order to avoid double counting. Any Shares that are delivered by the Company, and any Awards that are granted by, or become obligations of, the Company through the assumption by the Company or an Affiliate of, or in substitution for, outstanding awards previously granted by an acquired company, shall not be counted against the Shares available for granting Awards under the Plan.</w:t>
      </w:r>
    </w:p>
    <w:p>
      <w:pPr>
        <w:spacing w:after="0" w:line="75" w:lineRule="exact"/>
        <w:rPr>
          <w:sz w:val="20"/>
          <w:szCs w:val="20"/>
          <w:color w:val="auto"/>
        </w:rPr>
      </w:pPr>
    </w:p>
    <w:p>
      <w:pPr>
        <w:ind w:right="120" w:firstLine="987"/>
        <w:spacing w:after="0" w:line="282" w:lineRule="auto"/>
        <w:tabs>
          <w:tab w:leader="none" w:pos="130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SHARES DELIVERABLE UNDER AWARDS. Any Shares delivered pursuant to an Award may consist, in whole or in part, of authorized and unissued Shares or of treasury Shares.</w:t>
      </w:r>
    </w:p>
    <w:p>
      <w:pPr>
        <w:spacing w:after="0" w:line="53"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w:t>
      </w:r>
    </w:p>
    <w:p>
      <w:pPr>
        <w:spacing w:after="0" w:line="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or property) which thereafter may be made the subject of Awards,</w:t>
      </w:r>
    </w:p>
    <w:p>
      <w:pPr>
        <w:spacing w:after="0" w:line="117" w:lineRule="exact"/>
        <w:rPr>
          <w:sz w:val="20"/>
          <w:szCs w:val="20"/>
          <w:color w:val="auto"/>
        </w:rPr>
      </w:pPr>
    </w:p>
    <w:p>
      <w:pPr>
        <w:ind w:left="1260" w:hanging="273"/>
        <w:spacing w:after="0"/>
        <w:tabs>
          <w:tab w:leader="none" w:pos="12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or property) subject to outstanding Awards,</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or property) specified as the annual per-participant limitation under Section 6(g)(vi),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right="200" w:firstLine="987"/>
        <w:spacing w:after="0" w:line="282" w:lineRule="auto"/>
        <w:tabs>
          <w:tab w:leader="none" w:pos="129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purchase, or exercise price with respect to any Award, or, if deemed appropriate, make provision for a cash payment to the holder of an outstanding Award;</w:t>
      </w:r>
    </w:p>
    <w:p>
      <w:pPr>
        <w:spacing w:after="0" w:line="54"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PROVIDED, HOWEVER, in each case, that with respect to Awards of Incentive Stock Options no such adjustment shall be authorized to the extent that such authority would cause the Plan to violate Section 422(b)(1) of the Code or any successor provision thereto; and PROVIDED FURTHER, HOWEVER, that the number of Shares subject to any Award denominated in Shares shall always be a whole number.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ELIGIBILITY</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Spin-Off Participant shall be eligible to be designated a Participant.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354" w:name="page355"/>
    <w:bookmarkEnd w:id="35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AWARDS</w:t>
      </w:r>
    </w:p>
    <w:p>
      <w:pPr>
        <w:spacing w:after="0" w:line="121" w:lineRule="exact"/>
        <w:rPr>
          <w:sz w:val="20"/>
          <w:szCs w:val="20"/>
          <w:color w:val="auto"/>
        </w:rPr>
      </w:pPr>
    </w:p>
    <w:p>
      <w:pPr>
        <w:ind w:left="4" w:right="600" w:firstLine="436"/>
        <w:spacing w:after="0" w:line="282" w:lineRule="auto"/>
        <w:tabs>
          <w:tab w:leader="none" w:pos="689"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53" w:lineRule="exact"/>
        <w:rPr>
          <w:rFonts w:ascii="Times New Roman" w:cs="Times New Roman" w:eastAsia="Times New Roman" w:hAnsi="Times New Roman"/>
          <w:sz w:val="18"/>
          <w:szCs w:val="18"/>
          <w:color w:val="auto"/>
        </w:rPr>
      </w:pPr>
    </w:p>
    <w:p>
      <w:pPr>
        <w:ind w:left="4" w:right="140" w:firstLine="987"/>
        <w:spacing w:after="0" w:line="281" w:lineRule="auto"/>
        <w:tabs>
          <w:tab w:leader="none" w:pos="1210" w:val="left"/>
        </w:tabs>
        <w:numPr>
          <w:ilvl w:val="2"/>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The purchase price per Share purchasable under an Option shall be determined by the Committee; provided, however, that such purchase price shall not be less than the Fair Market Value of a Share on the date of grant of such Option (or, if the Committee so determines, in the case of any Option retroactively granted in tandem with or in substitution for another Award or any outstanding award granted under any other plan of the Company, on the date of grant of such other Award or award) unless such Option is assumed in connection with the Spin-Off.</w:t>
      </w:r>
    </w:p>
    <w:p>
      <w:pPr>
        <w:spacing w:after="0" w:line="56" w:lineRule="exact"/>
        <w:rPr>
          <w:rFonts w:ascii="Times New Roman" w:cs="Times New Roman" w:eastAsia="Times New Roman" w:hAnsi="Times New Roman"/>
          <w:sz w:val="17"/>
          <w:szCs w:val="17"/>
          <w:color w:val="auto"/>
        </w:rPr>
      </w:pPr>
    </w:p>
    <w:p>
      <w:pPr>
        <w:ind w:left="1264" w:hanging="273"/>
        <w:spacing w:after="0"/>
        <w:tabs>
          <w:tab w:leader="none" w:pos="1264" w:val="left"/>
        </w:tabs>
        <w:numPr>
          <w:ilvl w:val="2"/>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TERM. The term of each Option shall be fixed by the Committee.</w:t>
      </w:r>
    </w:p>
    <w:p>
      <w:pPr>
        <w:spacing w:after="0" w:line="117" w:lineRule="exact"/>
        <w:rPr>
          <w:rFonts w:ascii="Times New Roman" w:cs="Times New Roman" w:eastAsia="Times New Roman" w:hAnsi="Times New Roman"/>
          <w:sz w:val="18"/>
          <w:szCs w:val="18"/>
          <w:color w:val="auto"/>
        </w:rPr>
      </w:pPr>
    </w:p>
    <w:p>
      <w:pPr>
        <w:ind w:left="4" w:right="320" w:firstLine="987"/>
        <w:spacing w:after="0" w:line="261" w:lineRule="auto"/>
        <w:tabs>
          <w:tab w:leader="none" w:pos="1310" w:val="left"/>
        </w:tabs>
        <w:numPr>
          <w:ilvl w:val="2"/>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METHOD OF EXERCISE. 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71"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300" w:val="left"/>
        </w:tabs>
        <w:numPr>
          <w:ilvl w:val="2"/>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The terms of any Incentive Stock Option granted under the Plan shall comply in all respects with the provisions of Section 422 of the Code, or any successor provision thereto, and any regulations promulgated thereunder.</w:t>
      </w:r>
    </w:p>
    <w:p>
      <w:pPr>
        <w:spacing w:after="0" w:line="53" w:lineRule="exact"/>
        <w:rPr>
          <w:rFonts w:ascii="Times New Roman" w:cs="Times New Roman" w:eastAsia="Times New Roman" w:hAnsi="Times New Roman"/>
          <w:sz w:val="18"/>
          <w:szCs w:val="18"/>
          <w:color w:val="auto"/>
        </w:rPr>
      </w:pPr>
    </w:p>
    <w:p>
      <w:pPr>
        <w:ind w:left="4" w:right="40" w:firstLine="436"/>
        <w:spacing w:after="0" w:line="270" w:lineRule="auto"/>
        <w:tabs>
          <w:tab w:leader="none" w:pos="699"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RIGHTS. The Committee is hereby authorized to grant Stock Appreciation Rights to Participants. Subject to the terms of the Plan and any applicable Award Agreement, a Stock Appreciation Right granted under the Plan shall confer on the holder thereof a right to receive, upon exercise thereof, the excess of (i) the Fair Market Value of one Share on the date of exercise or, if the Committee shall so determine in the case of any such right other than one related to any Incentive Stock Option, at any time during a specified period before or after the date of exercise over</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price of the right as specified by the Committee, which shall not be less than the Fair Market Value of one Share on the date of grant of the Stock Appreciation Right (or, if the Committee so determines, in the case of any Stock Appreciation Right retroactively granted in tandem with or in substitution for another Award or any outstanding award granted under any other plan of the Company, on the date of grant of such other Award or award). Subject to the terms of the Plan and any applicable Award Agreement, the grant price, term, methods of exercise, methods of settlement, and any other terms and conditions of any Stock Appreciation Right shall be as determined by the Committee. The Committee may impose such conditions or restrictions on the exercise of any Stock Appreciation Right as it may deem appropriate.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355" w:name="page356"/>
    <w:bookmarkEnd w:id="355"/>
    <w:p>
      <w:pPr>
        <w:ind w:left="680" w:hanging="244"/>
        <w:spacing w:after="0"/>
        <w:tabs>
          <w:tab w:leader="none" w:pos="6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AND RESTRICTED STOCK UNITS.</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The Committee is hereby authorized to grant Awards of Restricted Stock and Restricted Stock Units to Participants.</w:t>
      </w:r>
    </w:p>
    <w:p>
      <w:pPr>
        <w:spacing w:after="0" w:line="117" w:lineRule="exact"/>
        <w:rPr>
          <w:rFonts w:ascii="Times New Roman" w:cs="Times New Roman" w:eastAsia="Times New Roman" w:hAnsi="Times New Roman"/>
          <w:sz w:val="18"/>
          <w:szCs w:val="18"/>
          <w:color w:val="auto"/>
        </w:rPr>
      </w:pPr>
    </w:p>
    <w:p>
      <w:pPr>
        <w:ind w:right="40" w:firstLine="987"/>
        <w:spacing w:after="0" w:line="261" w:lineRule="auto"/>
        <w:tabs>
          <w:tab w:leader="none" w:pos="125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71" w:lineRule="exact"/>
        <w:rPr>
          <w:rFonts w:ascii="Times New Roman" w:cs="Times New Roman" w:eastAsia="Times New Roman" w:hAnsi="Times New Roman"/>
          <w:sz w:val="18"/>
          <w:szCs w:val="18"/>
          <w:color w:val="auto"/>
        </w:rPr>
      </w:pPr>
    </w:p>
    <w:p>
      <w:pPr>
        <w:ind w:right="40" w:firstLine="987"/>
        <w:spacing w:after="0" w:line="261" w:lineRule="auto"/>
        <w:tabs>
          <w:tab w:leader="none" w:pos="130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Any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71" w:lineRule="exact"/>
        <w:rPr>
          <w:rFonts w:ascii="Times New Roman" w:cs="Times New Roman" w:eastAsia="Times New Roman" w:hAnsi="Times New Roman"/>
          <w:sz w:val="18"/>
          <w:szCs w:val="18"/>
          <w:color w:val="auto"/>
        </w:rPr>
      </w:pPr>
    </w:p>
    <w:p>
      <w:pPr>
        <w:ind w:right="120" w:firstLine="987"/>
        <w:spacing w:after="0" w:line="256" w:lineRule="auto"/>
        <w:tabs>
          <w:tab w:leader="none" w:pos="129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Except as otherwise determined by the Committee, upon termination of employment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 Unrestricted Shares, evidenced in such manner as the Committee shall deem appropriate, shall be delivered to the holder of Restricted Stock promptly after such Restricted Stock shall become Released Securities.</w:t>
      </w:r>
    </w:p>
    <w:p>
      <w:pPr>
        <w:spacing w:after="0" w:line="79"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The Committee is hereby authorized to grant Performance Awards to Participants. Subject to the terms of the Plan and any applicable Award Agreement, a Performance Award granted under the Plan</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be denominated or payable in cash, Shares (including, without limitation, Restricted Stock), other securities, other Awards, or other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property and</w:t>
      </w:r>
    </w:p>
    <w:p>
      <w:pPr>
        <w:spacing w:after="0" w:line="98" w:lineRule="exact"/>
        <w:rPr>
          <w:rFonts w:ascii="Times New Roman" w:cs="Times New Roman" w:eastAsia="Times New Roman" w:hAnsi="Times New Roman"/>
          <w:sz w:val="17"/>
          <w:szCs w:val="17"/>
          <w:color w:val="auto"/>
        </w:rPr>
      </w:pPr>
    </w:p>
    <w:p>
      <w:pPr>
        <w:ind w:right="320" w:firstLine="987"/>
        <w:spacing w:after="0" w:line="266" w:lineRule="auto"/>
        <w:tabs>
          <w:tab w:leader="none" w:pos="125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confer on the holder thereof rights valued as determined by the Committee and payable to, or exercisable by, the holder of the Performance Award, in whole or in part, upon the achievement of such performance goals during such performance periods as the Committee shall establish.</w:t>
      </w:r>
    </w:p>
    <w:p>
      <w:pPr>
        <w:spacing w:after="0" w:line="68"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Subject to the terms of the Plan and any applicable Award Agreement,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68" w:lineRule="exact"/>
        <w:rPr>
          <w:sz w:val="20"/>
          <w:szCs w:val="20"/>
          <w:color w:val="auto"/>
        </w:rPr>
      </w:pPr>
    </w:p>
    <w:p>
      <w:pPr>
        <w:jc w:val="both"/>
        <w:ind w:right="60" w:firstLine="436"/>
        <w:spacing w:after="0" w:line="261" w:lineRule="auto"/>
        <w:tabs>
          <w:tab w:leader="none" w:pos="68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The Committee is hereby authorized to grant to Participants Awards under which the holders thereof shall be entitled to receive payments equivalent to dividends or interest with respect to a number of Shares determined by the Committee, and the Committee may provide that such amounts (if any) shall be deemed to have been reinvested in additional Shares or otherwise reinvested. Subject to the terms of the Plan and any applicable Award Agreement, such Awards may have such terms and conditions as the Committee shall determine.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56" w:name="page357"/>
    <w:bookmarkEnd w:id="356"/>
    <w:p>
      <w:pPr>
        <w:ind w:firstLine="436"/>
        <w:spacing w:after="0" w:line="253" w:lineRule="auto"/>
        <w:tabs>
          <w:tab w:leader="none" w:pos="66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STOCK-BASED AWARDS. 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provided, however, that such grants must comply with applicable law. Subject to the terms of the Plan and any applicable Award Agreement, the Committee shall determine the terms and conditions of such Awards. Shares or other securities delivered pursuant to a purchase right granted under this Section 6(f)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not be less than the Fair Market Value of such Shares or other securities as of the date such purchase right is granted (or, if the Committee so determines, in the case of any such purchase right retroactively granted in tandem with or in substitution for another Award or any outstanding award granted under any other plan of the Company, on the date of grant of such other Award or award).</w:t>
      </w:r>
    </w:p>
    <w:p>
      <w:pPr>
        <w:spacing w:after="0" w:line="8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117" w:lineRule="exact"/>
        <w:rPr>
          <w:rFonts w:ascii="Times New Roman" w:cs="Times New Roman" w:eastAsia="Times New Roman" w:hAnsi="Times New Roman"/>
          <w:sz w:val="18"/>
          <w:szCs w:val="18"/>
          <w:color w:val="auto"/>
        </w:rPr>
      </w:pPr>
    </w:p>
    <w:p>
      <w:pPr>
        <w:ind w:right="840" w:firstLine="987"/>
        <w:spacing w:after="0" w:line="282" w:lineRule="auto"/>
        <w:tabs>
          <w:tab w:leader="none" w:pos="120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CONSIDERATION FOR AWARDS. Awards shall be granted for no cash consideration or for such minimal cash consideration as may be required by applicable law.</w:t>
      </w:r>
    </w:p>
    <w:p>
      <w:pPr>
        <w:spacing w:after="0" w:line="53" w:lineRule="exact"/>
        <w:rPr>
          <w:rFonts w:ascii="Times New Roman" w:cs="Times New Roman" w:eastAsia="Times New Roman" w:hAnsi="Times New Roman"/>
          <w:sz w:val="18"/>
          <w:szCs w:val="18"/>
          <w:color w:val="auto"/>
        </w:rPr>
      </w:pPr>
    </w:p>
    <w:p>
      <w:pPr>
        <w:ind w:right="120" w:firstLine="987"/>
        <w:spacing w:after="0" w:line="261" w:lineRule="auto"/>
        <w:tabs>
          <w:tab w:leader="none" w:pos="125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SEPARATELY OR TOGETHER. Awards may, in the discretion of the Committee, be granted either alone or in addition to, in tandem with, or in substitution for any other Award or any award granted under any other plan of the Company or any Affiliate. Awards granted in addition to or in tandem with other Awards, or in addition to or in tandem with awards granted under any other plan of the Company or any Affiliate, may be granted either at the same time as or at a different time from the grant of such other Awards or awards.</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30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PAYMENT UNDER AWARDS. Subject to the terms of the Plan and of any applicable Award Agreement, payments or transfers to be made by the Company or an Affiliate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57" w:name="page358"/>
    <w:bookmarkEnd w:id="357"/>
    <w:p>
      <w:pPr>
        <w:ind w:right="80" w:firstLine="987"/>
        <w:spacing w:after="0" w:line="253" w:lineRule="auto"/>
        <w:tabs>
          <w:tab w:leader="none" w:pos="129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LIMITS ON TRANSFER OF AWARDS. No Award (other than Released Securities), and no right under any such Award, shall be assignable, alienable, saleable, or transferable by a Participant otherwise than by will or by the laws of descent and distribution (or, in the case of an Award of Restricted Securities, to the Company);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Each Award, and each right under any Award, shall be exercisable, during the Participant’s lifetime, only by the Participant or, if permissible under applicable law, by the Participant’s 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 or any Affiliate. Notwithstanding any contrary provisions in this paragraph or elsewhere in the Plan, the Committee may permit a Participant to transfer Awards, subject to such conditions as the Committee may establish.</w:t>
      </w:r>
    </w:p>
    <w:p>
      <w:pPr>
        <w:spacing w:after="0" w:line="86"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OF AWARDS. The term of each Award shall be for such period as may be determined by the Committee; PROVIDED, HOWEVER, that in no event shall the term of any Incentive Stock Option exceed a period of ten years from the date of its grant.</w:t>
      </w:r>
    </w:p>
    <w:p>
      <w:pPr>
        <w:spacing w:after="0" w:line="53" w:lineRule="exact"/>
        <w:rPr>
          <w:rFonts w:ascii="Times New Roman" w:cs="Times New Roman" w:eastAsia="Times New Roman" w:hAnsi="Times New Roman"/>
          <w:sz w:val="18"/>
          <w:szCs w:val="18"/>
          <w:color w:val="auto"/>
        </w:rPr>
      </w:pPr>
    </w:p>
    <w:p>
      <w:pPr>
        <w:ind w:right="160" w:firstLine="987"/>
        <w:spacing w:after="0" w:line="266" w:lineRule="auto"/>
        <w:tabs>
          <w:tab w:leader="none" w:pos="129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PER-PERSON LIMITATION ON OPTIONS AND SARs. The number of Shares with respect to which Options and SARs may be granted under the Plan to an individual Participant in any three-year period through the end of the term of the Plan shall not exceed the Share Reserve, subject to adjustment as provided in Section 4(b).</w:t>
      </w:r>
    </w:p>
    <w:p>
      <w:pPr>
        <w:spacing w:after="0" w:line="67" w:lineRule="exact"/>
        <w:rPr>
          <w:rFonts w:ascii="Times New Roman" w:cs="Times New Roman" w:eastAsia="Times New Roman" w:hAnsi="Times New Roman"/>
          <w:sz w:val="18"/>
          <w:szCs w:val="18"/>
          <w:color w:val="auto"/>
        </w:rPr>
      </w:pPr>
    </w:p>
    <w:p>
      <w:pPr>
        <w:ind w:right="60" w:firstLine="987"/>
        <w:spacing w:after="0" w:line="266" w:lineRule="auto"/>
        <w:tabs>
          <w:tab w:leader="none" w:pos="13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LIMITATION ON CERTAIN AWARDS. The number of Shares with respect to which Restricted Stock, Restricted Stock Units, Performance Awards and Other Stock-Based Awards may be granted under the Plan to all Participants in any three-year period through the end of the term of the Plan shall not exceed the Share Reserve.</w:t>
      </w:r>
    </w:p>
    <w:p>
      <w:pPr>
        <w:spacing w:after="0" w:line="67" w:lineRule="exact"/>
        <w:rPr>
          <w:rFonts w:ascii="Times New Roman" w:cs="Times New Roman" w:eastAsia="Times New Roman" w:hAnsi="Times New Roman"/>
          <w:sz w:val="18"/>
          <w:szCs w:val="18"/>
          <w:color w:val="auto"/>
        </w:rPr>
      </w:pPr>
    </w:p>
    <w:p>
      <w:pPr>
        <w:ind w:right="260" w:firstLine="987"/>
        <w:spacing w:after="0" w:line="258" w:lineRule="auto"/>
        <w:tabs>
          <w:tab w:leader="none" w:pos="139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AMENDMENT AND TERMINATION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to the extent prohibited by applicable law and unless otherwise expressly provided in an Award Agreement or in the Plan:</w:t>
      </w:r>
    </w:p>
    <w:p>
      <w:pPr>
        <w:spacing w:after="0" w:line="117" w:lineRule="exact"/>
        <w:rPr>
          <w:sz w:val="20"/>
          <w:szCs w:val="20"/>
          <w:color w:val="auto"/>
        </w:rPr>
      </w:pPr>
    </w:p>
    <w:p>
      <w:pPr>
        <w:ind w:firstLine="436"/>
        <w:spacing w:after="0" w:line="258" w:lineRule="auto"/>
        <w:tabs>
          <w:tab w:leader="none" w:pos="6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PLAN. The Board of Directors of the Company may amend, alter, suspend, discontinue, or terminate the Plan, including, without limitation, any amendment, alteration, suspension, discontinuation, or termination that would impair the rights of any Participant, or any other holder or beneficiary of any Award theretofore granted, without the consent of any share owner, Participant, other holder or beneficiary of an Award, or other Person; PROVIDED, HOWEVER, that, notwithstanding any other provision of the Plan or any Award Agreement, without the approval of the share owners of the Company no such amendment, alteration, suspension, discontinuation, or termination shall be made that would: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58" w:name="page359"/>
    <w:bookmarkEnd w:id="358"/>
    <w:p>
      <w:pPr>
        <w:ind w:left="1200" w:hanging="213"/>
        <w:spacing w:after="0"/>
        <w:tabs>
          <w:tab w:leader="none" w:pos="12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the total number of Shares available for Awards under the Plan, except as provided in Section 4 hereof; or</w:t>
      </w:r>
    </w:p>
    <w:p>
      <w:pPr>
        <w:spacing w:after="0" w:line="117" w:lineRule="exact"/>
        <w:rPr>
          <w:rFonts w:ascii="Times New Roman" w:cs="Times New Roman" w:eastAsia="Times New Roman" w:hAnsi="Times New Roman"/>
          <w:sz w:val="18"/>
          <w:szCs w:val="18"/>
          <w:color w:val="auto"/>
        </w:rPr>
      </w:pPr>
    </w:p>
    <w:p>
      <w:pPr>
        <w:ind w:right="120" w:firstLine="987"/>
        <w:spacing w:after="0" w:line="266" w:lineRule="auto"/>
        <w:tabs>
          <w:tab w:leader="none" w:pos="125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Options, Stock Appreciation Rights, or other Stock-Based Awards encompassing rights to purchase Shares to be granted with per Share grant, purchase, or exercise prices of less than the Fair Market Value of a Share on the date of grant thereof, except to the extent permitted under Sections 6(a), 6(b), or 6(f) hereof.</w:t>
      </w:r>
    </w:p>
    <w:p>
      <w:pPr>
        <w:spacing w:after="0" w:line="67"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AWARDS. The Committee may waive any conditions or rights under, amend any terms of, or amend, alter, suspend, discontinue, or terminate, any Awards theretofore granted, prospectively or retroactively, without the consent of any relevant Participant or holder or beneficiary of an Award.</w:t>
      </w:r>
    </w:p>
    <w:p>
      <w:pPr>
        <w:spacing w:after="0" w:line="67"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OF AWARDS UPON CERTAIN ACQUISITIONS. In the event the Company or any Affiliate shall assume outstanding employee awards or the right or obligation to make future such awards in connection with the acquisition of another business or another corporation or business entity, the Committee may make such adjustments, not inconsistent with the terms of the Plan, in the terms of Awards as it shall deem appropriate in order to achieve reasonable comparability or other equitable relationship between the assumed awards and the Awards granted under the Plan as so adjusted.</w:t>
      </w:r>
    </w:p>
    <w:p>
      <w:pPr>
        <w:spacing w:after="0" w:line="75"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OF AWARDS UPON THE OCCURRENCE OF CERTAIN UNUSUAL OR NONRECURRING EVENTS. The Committee shall be authorized to make adjustments in the terms and conditions of, and the criteria included in, Awards in recognition of unusual or nonrecurring events (including, without limitation, the events described in Section 4 (b)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to be made available under the Plan.</w:t>
      </w:r>
    </w:p>
    <w:p>
      <w:pPr>
        <w:spacing w:after="0" w:line="59" w:lineRule="exact"/>
        <w:rPr>
          <w:rFonts w:ascii="Times New Roman" w:cs="Times New Roman" w:eastAsia="Times New Roman" w:hAnsi="Times New Roman"/>
          <w:sz w:val="17"/>
          <w:szCs w:val="17"/>
          <w:color w:val="auto"/>
        </w:rPr>
      </w:pPr>
    </w:p>
    <w:p>
      <w:pPr>
        <w:ind w:right="120" w:firstLine="436"/>
        <w:spacing w:after="0" w:line="282" w:lineRule="auto"/>
        <w:tabs>
          <w:tab w:leader="none" w:pos="68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OF DEFECTS, OMISSIONS, AND INCONSISTENCIES. The Committee may correct any defect, supply any omission, or reconcile any inconsistency in the Plan or any Award in the manner and to the extent it shall deem desirable to carry the Plan into effect.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GENERAL PROVISIONS</w:t>
      </w:r>
    </w:p>
    <w:p>
      <w:pPr>
        <w:spacing w:after="0" w:line="121" w:lineRule="exact"/>
        <w:rPr>
          <w:sz w:val="20"/>
          <w:szCs w:val="20"/>
          <w:color w:val="auto"/>
        </w:rPr>
      </w:pPr>
    </w:p>
    <w:p>
      <w:pPr>
        <w:ind w:right="20" w:firstLine="436"/>
        <w:spacing w:after="0" w:line="266" w:lineRule="auto"/>
        <w:tabs>
          <w:tab w:leader="none" w:pos="68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TO AWARDS. No Salaried Employee, Participant or other Person shall have any claim to be granted any Award under the Plan, and there is no obligation for uniformity of treatment of Salaried Employees, Participants, or holders or beneficiaries of Awards under the Plan. The terms and conditions of Awards need not be the same with respect to each recipient.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359" w:name="page360"/>
    <w:bookmarkEnd w:id="359"/>
    <w:p>
      <w:pPr>
        <w:ind w:right="260" w:firstLine="436"/>
        <w:spacing w:after="0" w:line="261" w:lineRule="auto"/>
        <w:tabs>
          <w:tab w:leader="none" w:pos="69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DELEGATION. The Committee may delegate to one or more officers or managers of the Company or any Affiliate, or a committee of such officers or managers, the authority, subject to such terms and limitations as the Committee shall determine, to grant Awards to, or to cancel, modify, waive rights with respect to, alter, discontinue, suspend, or terminate Awards held by, Salaried Employees who are not officers or directors of the Company for purposes of Section 16 of the Securities Exchange Act of 1934, as amended.</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The Company or any Affiliate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 other action as may be necessary in the opinion of the Company or Affiliate to satisfy all obligations for the payment of such taxes.</w:t>
      </w:r>
    </w:p>
    <w:p>
      <w:pPr>
        <w:spacing w:after="0" w:line="71"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 ON OTHER COMPENSATION ARRANGEMENTS. Nothing contained in the Plan shall prevent the Company or any Affiliate from adopting or continuing in effect other or additional compensation arrangements, and such arrangements may be either generally applicable or applicable only in specific cases.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EMPLOYMENT. The grant of an Award shall not be construed as giving a Participant the right to be retained in the employ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67" w:lineRule="exact"/>
        <w:rPr>
          <w:rFonts w:ascii="Times New Roman" w:cs="Times New Roman" w:eastAsia="Times New Roman" w:hAnsi="Times New Roman"/>
          <w:sz w:val="18"/>
          <w:szCs w:val="18"/>
          <w:color w:val="auto"/>
        </w:rPr>
      </w:pPr>
    </w:p>
    <w:p>
      <w:pPr>
        <w:ind w:right="80" w:firstLine="436"/>
        <w:spacing w:after="0" w:line="282" w:lineRule="auto"/>
        <w:tabs>
          <w:tab w:leader="none" w:pos="66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validity, construction, and effect of the Plan and any rules and regulations relating to the Plan shall be determined in accordance with the laws of the State of New York and applicable Federal law.</w:t>
      </w:r>
    </w:p>
    <w:p>
      <w:pPr>
        <w:spacing w:after="0" w:line="53"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75"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9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60" w:name="page361"/>
    <w:bookmarkEnd w:id="360"/>
    <w:p>
      <w:pPr>
        <w:ind w:right="60" w:firstLine="436"/>
        <w:spacing w:after="0" w:line="266" w:lineRule="auto"/>
        <w:tabs>
          <w:tab w:leader="none" w:pos="65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FRACTIONAL SHARES.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EFFECTIVE DATE OF THE PLAN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Plan shall become effective as of the date of the consummation of the Spin-Off (the “Effective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TERM OF THE PLAN</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No Award shall be granted under the Plan other than the Spin-Off Awards.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of Directors of the Company to amend the Plan, shall extend beyond such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report dated July 29, 2022, relating to the financial statement of GE Healthcare Holding LLC.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ectPr>
          <w:pgSz w:w="11900" w:h="16838" w:orient="portrait"/>
          <w:cols w:equalWidth="0" w:num="1">
            <w:col w:w="11020"/>
          </w:cols>
          <w:pgMar w:left="440" w:top="117" w:right="43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We consent to the use in this Registration Statement on Form S-1 of our report dated July 29, 2022, relating to the financial statements of GE HealthCare, a business of General Electric Company. We also consent to the reference to us under the heading “Experts” in such Registration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ectPr>
          <w:pgSz w:w="11900" w:h="16838" w:orient="portrait"/>
          <w:cols w:equalWidth="0" w:num="1">
            <w:col w:w="11020"/>
          </w:cols>
          <w:pgMar w:left="440" w:top="117" w:right="43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July 29, 2022, with respect to the combined financial statements of GE HealthCare (a carve-out business of General Electric Company), included herein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ectPr>
          <w:pgSz w:w="11900" w:h="16838" w:orient="portrait"/>
          <w:cols w:equalWidth="0" w:num="1">
            <w:col w:w="11020"/>
          </w:cols>
          <w:pgMar w:left="440" w:top="117" w:right="4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H. Lawrence Culp,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 Lawrence Culp, Jr.</w:t>
      </w:r>
    </w:p>
    <w:p>
      <w:pPr>
        <w:sectPr>
          <w:pgSz w:w="11900" w:h="16838" w:orient="portrait"/>
          <w:cols w:equalWidth="0" w:num="1">
            <w:col w:w="11020"/>
          </w:cols>
          <w:pgMar w:left="440" w:top="117" w:right="4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J. Arduini</w:t>
      </w:r>
    </w:p>
    <w:p>
      <w:pPr>
        <w:sectPr>
          <w:pgSz w:w="11900" w:h="16838" w:orient="portrait"/>
          <w:cols w:equalWidth="0" w:num="1">
            <w:col w:w="11020"/>
          </w:cols>
          <w:pgMar w:left="440" w:top="117" w:right="4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Rodney F.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Rodney F. Hochman</w:t>
      </w:r>
    </w:p>
    <w:p>
      <w:pPr>
        <w:sectPr>
          <w:pgSz w:w="11900" w:h="16838" w:orient="portrait"/>
          <w:cols w:equalWidth="0" w:num="1">
            <w:col w:w="11020"/>
          </w:cols>
          <w:pgMar w:left="440" w:top="117" w:right="4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Lloyd W. Howell, Jr.</w:t>
      </w:r>
    </w:p>
    <w:p>
      <w:pPr>
        <w:sectPr>
          <w:pgSz w:w="11900" w:h="16838" w:orient="portrait"/>
          <w:cols w:equalWidth="0" w:num="1">
            <w:col w:w="11020"/>
          </w:cols>
          <w:pgMar w:left="440" w:top="117" w:right="4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Anne T. Madden</w:t>
      </w:r>
    </w:p>
    <w:p>
      <w:pPr>
        <w:sectPr>
          <w:pgSz w:w="11900" w:h="16838" w:orient="portrait"/>
          <w:cols w:equalWidth="0" w:num="1">
            <w:col w:w="11020"/>
          </w:cols>
          <w:pgMar w:left="440" w:top="117" w:right="43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Tomislav Mihaljevic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Tomislav Mihaljevic</w:t>
      </w:r>
    </w:p>
    <w:p>
      <w:pPr>
        <w:sectPr>
          <w:pgSz w:w="11900" w:h="16838" w:orient="portrait"/>
          <w:cols w:equalWidth="0" w:num="1">
            <w:col w:w="11020"/>
          </w:cols>
          <w:pgMar w:left="440" w:top="117" w:right="4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Risa Lavizzo-Mourey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Risa Lavizzo-Mourey</w:t>
      </w:r>
    </w:p>
    <w:p>
      <w:pPr>
        <w:sectPr>
          <w:pgSz w:w="11900" w:h="16838" w:orient="portrait"/>
          <w:cols w:equalWidth="0" w:num="1">
            <w:col w:w="11020"/>
          </w:cols>
          <w:pgMar w:left="440" w:top="117" w:right="4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William J. Stromberg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William J. Stromberg</w:t>
      </w:r>
    </w:p>
    <w:p>
      <w:pPr>
        <w:sectPr>
          <w:pgSz w:w="11900" w:h="16838" w:orient="portrait"/>
          <w:cols w:equalWidth="0" w:num="1">
            <w:col w:w="11020"/>
          </w:cols>
          <w:pgMar w:left="440" w:top="117" w:right="43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8"/>
          <w:szCs w:val="18"/>
          <w:b w:val="1"/>
          <w:bCs w:val="1"/>
          <w:color w:val="auto"/>
        </w:rPr>
        <w:t>Exhibit 99.9</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Pursuant to Rule 438 of Regulation C promulgated under the Securities Act of 1933, as amended (the “Securities Act”), in connection with the Registration Statement on Form S-1 (the “Registration Statement”) of GE Healthcare Holding LLC, the undersigned hereby consents to being named and described as a person who will become a director of GE Healthcare Holding LLC (which will convert into a corporation and be renamed GE HealthCare Technologies Inc. prior to and in connection with the spin-off by General Electric Company (“GE”) of its wholly-owned subsidiary, GE Healthcare Holding LLC, which holds GE’s healthcare business)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consent.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Phoebe L.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Phoebe L. Yang</w:t>
      </w:r>
    </w:p>
    <w:p>
      <w:pPr>
        <w:sectPr>
          <w:pgSz w:w="11900" w:h="16838" w:orient="portrait"/>
          <w:cols w:equalWidth="0" w:num="1">
            <w:col w:w="11020"/>
          </w:cols>
          <w:pgMar w:left="440" w:top="117" w:right="43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S-1</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GE Healthcare Holding LLC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254" w:lineRule="exact"/>
        <w:rPr>
          <w:sz w:val="20"/>
          <w:szCs w:val="20"/>
          <w:color w:val="auto"/>
        </w:rPr>
      </w:pPr>
    </w:p>
    <w:tbl>
      <w:tblPr>
        <w:tblLayout w:type="fixed"/>
        <w:tblInd w:w="330"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9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5"/>
        </w:trPr>
        <w:tc>
          <w:tcPr>
            <w:tcW w:w="960" w:type="dxa"/>
            <w:vAlign w:val="bottom"/>
            <w:tcBorders>
              <w:left w:val="single" w:sz="8" w:color="auto"/>
              <w:bottom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color w:val="auto"/>
                <w:w w:val="95"/>
              </w:rPr>
              <w:t>Security Type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 xml:space="preserve">Registered </w:t>
            </w:r>
            <w:r>
              <w:rPr>
                <w:rFonts w:ascii="Times New Roman" w:cs="Times New Roman" w:eastAsia="Times New Roman" w:hAnsi="Times New Roman"/>
                <w:sz w:val="18"/>
                <w:szCs w:val="18"/>
                <w:color w:val="auto"/>
                <w:w w:val="93"/>
                <w:vertAlign w:val="superscript"/>
              </w:rPr>
              <w:t>(1)</w:t>
            </w:r>
          </w:p>
        </w:tc>
        <w:tc>
          <w:tcPr>
            <w:tcW w:w="6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89"/>
              </w:rPr>
              <w:t xml:space="preserve">Unit </w:t>
            </w:r>
            <w:r>
              <w:rPr>
                <w:rFonts w:ascii="Times New Roman" w:cs="Times New Roman" w:eastAsia="Times New Roman" w:hAnsi="Times New Roman"/>
                <w:sz w:val="18"/>
                <w:szCs w:val="18"/>
                <w:color w:val="auto"/>
                <w:w w:val="89"/>
                <w:vertAlign w:val="superscript"/>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5"/>
        </w:trPr>
        <w:tc>
          <w:tcPr>
            <w:tcW w:w="960" w:type="dxa"/>
            <w:vAlign w:val="bottom"/>
            <w:tcBorders>
              <w:left w:val="single" w:sz="8" w:color="auto"/>
              <w:right w:val="single" w:sz="8" w:color="auto"/>
            </w:tcBorders>
          </w:tcPr>
          <w:p>
            <w:pPr>
              <w:jc w:val="center"/>
              <w:ind w:left="37"/>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Common stock, par</w:t>
            </w:r>
          </w:p>
        </w:tc>
        <w:tc>
          <w:tcPr>
            <w:tcW w:w="9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457(c) and</w:t>
            </w: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6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$0.01 per share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4"/>
              </w:rPr>
              <w:t>30,328</w:t>
            </w:r>
            <w:r>
              <w:rPr>
                <w:rFonts w:ascii="Times New Roman" w:cs="Times New Roman" w:eastAsia="Times New Roman" w:hAnsi="Times New Roman"/>
                <w:sz w:val="26"/>
                <w:szCs w:val="26"/>
                <w:color w:val="auto"/>
                <w:w w:val="94"/>
                <w:vertAlign w:val="superscript"/>
              </w:rPr>
              <w:t>(3)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$380,313.12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0.0001102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05"/>
        </w:trPr>
        <w:tc>
          <w:tcPr>
            <w:tcW w:w="960" w:type="dxa"/>
            <w:vAlign w:val="bottom"/>
            <w:tcBorders>
              <w:left w:val="single" w:sz="8" w:color="auto"/>
              <w:right w:val="single" w:sz="8" w:color="auto"/>
            </w:tcBorders>
          </w:tcPr>
          <w:p>
            <w:pPr>
              <w:jc w:val="center"/>
              <w:ind w:left="37"/>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Common stock, par</w:t>
            </w:r>
          </w:p>
        </w:tc>
        <w:tc>
          <w:tcPr>
            <w:tcW w:w="9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457(c) and</w:t>
            </w: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6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$0.01 per share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5"/>
              </w:rPr>
              <w:t>1,876,112</w:t>
            </w:r>
            <w:r>
              <w:rPr>
                <w:rFonts w:ascii="Times New Roman" w:cs="Times New Roman" w:eastAsia="Times New Roman" w:hAnsi="Times New Roman"/>
                <w:sz w:val="26"/>
                <w:szCs w:val="26"/>
                <w:color w:val="auto"/>
                <w:w w:val="95"/>
                <w:vertAlign w:val="superscript"/>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$23,526,444.48</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0.0001102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$2,592.61</w:t>
            </w:r>
          </w:p>
        </w:tc>
        <w:tc>
          <w:tcPr>
            <w:tcW w:w="0" w:type="dxa"/>
            <w:vAlign w:val="bottom"/>
          </w:tcPr>
          <w:p>
            <w:pPr>
              <w:spacing w:after="0"/>
              <w:rPr>
                <w:sz w:val="1"/>
                <w:szCs w:val="1"/>
                <w:color w:val="auto"/>
              </w:rPr>
            </w:pPr>
          </w:p>
        </w:tc>
      </w:tr>
      <w:tr>
        <w:trPr>
          <w:trHeight w:val="205"/>
        </w:trPr>
        <w:tc>
          <w:tcPr>
            <w:tcW w:w="960" w:type="dxa"/>
            <w:vAlign w:val="bottom"/>
            <w:tcBorders>
              <w:left w:val="single" w:sz="8" w:color="auto"/>
              <w:right w:val="single" w:sz="8" w:color="auto"/>
            </w:tcBorders>
          </w:tcPr>
          <w:p>
            <w:pPr>
              <w:jc w:val="center"/>
              <w:ind w:left="37"/>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Common stock, par</w:t>
            </w:r>
          </w:p>
        </w:tc>
        <w:tc>
          <w:tcPr>
            <w:tcW w:w="9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457(c) and</w:t>
            </w: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6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$0.01 per share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88"/>
              </w:rPr>
              <w:t>544</w:t>
            </w:r>
            <w:r>
              <w:rPr>
                <w:rFonts w:ascii="Times New Roman" w:cs="Times New Roman" w:eastAsia="Times New Roman" w:hAnsi="Times New Roman"/>
                <w:sz w:val="26"/>
                <w:szCs w:val="26"/>
                <w:color w:val="auto"/>
                <w:w w:val="88"/>
                <w:vertAlign w:val="superscript"/>
              </w:rPr>
              <w:t>(5)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$6,821.76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0.0001102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0" w:type="dxa"/>
            <w:vAlign w:val="bottom"/>
          </w:tcPr>
          <w:p>
            <w:pPr>
              <w:spacing w:after="0"/>
              <w:rPr>
                <w:sz w:val="1"/>
                <w:szCs w:val="1"/>
                <w:color w:val="auto"/>
              </w:rPr>
            </w:pPr>
          </w:p>
        </w:tc>
      </w:tr>
      <w:tr>
        <w:trPr>
          <w:trHeight w:val="232"/>
        </w:trPr>
        <w:tc>
          <w:tcPr>
            <w:tcW w:w="96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center"/>
              <w:ind w:left="97"/>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$23,913,579.36</w:t>
            </w: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$2,635.28</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center"/>
              <w:ind w:left="7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center"/>
              <w:ind w:left="97"/>
              <w:spacing w:after="0"/>
              <w:rPr>
                <w:sz w:val="20"/>
                <w:szCs w:val="20"/>
                <w:color w:val="auto"/>
              </w:rPr>
            </w:pPr>
            <w:r>
              <w:rPr>
                <w:rFonts w:ascii="Times New Roman" w:cs="Times New Roman" w:eastAsia="Times New Roman" w:hAnsi="Times New Roman"/>
                <w:sz w:val="18"/>
                <w:szCs w:val="18"/>
                <w:color w:val="auto"/>
                <w:w w:val="98"/>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$2,635.28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40" w:right="1680" w:hanging="428"/>
        <w:spacing w:after="0" w:line="253" w:lineRule="auto"/>
        <w:tabs>
          <w:tab w:leader="none" w:pos="18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this Registration Statement covers (i) such additional number of shares of common stock, par value $0.01 per share, of the Company (“Common Stock”) issuable upon stock splits, stock dividends, reclassifications, recapitalizations, combinations or similar events or (ii) such reduced number of shares of Common Stock in respect of any reverse stock splits, stock dividends, reclassifications, recapitalizations, combinations or similar events, in each case with respect to the shares of Common Stock being registered pursuant to this Registration Statement.</w:t>
      </w:r>
    </w:p>
    <w:p>
      <w:pPr>
        <w:spacing w:after="0" w:line="2" w:lineRule="exact"/>
        <w:rPr>
          <w:rFonts w:ascii="Times New Roman" w:cs="Times New Roman" w:eastAsia="Times New Roman" w:hAnsi="Times New Roman"/>
          <w:sz w:val="18"/>
          <w:szCs w:val="18"/>
          <w:color w:val="auto"/>
        </w:rPr>
      </w:pPr>
    </w:p>
    <w:p>
      <w:pPr>
        <w:ind w:left="1840" w:right="1380" w:hanging="428"/>
        <w:spacing w:after="0" w:line="250" w:lineRule="auto"/>
        <w:tabs>
          <w:tab w:leader="none" w:pos="18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and Rule 457(h) under the Securities Act based on the estimated book value of the Common Stock as of September 30, 2022, the latest practicable date.</w:t>
      </w:r>
    </w:p>
    <w:p>
      <w:pPr>
        <w:spacing w:after="0" w:line="1" w:lineRule="exact"/>
        <w:rPr>
          <w:rFonts w:ascii="Times New Roman" w:cs="Times New Roman" w:eastAsia="Times New Roman" w:hAnsi="Times New Roman"/>
          <w:sz w:val="18"/>
          <w:szCs w:val="18"/>
          <w:color w:val="auto"/>
        </w:rPr>
      </w:pPr>
    </w:p>
    <w:p>
      <w:pPr>
        <w:ind w:left="1840" w:right="1240" w:hanging="428"/>
        <w:spacing w:after="0" w:line="250" w:lineRule="auto"/>
        <w:tabs>
          <w:tab w:leader="none" w:pos="18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30,328 shares of Common Stock that may be acquired by participants in the GE HealthCare Technologies Inc. Mirror 2022 Long-Term Incentive Plan upon settlement of certain restricted stock unit awards (including any performance stock unit awards) that may become issuable pursuant to the GE HealthCare Technologies Inc. Mirror 2022 Long-Term Incentive Plan.</w:t>
      </w:r>
    </w:p>
    <w:p>
      <w:pPr>
        <w:spacing w:after="0" w:line="1" w:lineRule="exact"/>
        <w:rPr>
          <w:rFonts w:ascii="Times New Roman" w:cs="Times New Roman" w:eastAsia="Times New Roman" w:hAnsi="Times New Roman"/>
          <w:sz w:val="18"/>
          <w:szCs w:val="18"/>
          <w:color w:val="auto"/>
        </w:rPr>
      </w:pPr>
    </w:p>
    <w:p>
      <w:pPr>
        <w:ind w:left="1840" w:right="1240" w:hanging="428"/>
        <w:spacing w:after="0" w:line="250" w:lineRule="auto"/>
        <w:tabs>
          <w:tab w:leader="none" w:pos="18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1,876,112 shares of Common Stock that may be acquired by participants in the GE HealthCare Technologies Inc. Mirror 2007 Long-Term Incentive Plan upon settlement of certain restricted stock unit awards (including any performance stock unit awards) that may become issuable pursuant to the GE HealthCare Technologies Inc. Mirror 2007 Long-Term Incentive Plan.</w:t>
      </w:r>
    </w:p>
    <w:p>
      <w:pPr>
        <w:spacing w:after="0" w:line="1" w:lineRule="exact"/>
        <w:rPr>
          <w:rFonts w:ascii="Times New Roman" w:cs="Times New Roman" w:eastAsia="Times New Roman" w:hAnsi="Times New Roman"/>
          <w:sz w:val="18"/>
          <w:szCs w:val="18"/>
          <w:color w:val="auto"/>
        </w:rPr>
      </w:pPr>
    </w:p>
    <w:p>
      <w:pPr>
        <w:ind w:left="1840" w:right="1240" w:hanging="428"/>
        <w:spacing w:after="0" w:line="253" w:lineRule="auto"/>
        <w:tabs>
          <w:tab w:leader="none" w:pos="18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544 shares of Common Stock that may be acquired by participants in the GE HealthCare Technologies Inc. Mirror 1990 Long-Term Incentive Plan upon settlement of certain restricted stock unit awards (including any performance stock unit awards) that may become issuable pursuant to the GE HealthCare Technologies Inc. Mirror 1990 Long-Term Incentive Plan.</w:t>
      </w:r>
    </w:p>
    <w:sectPr>
      <w:pgSz w:w="11900" w:h="16838" w:orient="portrait"/>
      <w:cols w:equalWidth="0" w:num="1">
        <w:col w:w="10020"/>
      </w:cols>
      <w:pgMar w:left="1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1)"/>
      <w:numFmt w:val="lowerRoman"/>
      <w:start w:val="1"/>
    </w:lvl>
  </w:abstractNum>
  <w:abstractNum w:abstractNumId="2">
    <w:nsid w:val="3F07ACC3"/>
    <w:multiLevelType w:val="hybridMultilevel"/>
    <w:lvl w:ilvl="0">
      <w:lvlJc w:val="left"/>
      <w:lvlText w:val="•"/>
      <w:numFmt w:val="bullet"/>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lvl w:ilvl="1">
      <w:lvlJc w:val="left"/>
      <w:lvlText w:val="•"/>
      <w:numFmt w:val="bullet"/>
      <w:start w:val="1"/>
    </w:lvl>
  </w:abstractNum>
  <w:abstractNum w:abstractNumId="5">
    <w:nsid w:val="16CF80F1"/>
    <w:multiLevelType w:val="hybridMultilevel"/>
    <w:lvl w:ilvl="0">
      <w:lvlJc w:val="left"/>
      <w:lvlText w:val="•"/>
      <w:numFmt w:val="bullet"/>
      <w:start w:val="1"/>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
      <w:numFmt w:val="bullet"/>
      <w:start w:val="1"/>
    </w:lvl>
  </w:abstractNum>
  <w:abstractNum w:abstractNumId="8">
    <w:nsid w:val="F856867"/>
    <w:multiLevelType w:val="hybridMultilevel"/>
    <w:lvl w:ilvl="0">
      <w:lvlJc w:val="left"/>
      <w:lvlText w:val="(%1)"/>
      <w:numFmt w:val="lowerLetter"/>
      <w:start w:val="2"/>
    </w:lvl>
  </w:abstractNum>
  <w:abstractNum w:abstractNumId="9">
    <w:nsid w:val="11B1CC33"/>
    <w:multiLevelType w:val="hybridMultilevel"/>
    <w:lvl w:ilvl="0">
      <w:lvlJc w:val="left"/>
      <w:lvlText w:val="•"/>
      <w:numFmt w:val="bullet"/>
      <w:start w:val="1"/>
    </w:lvl>
  </w:abstractNum>
  <w:abstractNum w:abstractNumId="10">
    <w:nsid w:val="2E22FBB7"/>
    <w:multiLevelType w:val="hybridMultilevel"/>
    <w:lvl w:ilvl="0">
      <w:lvlJc w:val="left"/>
      <w:lvlText w:val="•"/>
      <w:numFmt w:val="bullet"/>
      <w:start w:val="1"/>
    </w:lvl>
  </w:abstractNum>
  <w:abstractNum w:abstractNumId="11">
    <w:nsid w:val="29934699"/>
    <w:multiLevelType w:val="hybridMultilevel"/>
    <w:lvl w:ilvl="0">
      <w:lvlJc w:val="left"/>
      <w:lvlText w:val="*"/>
      <w:numFmt w:val="bullet"/>
      <w:start w:val="1"/>
    </w:lvl>
    <w:lvl w:ilvl="1">
      <w:lvlJc w:val="left"/>
      <w:lvlText w:val="•"/>
      <w:numFmt w:val="bullet"/>
      <w:start w:val="1"/>
    </w:lvl>
  </w:abstractNum>
  <w:abstractNum w:abstractNumId="12">
    <w:nsid w:val="77485850"/>
    <w:multiLevelType w:val="hybridMultilevel"/>
    <w:lvl w:ilvl="0">
      <w:lvlJc w:val="left"/>
      <w:lvlText w:val="•"/>
      <w:numFmt w:val="bullet"/>
      <w:start w:val="1"/>
    </w:lvl>
  </w:abstractNum>
  <w:abstractNum w:abstractNumId="13">
    <w:nsid w:val="744939A3"/>
    <w:multiLevelType w:val="hybridMultilevel"/>
    <w:lvl w:ilvl="0">
      <w:lvlJc w:val="left"/>
      <w:lvlText w:val="•"/>
      <w:numFmt w:val="bullet"/>
      <w:start w:val="1"/>
    </w:lvl>
  </w:abstractNum>
  <w:abstractNum w:abstractNumId="14">
    <w:nsid w:val="4FA0D2E3"/>
    <w:multiLevelType w:val="hybridMultilevel"/>
    <w:lvl w:ilvl="0">
      <w:lvlJc w:val="left"/>
      <w:lvlText w:val="•"/>
      <w:numFmt w:val="bullet"/>
      <w:start w:val="1"/>
    </w:lvl>
  </w:abstractNum>
  <w:abstractNum w:abstractNumId="15">
    <w:nsid w:val="6B1D2C14"/>
    <w:multiLevelType w:val="hybridMultilevel"/>
    <w:lvl w:ilvl="0">
      <w:lvlJc w:val="left"/>
      <w:lvlText w:val="•"/>
      <w:numFmt w:val="bullet"/>
      <w:start w:val="1"/>
    </w:lvl>
  </w:abstractNum>
  <w:abstractNum w:abstractNumId="16">
    <w:nsid w:val="68B867D3"/>
    <w:multiLevelType w:val="hybridMultilevel"/>
    <w:lvl w:ilvl="0">
      <w:lvlJc w:val="left"/>
      <w:lvlText w:val="•"/>
      <w:numFmt w:val="bullet"/>
      <w:start w:val="1"/>
    </w:lvl>
  </w:abstractNum>
  <w:abstractNum w:abstractNumId="17">
    <w:nsid w:val="3F7F5DD9"/>
    <w:multiLevelType w:val="hybridMultilevel"/>
    <w:lvl w:ilvl="0">
      <w:lvlJc w:val="left"/>
      <w:lvlText w:val="•"/>
      <w:numFmt w:val="bullet"/>
      <w:start w:val="1"/>
    </w:lvl>
  </w:abstractNum>
  <w:abstractNum w:abstractNumId="18">
    <w:nsid w:val="2AE05A34"/>
    <w:multiLevelType w:val="hybridMultilevel"/>
    <w:lvl w:ilvl="0">
      <w:lvlJc w:val="left"/>
      <w:lvlText w:val="(%1)"/>
      <w:numFmt w:val="lowerLetter"/>
      <w:start w:val="1"/>
    </w:lvl>
  </w:abstractNum>
  <w:abstractNum w:abstractNumId="19">
    <w:nsid w:val="32794FF7"/>
    <w:multiLevelType w:val="hybridMultilevel"/>
    <w:lvl w:ilvl="0">
      <w:lvlJc w:val="left"/>
      <w:lvlText w:val="*"/>
      <w:numFmt w:val="bullet"/>
      <w:start w:val="1"/>
    </w:lvl>
  </w:abstractNum>
  <w:abstractNum w:abstractNumId="20">
    <w:nsid w:val="5454945E"/>
    <w:multiLevelType w:val="hybridMultilevel"/>
    <w:lvl w:ilvl="0">
      <w:lvlJc w:val="left"/>
      <w:lvlText w:val="(%1)"/>
      <w:numFmt w:val="lowerLetter"/>
      <w:start w:val="1"/>
    </w:lvl>
  </w:abstractNum>
  <w:abstractNum w:abstractNumId="21">
    <w:nsid w:val="4DEFDFA0"/>
    <w:multiLevelType w:val="hybridMultilevel"/>
    <w:lvl w:ilvl="0">
      <w:lvlJc w:val="left"/>
      <w:lvlText w:val="(%1)"/>
      <w:numFmt w:val="lowerLetter"/>
      <w:start w:val="1"/>
    </w:lvl>
  </w:abstractNum>
  <w:abstractNum w:abstractNumId="22">
    <w:nsid w:val="2123D5F2"/>
    <w:multiLevelType w:val="hybridMultilevel"/>
    <w:lvl w:ilvl="0">
      <w:lvlJc w:val="left"/>
      <w:lvlText w:val="*"/>
      <w:numFmt w:val="bullet"/>
      <w:start w:val="1"/>
    </w:lvl>
  </w:abstractNum>
  <w:abstractNum w:abstractNumId="23">
    <w:nsid w:val="135B8110"/>
    <w:multiLevelType w:val="hybridMultilevel"/>
    <w:lvl w:ilvl="0">
      <w:lvlJc w:val="left"/>
      <w:lvlText w:val="(%1)"/>
      <w:numFmt w:val="lowerLetter"/>
      <w:start w:val="1"/>
    </w:lvl>
  </w:abstractNum>
  <w:abstractNum w:abstractNumId="24">
    <w:nsid w:val="94927A8"/>
    <w:multiLevelType w:val="hybridMultilevel"/>
    <w:lvl w:ilvl="0">
      <w:lvlJc w:val="left"/>
      <w:lvlText w:val="*"/>
      <w:numFmt w:val="bullet"/>
      <w:start w:val="1"/>
    </w:lvl>
  </w:abstractNum>
  <w:abstractNum w:abstractNumId="25">
    <w:nsid w:val="DCDF8F6"/>
    <w:multiLevelType w:val="hybridMultilevel"/>
    <w:lvl w:ilvl="0">
      <w:lvlJc w:val="left"/>
      <w:lvlText w:val="(%1)"/>
      <w:numFmt w:val="lowerLetter"/>
      <w:start w:val="1"/>
    </w:lvl>
  </w:abstractNum>
  <w:abstractNum w:abstractNumId="26">
    <w:nsid w:val="52D7B105"/>
    <w:multiLevelType w:val="hybridMultilevel"/>
    <w:lvl w:ilvl="0">
      <w:lvlJc w:val="left"/>
      <w:lvlText w:val="*"/>
      <w:numFmt w:val="bullet"/>
      <w:start w:val="1"/>
    </w:lvl>
  </w:abstractNum>
  <w:abstractNum w:abstractNumId="27">
    <w:nsid w:val="2E8A6394"/>
    <w:multiLevelType w:val="hybridMultilevel"/>
    <w:lvl w:ilvl="0">
      <w:lvlJc w:val="left"/>
      <w:lvlText w:val="(%1)"/>
      <w:numFmt w:val="lowerLetter"/>
      <w:start w:val="1"/>
    </w:lvl>
  </w:abstractNum>
  <w:abstractNum w:abstractNumId="28">
    <w:nsid w:val="24E60401"/>
    <w:multiLevelType w:val="hybridMultilevel"/>
    <w:lvl w:ilvl="0">
      <w:lvlJc w:val="left"/>
      <w:lvlText w:val="*"/>
      <w:numFmt w:val="bullet"/>
      <w:start w:val="1"/>
    </w:lvl>
  </w:abstractNum>
  <w:abstractNum w:abstractNumId="29">
    <w:nsid w:val="2A6AD9BE"/>
    <w:multiLevelType w:val="hybridMultilevel"/>
    <w:lvl w:ilvl="0">
      <w:lvlJc w:val="left"/>
      <w:lvlText w:val="•"/>
      <w:numFmt w:val="bullet"/>
      <w:start w:val="1"/>
    </w:lvl>
  </w:abstractNum>
  <w:abstractNum w:abstractNumId="30">
    <w:nsid w:val="BAAC1B4"/>
    <w:multiLevelType w:val="hybridMultilevel"/>
    <w:lvl w:ilvl="0">
      <w:lvlJc w:val="left"/>
      <w:lvlText w:val="•"/>
      <w:numFmt w:val="bullet"/>
      <w:start w:val="1"/>
    </w:lvl>
  </w:abstractNum>
  <w:abstractNum w:abstractNumId="31">
    <w:nsid w:val="36B2ACBC"/>
    <w:multiLevelType w:val="hybridMultilevel"/>
    <w:lvl w:ilvl="0">
      <w:lvlJc w:val="left"/>
      <w:lvlText w:val="•"/>
      <w:numFmt w:val="bullet"/>
      <w:start w:val="1"/>
    </w:lvl>
  </w:abstractNum>
  <w:abstractNum w:abstractNumId="32">
    <w:nsid w:val="779D8544"/>
    <w:multiLevelType w:val="hybridMultilevel"/>
    <w:lvl w:ilvl="0">
      <w:lvlJc w:val="left"/>
      <w:lvlText w:val="•"/>
      <w:numFmt w:val="bullet"/>
      <w:start w:val="1"/>
    </w:lvl>
  </w:abstractNum>
  <w:abstractNum w:abstractNumId="33">
    <w:nsid w:val="4AB26E78"/>
    <w:multiLevelType w:val="hybridMultilevel"/>
    <w:lvl w:ilvl="0">
      <w:lvlJc w:val="left"/>
      <w:lvlText w:val="(%1)"/>
      <w:numFmt w:val="lowerRoman"/>
      <w:start w:val="5"/>
    </w:lvl>
  </w:abstractNum>
  <w:abstractNum w:abstractNumId="34">
    <w:nsid w:val="21FAA2FA"/>
    <w:multiLevelType w:val="hybridMultilevel"/>
    <w:lvl w:ilvl="0">
      <w:lvlJc w:val="left"/>
      <w:lvlText w:val="•"/>
      <w:numFmt w:val="bullet"/>
      <w:start w:val="1"/>
    </w:lvl>
  </w:abstractNum>
  <w:abstractNum w:abstractNumId="35">
    <w:nsid w:val="5451CF49"/>
    <w:multiLevelType w:val="hybridMultilevel"/>
    <w:lvl w:ilvl="0">
      <w:lvlJc w:val="left"/>
      <w:lvlText w:val="•"/>
      <w:numFmt w:val="bullet"/>
      <w:start w:val="1"/>
    </w:lvl>
  </w:abstractNum>
  <w:abstractNum w:abstractNumId="36">
    <w:nsid w:val="6181EF69"/>
    <w:multiLevelType w:val="hybridMultilevel"/>
    <w:lvl w:ilvl="0">
      <w:lvlJc w:val="left"/>
      <w:lvlText w:val="•"/>
      <w:numFmt w:val="bullet"/>
      <w:start w:val="1"/>
    </w:lvl>
  </w:abstractNum>
  <w:abstractNum w:abstractNumId="37">
    <w:nsid w:val="3E6400E6"/>
    <w:multiLevelType w:val="hybridMultilevel"/>
    <w:lvl w:ilvl="0">
      <w:lvlJc w:val="left"/>
      <w:lvlText w:val="•"/>
      <w:numFmt w:val="bullet"/>
      <w:start w:val="1"/>
    </w:lvl>
  </w:abstractNum>
  <w:abstractNum w:abstractNumId="38">
    <w:nsid w:val="14217E23"/>
    <w:multiLevelType w:val="hybridMultilevel"/>
    <w:lvl w:ilvl="0">
      <w:lvlJc w:val="left"/>
      <w:lvlText w:val="(%1)"/>
      <w:numFmt w:val="lowerRoman"/>
      <w:start w:val="2"/>
    </w:lvl>
  </w:abstractNum>
  <w:abstractNum w:abstractNumId="39">
    <w:nsid w:val="710757D0"/>
    <w:multiLevelType w:val="hybridMultilevel"/>
    <w:lvl w:ilvl="0">
      <w:lvlJc w:val="left"/>
      <w:lvlText w:val="•"/>
      <w:numFmt w:val="bullet"/>
      <w:start w:val="1"/>
    </w:lvl>
  </w:abstractNum>
  <w:abstractNum w:abstractNumId="40">
    <w:nsid w:val="5015CD1A"/>
    <w:multiLevelType w:val="hybridMultilevel"/>
    <w:lvl w:ilvl="0">
      <w:lvlJc w:val="left"/>
      <w:lvlText w:val="•"/>
      <w:numFmt w:val="bullet"/>
      <w:start w:val="1"/>
    </w:lvl>
  </w:abstractNum>
  <w:abstractNum w:abstractNumId="41">
    <w:nsid w:val="424479DA"/>
    <w:multiLevelType w:val="hybridMultilevel"/>
    <w:lvl w:ilvl="0">
      <w:lvlJc w:val="left"/>
      <w:lvlText w:val="•"/>
      <w:numFmt w:val="bullet"/>
      <w:start w:val="1"/>
    </w:lvl>
  </w:abstractNum>
  <w:abstractNum w:abstractNumId="42">
    <w:nsid w:val="1A9A9E69"/>
    <w:multiLevelType w:val="hybridMultilevel"/>
    <w:lvl w:ilvl="0">
      <w:lvlJc w:val="left"/>
      <w:lvlText w:val="•"/>
      <w:numFmt w:val="bullet"/>
      <w:start w:val="1"/>
    </w:lvl>
  </w:abstractNum>
  <w:abstractNum w:abstractNumId="43">
    <w:nsid w:val="475E256A"/>
    <w:multiLevelType w:val="hybridMultilevel"/>
    <w:lvl w:ilvl="0">
      <w:lvlJc w:val="left"/>
      <w:lvlText w:val="(%1)"/>
      <w:numFmt w:val="decimal"/>
      <w:start w:val="1"/>
    </w:lvl>
  </w:abstractNum>
  <w:abstractNum w:abstractNumId="44">
    <w:nsid w:val="368DB37E"/>
    <w:multiLevelType w:val="hybridMultilevel"/>
    <w:lvl w:ilvl="0">
      <w:lvlJc w:val="left"/>
      <w:lvlText w:val="•"/>
      <w:numFmt w:val="bullet"/>
      <w:start w:val="1"/>
    </w:lvl>
  </w:abstractNum>
  <w:abstractNum w:abstractNumId="45">
    <w:nsid w:val="6A3B714C"/>
    <w:multiLevelType w:val="hybridMultilevel"/>
    <w:lvl w:ilvl="0">
      <w:lvlJc w:val="left"/>
      <w:lvlText w:val="(%1)"/>
      <w:numFmt w:val="lowerLetter"/>
      <w:start w:val="1"/>
    </w:lvl>
  </w:abstractNum>
  <w:abstractNum w:abstractNumId="46">
    <w:nsid w:val="327B517E"/>
    <w:multiLevelType w:val="hybridMultilevel"/>
    <w:lvl w:ilvl="0">
      <w:lvlJc w:val="left"/>
      <w:lvlText w:val="(%1)"/>
      <w:numFmt w:val="lowerLetter"/>
      <w:start w:val="3"/>
    </w:lvl>
  </w:abstractNum>
  <w:abstractNum w:abstractNumId="47">
    <w:nsid w:val="1F461B51"/>
    <w:multiLevelType w:val="hybridMultilevel"/>
    <w:lvl w:ilvl="0">
      <w:lvlJc w:val="left"/>
      <w:lvlText w:val="(%1)"/>
      <w:numFmt w:val="lowerLetter"/>
      <w:start w:val="4"/>
    </w:lvl>
  </w:abstractNum>
  <w:abstractNum w:abstractNumId="48">
    <w:nsid w:val="29BACF25"/>
    <w:multiLevelType w:val="hybridMultilevel"/>
    <w:lvl w:ilvl="0">
      <w:lvlJc w:val="left"/>
      <w:lvlText w:val="(%1)"/>
      <w:numFmt w:val="lowerLetter"/>
      <w:start w:val="7"/>
    </w:lvl>
  </w:abstractNum>
  <w:abstractNum w:abstractNumId="49">
    <w:nsid w:val="5D5BABB3"/>
    <w:multiLevelType w:val="hybridMultilevel"/>
    <w:lvl w:ilvl="0">
      <w:lvlJc w:val="left"/>
      <w:lvlText w:val="(%1)"/>
      <w:numFmt w:val="lowerRoman"/>
      <w:start w:val="1"/>
    </w:lvl>
  </w:abstractNum>
  <w:abstractNum w:abstractNumId="50">
    <w:nsid w:val="51BF6B48"/>
    <w:multiLevelType w:val="hybridMultilevel"/>
    <w:lvl w:ilvl="0">
      <w:lvlJc w:val="left"/>
      <w:lvlText w:val="(%1)"/>
      <w:numFmt w:val="lowerLetter"/>
      <w:start w:val="10"/>
    </w:lvl>
  </w:abstractNum>
  <w:abstractNum w:abstractNumId="51">
    <w:nsid w:val="7E0F6384"/>
    <w:multiLevelType w:val="hybridMultilevel"/>
    <w:lvl w:ilvl="0">
      <w:lvlJc w:val="left"/>
      <w:lvlText w:val="(%1)"/>
      <w:numFmt w:val="lowerLetter"/>
      <w:start w:val="11"/>
    </w:lvl>
  </w:abstractNum>
  <w:abstractNum w:abstractNumId="52">
    <w:nsid w:val="2B4B8B53"/>
    <w:multiLevelType w:val="hybridMultilevel"/>
    <w:lvl w:ilvl="0">
      <w:lvlJc w:val="left"/>
      <w:lvlText w:val="(%1)"/>
      <w:numFmt w:val="lowerLetter"/>
      <w:start w:val="12"/>
    </w:lvl>
  </w:abstractNum>
  <w:abstractNum w:abstractNumId="53">
    <w:nsid w:val="72E3413A"/>
    <w:multiLevelType w:val="hybridMultilevel"/>
    <w:lvl w:ilvl="0">
      <w:lvlJc w:val="left"/>
      <w:lvlText w:val="(%1)"/>
      <w:numFmt w:val="lowerLetter"/>
      <w:start w:val="15"/>
    </w:lvl>
  </w:abstractNum>
  <w:abstractNum w:abstractNumId="54">
    <w:nsid w:val="116AE494"/>
    <w:multiLevelType w:val="hybridMultilevel"/>
    <w:lvl w:ilvl="0">
      <w:lvlJc w:val="left"/>
      <w:lvlText w:val="(%1)"/>
      <w:numFmt w:val="lowerLetter"/>
      <w:start w:val="16"/>
    </w:lvl>
  </w:abstractNum>
  <w:abstractNum w:abstractNumId="55">
    <w:nsid w:val="3494B2FB"/>
    <w:multiLevelType w:val="hybridMultilevel"/>
    <w:lvl w:ilvl="0">
      <w:lvlJc w:val="left"/>
      <w:lvlText w:val="•"/>
      <w:numFmt w:val="bullet"/>
      <w:start w:val="1"/>
    </w:lvl>
  </w:abstractNum>
  <w:abstractNum w:abstractNumId="56">
    <w:nsid w:val="B13A31"/>
    <w:multiLevelType w:val="hybridMultilevel"/>
    <w:lvl w:ilvl="0">
      <w:lvlJc w:val="left"/>
      <w:lvlText w:val="*"/>
      <w:numFmt w:val="bullet"/>
      <w:start w:val="1"/>
    </w:lvl>
  </w:abstractNum>
  <w:abstractNum w:abstractNumId="57">
    <w:nsid w:val="64429599"/>
    <w:multiLevelType w:val="hybridMultilevel"/>
    <w:lvl w:ilvl="0">
      <w:lvlJc w:val="left"/>
      <w:lvlText w:val="*"/>
      <w:numFmt w:val="bullet"/>
      <w:start w:val="1"/>
    </w:lvl>
  </w:abstractNum>
  <w:abstractNum w:abstractNumId="58">
    <w:nsid w:val="631F1690"/>
    <w:multiLevelType w:val="hybridMultilevel"/>
    <w:lvl w:ilvl="0">
      <w:lvlJc w:val="left"/>
      <w:lvlText w:val="*"/>
      <w:numFmt w:val="bullet"/>
      <w:start w:val="1"/>
    </w:lvl>
  </w:abstractNum>
  <w:abstractNum w:abstractNumId="59">
    <w:nsid w:val="25973E32"/>
    <w:multiLevelType w:val="hybridMultilevel"/>
    <w:lvl w:ilvl="0">
      <w:lvlJc w:val="left"/>
      <w:lvlText w:val="*"/>
      <w:numFmt w:val="bullet"/>
      <w:start w:val="1"/>
    </w:lvl>
  </w:abstractNum>
  <w:abstractNum w:abstractNumId="60">
    <w:nsid w:val="EAD6F57"/>
    <w:multiLevelType w:val="hybridMultilevel"/>
    <w:lvl w:ilvl="0">
      <w:lvlJc w:val="left"/>
      <w:lvlText w:val="*"/>
      <w:numFmt w:val="bullet"/>
      <w:start w:val="1"/>
    </w:lvl>
  </w:abstractNum>
  <w:abstractNum w:abstractNumId="61">
    <w:nsid w:val="6EC9D844"/>
    <w:multiLevelType w:val="hybridMultilevel"/>
    <w:lvl w:ilvl="0">
      <w:lvlJc w:val="left"/>
      <w:lvlText w:val="(%1)"/>
      <w:numFmt w:val="lowerLetter"/>
      <w:start w:val="1"/>
    </w:lvl>
  </w:abstractNum>
  <w:abstractNum w:abstractNumId="62">
    <w:nsid w:val="5C49EAEE"/>
    <w:multiLevelType w:val="hybridMultilevel"/>
    <w:lvl w:ilvl="0">
      <w:lvlJc w:val="left"/>
      <w:lvlText w:val="(%1)"/>
      <w:numFmt w:val="lowerLetter"/>
      <w:start w:val="1"/>
    </w:lvl>
  </w:abstractNum>
  <w:abstractNum w:abstractNumId="63">
    <w:nsid w:val="64AF49B"/>
    <w:multiLevelType w:val="hybridMultilevel"/>
    <w:lvl w:ilvl="0">
      <w:lvlJc w:val="left"/>
      <w:lvlText w:val="•"/>
      <w:numFmt w:val="bullet"/>
      <w:start w:val="1"/>
    </w:lvl>
  </w:abstractNum>
  <w:abstractNum w:abstractNumId="64">
    <w:nsid w:val="397C46BC"/>
    <w:multiLevelType w:val="hybridMultilevel"/>
    <w:lvl w:ilvl="0">
      <w:lvlJc w:val="left"/>
      <w:lvlText w:val="*"/>
      <w:numFmt w:val="bullet"/>
      <w:start w:val="1"/>
    </w:lvl>
    <w:lvl w:ilvl="1">
      <w:lvlJc w:val="left"/>
      <w:lvlText w:val="•"/>
      <w:numFmt w:val="bullet"/>
      <w:start w:val="1"/>
    </w:lvl>
  </w:abstractNum>
  <w:abstractNum w:abstractNumId="65">
    <w:nsid w:val="7E448DE9"/>
    <w:multiLevelType w:val="hybridMultilevel"/>
    <w:lvl w:ilvl="0">
      <w:lvlJc w:val="left"/>
      <w:lvlText w:val="*"/>
      <w:numFmt w:val="bullet"/>
      <w:start w:val="1"/>
    </w:lvl>
    <w:lvl w:ilvl="1">
      <w:lvlJc w:val="left"/>
      <w:lvlText w:val="•"/>
      <w:numFmt w:val="bullet"/>
      <w:start w:val="1"/>
    </w:lvl>
  </w:abstractNum>
  <w:abstractNum w:abstractNumId="66">
    <w:nsid w:val="5A9CC3E5"/>
    <w:multiLevelType w:val="hybridMultilevel"/>
    <w:lvl w:ilvl="0">
      <w:lvlJc w:val="left"/>
      <w:lvlText w:val="•"/>
      <w:numFmt w:val="bullet"/>
      <w:start w:val="1"/>
    </w:lvl>
  </w:abstractNum>
  <w:abstractNum w:abstractNumId="67">
    <w:nsid w:val="1AFE3625"/>
    <w:multiLevelType w:val="hybridMultilevel"/>
    <w:lvl w:ilvl="0">
      <w:lvlJc w:val="left"/>
      <w:lvlText w:val="•"/>
      <w:numFmt w:val="bullet"/>
      <w:start w:val="1"/>
    </w:lvl>
  </w:abstractNum>
  <w:abstractNum w:abstractNumId="68">
    <w:nsid w:val="3CA88ECF"/>
    <w:multiLevelType w:val="hybridMultilevel"/>
    <w:lvl w:ilvl="0">
      <w:lvlJc w:val="left"/>
      <w:lvlText w:val="(%1)"/>
      <w:numFmt w:val="lowerLetter"/>
      <w:start w:val="1"/>
    </w:lvl>
  </w:abstractNum>
  <w:abstractNum w:abstractNumId="69">
    <w:nsid w:val="6EBE4208"/>
    <w:multiLevelType w:val="hybridMultilevel"/>
    <w:lvl w:ilvl="0">
      <w:lvlJc w:val="left"/>
      <w:lvlText w:val="(%1)"/>
      <w:numFmt w:val="lowerLetter"/>
      <w:start w:val="1"/>
    </w:lvl>
  </w:abstractNum>
  <w:abstractNum w:abstractNumId="70">
    <w:nsid w:val="C058DF5"/>
    <w:multiLevelType w:val="hybridMultilevel"/>
    <w:lvl w:ilvl="0">
      <w:lvlJc w:val="left"/>
      <w:lvlText w:val="*"/>
      <w:numFmt w:val="bullet"/>
      <w:start w:val="1"/>
    </w:lvl>
  </w:abstractNum>
  <w:abstractNum w:abstractNumId="71">
    <w:nsid w:val="CBE5BE9"/>
    <w:multiLevelType w:val="hybridMultilevel"/>
    <w:lvl w:ilvl="0">
      <w:lvlJc w:val="left"/>
      <w:lvlText w:val="•"/>
      <w:numFmt w:val="bullet"/>
      <w:start w:val="1"/>
    </w:lvl>
  </w:abstractNum>
  <w:abstractNum w:abstractNumId="72">
    <w:nsid w:val="3102BBE2"/>
    <w:multiLevelType w:val="hybridMultilevel"/>
    <w:lvl w:ilvl="0">
      <w:lvlJc w:val="left"/>
      <w:lvlText w:val="•"/>
      <w:numFmt w:val="bullet"/>
      <w:start w:val="1"/>
    </w:lvl>
  </w:abstractNum>
  <w:abstractNum w:abstractNumId="73">
    <w:nsid w:val="26A02C5E"/>
    <w:multiLevelType w:val="hybridMultilevel"/>
    <w:lvl w:ilvl="0">
      <w:lvlJc w:val="left"/>
      <w:lvlText w:val="*"/>
      <w:numFmt w:val="bullet"/>
      <w:start w:val="1"/>
    </w:lvl>
    <w:lvl w:ilvl="1">
      <w:lvlJc w:val="left"/>
      <w:lvlText w:val="•"/>
      <w:numFmt w:val="bullet"/>
      <w:start w:val="1"/>
    </w:lvl>
  </w:abstractNum>
  <w:abstractNum w:abstractNumId="74">
    <w:nsid w:val="541C8153"/>
    <w:multiLevelType w:val="hybridMultilevel"/>
    <w:lvl w:ilvl="0">
      <w:lvlJc w:val="left"/>
      <w:lvlText w:val="•"/>
      <w:numFmt w:val="bullet"/>
      <w:start w:val="1"/>
    </w:lvl>
  </w:abstractNum>
  <w:abstractNum w:abstractNumId="75">
    <w:nsid w:val="67906F60"/>
    <w:multiLevelType w:val="hybridMultilevel"/>
    <w:lvl w:ilvl="0">
      <w:lvlJc w:val="left"/>
      <w:lvlText w:val="•"/>
      <w:numFmt w:val="bullet"/>
      <w:start w:val="1"/>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
      <w:numFmt w:val="bullet"/>
      <w:start w:val="1"/>
    </w:lvl>
  </w:abstractNum>
  <w:abstractNum w:abstractNumId="78">
    <w:nsid w:val="6D68AB2"/>
    <w:multiLevelType w:val="hybridMultilevel"/>
    <w:lvl w:ilvl="0">
      <w:lvlJc w:val="left"/>
      <w:lvlText w:val="•"/>
      <w:numFmt w:val="bullet"/>
      <w:start w:val="1"/>
    </w:lvl>
  </w:abstractNum>
  <w:abstractNum w:abstractNumId="79">
    <w:nsid w:val="3A966CD0"/>
    <w:multiLevelType w:val="hybridMultilevel"/>
    <w:lvl w:ilvl="0">
      <w:lvlJc w:val="left"/>
      <w:lvlText w:val="•"/>
      <w:numFmt w:val="bullet"/>
      <w:start w:val="1"/>
    </w:lvl>
  </w:abstractNum>
  <w:abstractNum w:abstractNumId="80">
    <w:nsid w:val="63F37E85"/>
    <w:multiLevelType w:val="hybridMultilevel"/>
    <w:lvl w:ilvl="0">
      <w:lvlJc w:val="left"/>
      <w:lvlText w:val="*"/>
      <w:numFmt w:val="bullet"/>
      <w:start w:val="1"/>
    </w:lvl>
  </w:abstractNum>
  <w:abstractNum w:abstractNumId="81">
    <w:nsid w:val="5895F5FA"/>
    <w:multiLevelType w:val="hybridMultilevel"/>
    <w:lvl w:ilvl="0">
      <w:lvlJc w:val="left"/>
      <w:lvlText w:val="•"/>
      <w:numFmt w:val="bullet"/>
      <w:start w:val="1"/>
    </w:lvl>
  </w:abstractNum>
  <w:abstractNum w:abstractNumId="82">
    <w:nsid w:val="38A5D054"/>
    <w:multiLevelType w:val="hybridMultilevel"/>
    <w:lvl w:ilvl="0">
      <w:lvlJc w:val="left"/>
      <w:lvlText w:val="•"/>
      <w:numFmt w:val="bullet"/>
      <w:start w:val="1"/>
    </w:lvl>
  </w:abstractNum>
  <w:abstractNum w:abstractNumId="83">
    <w:nsid w:val="F3F09D8"/>
    <w:multiLevelType w:val="hybridMultilevel"/>
    <w:lvl w:ilvl="0">
      <w:lvlJc w:val="left"/>
      <w:lvlText w:val="*"/>
      <w:numFmt w:val="bullet"/>
      <w:start w:val="1"/>
    </w:lvl>
  </w:abstractNum>
  <w:abstractNum w:abstractNumId="84">
    <w:nsid w:val="4B793735"/>
    <w:multiLevelType w:val="hybridMultilevel"/>
    <w:lvl w:ilvl="0">
      <w:lvlJc w:val="left"/>
      <w:lvlText w:val="(%1)"/>
      <w:numFmt w:val="lowerLetter"/>
      <w:start w:val="1"/>
    </w:lvl>
  </w:abstractNum>
  <w:abstractNum w:abstractNumId="85">
    <w:nsid w:val="4A10B4E8"/>
    <w:multiLevelType w:val="hybridMultilevel"/>
    <w:lvl w:ilvl="0">
      <w:lvlJc w:val="left"/>
      <w:lvlText w:val="•"/>
      <w:numFmt w:val="bullet"/>
      <w:start w:val="1"/>
    </w:lvl>
  </w:abstractNum>
  <w:abstractNum w:abstractNumId="86">
    <w:nsid w:val="43D3BCD4"/>
    <w:multiLevelType w:val="hybridMultilevel"/>
    <w:lvl w:ilvl="0">
      <w:lvlJc w:val="left"/>
      <w:lvlText w:val="•"/>
      <w:numFmt w:val="bullet"/>
      <w:start w:val="1"/>
    </w:lvl>
  </w:abstractNum>
  <w:abstractNum w:abstractNumId="87">
    <w:nsid w:val="4C2A7166"/>
    <w:multiLevelType w:val="hybridMultilevel"/>
    <w:lvl w:ilvl="0">
      <w:lvlJc w:val="left"/>
      <w:lvlText w:val="•"/>
      <w:numFmt w:val="bullet"/>
      <w:start w:val="1"/>
    </w:lvl>
  </w:abstractNum>
  <w:abstractNum w:abstractNumId="88">
    <w:nsid w:val="2E534A82"/>
    <w:multiLevelType w:val="hybridMultilevel"/>
    <w:lvl w:ilvl="0">
      <w:lvlJc w:val="left"/>
      <w:lvlText w:val="(%1)"/>
      <w:numFmt w:val="lowerLetter"/>
      <w:start w:val="1"/>
    </w:lvl>
  </w:abstractNum>
  <w:abstractNum w:abstractNumId="89">
    <w:nsid w:val="26F2D364"/>
    <w:multiLevelType w:val="hybridMultilevel"/>
    <w:lvl w:ilvl="0">
      <w:lvlJc w:val="left"/>
      <w:lvlText w:val="•"/>
      <w:numFmt w:val="bullet"/>
      <w:start w:val="1"/>
    </w:lvl>
  </w:abstractNum>
  <w:abstractNum w:abstractNumId="90">
    <w:nsid w:val="71C1AF98"/>
    <w:multiLevelType w:val="hybridMultilevel"/>
    <w:lvl w:ilvl="0">
      <w:lvlJc w:val="left"/>
      <w:lvlText w:val="*"/>
      <w:numFmt w:val="bullet"/>
      <w:start w:val="1"/>
    </w:lvl>
    <w:lvl w:ilvl="1">
      <w:lvlJc w:val="left"/>
      <w:lvlText w:val="•"/>
      <w:numFmt w:val="bullet"/>
      <w:start w:val="1"/>
    </w:lvl>
  </w:abstractNum>
  <w:abstractNum w:abstractNumId="91">
    <w:nsid w:val="3D00B9D9"/>
    <w:multiLevelType w:val="hybridMultilevel"/>
    <w:lvl w:ilvl="0">
      <w:lvlJc w:val="left"/>
      <w:lvlText w:val="•"/>
      <w:numFmt w:val="bullet"/>
      <w:start w:val="1"/>
    </w:lvl>
  </w:abstractNum>
  <w:abstractNum w:abstractNumId="92">
    <w:nsid w:val="15BCABA8"/>
    <w:multiLevelType w:val="hybridMultilevel"/>
    <w:lvl w:ilvl="0">
      <w:lvlJc w:val="left"/>
      <w:lvlText w:val="•"/>
      <w:numFmt w:val="bullet"/>
      <w:start w:val="1"/>
    </w:lvl>
  </w:abstractNum>
  <w:abstractNum w:abstractNumId="93">
    <w:nsid w:val="4E0B9A87"/>
    <w:multiLevelType w:val="hybridMultilevel"/>
    <w:lvl w:ilvl="0">
      <w:lvlJc w:val="left"/>
      <w:lvlText w:val="•"/>
      <w:numFmt w:val="bullet"/>
      <w:start w:val="1"/>
    </w:lvl>
  </w:abstractNum>
  <w:abstractNum w:abstractNumId="94">
    <w:nsid w:val="434BAE75"/>
    <w:multiLevelType w:val="hybridMultilevel"/>
    <w:lvl w:ilvl="0">
      <w:lvlJc w:val="left"/>
      <w:lvlText w:val="•"/>
      <w:numFmt w:val="bullet"/>
      <w:start w:val="1"/>
    </w:lvl>
  </w:abstractNum>
  <w:abstractNum w:abstractNumId="95">
    <w:nsid w:val="4F38F265"/>
    <w:multiLevelType w:val="hybridMultilevel"/>
    <w:lvl w:ilvl="0">
      <w:lvlJc w:val="left"/>
      <w:lvlText w:val="(%1)"/>
      <w:numFmt w:val="lowerLetter"/>
      <w:start w:val="1"/>
    </w:lvl>
  </w:abstractNum>
  <w:abstractNum w:abstractNumId="96">
    <w:nsid w:val="4C502870"/>
    <w:multiLevelType w:val="hybridMultilevel"/>
    <w:lvl w:ilvl="0">
      <w:lvlJc w:val="left"/>
      <w:lvlText w:val="(%1)"/>
      <w:numFmt w:val="lowerLetter"/>
      <w:start w:val="1"/>
    </w:lvl>
  </w:abstractNum>
  <w:abstractNum w:abstractNumId="97">
    <w:nsid w:val="1DE8725A"/>
    <w:multiLevelType w:val="hybridMultilevel"/>
    <w:lvl w:ilvl="0">
      <w:lvlJc w:val="left"/>
      <w:lvlText w:val="(%1)"/>
      <w:numFmt w:val="lowerLetter"/>
      <w:start w:val="1"/>
    </w:lvl>
  </w:abstractNum>
  <w:abstractNum w:abstractNumId="98">
    <w:nsid w:val="6A37288A"/>
    <w:multiLevelType w:val="hybridMultilevel"/>
    <w:lvl w:ilvl="0">
      <w:lvlJc w:val="left"/>
      <w:lvlText w:val="(%1)"/>
      <w:numFmt w:val="lowerLetter"/>
      <w:start w:val="1"/>
    </w:lvl>
  </w:abstractNum>
  <w:abstractNum w:abstractNumId="99">
    <w:nsid w:val="8F8B73F"/>
    <w:multiLevelType w:val="hybridMultilevel"/>
    <w:lvl w:ilvl="0">
      <w:lvlJc w:val="left"/>
      <w:lvlText w:val="(%1)"/>
      <w:numFmt w:val="lowerLetter"/>
      <w:start w:val="1"/>
    </w:lvl>
  </w:abstractNum>
  <w:abstractNum w:abstractNumId="100">
    <w:nsid w:val="CA6B462"/>
    <w:multiLevelType w:val="hybridMultilevel"/>
    <w:lvl w:ilvl="0">
      <w:lvlJc w:val="left"/>
      <w:lvlText w:val="(%1)"/>
      <w:numFmt w:val="lowerLetter"/>
      <w:start w:val="1"/>
    </w:lvl>
  </w:abstractNum>
  <w:abstractNum w:abstractNumId="101">
    <w:nsid w:val="763CB680"/>
    <w:multiLevelType w:val="hybridMultilevel"/>
    <w:lvl w:ilvl="0">
      <w:lvlJc w:val="left"/>
      <w:lvlText w:val="(%1)"/>
      <w:numFmt w:val="lowerLetter"/>
      <w:start w:val="1"/>
    </w:lvl>
  </w:abstractNum>
  <w:abstractNum w:abstractNumId="102">
    <w:nsid w:val="15B71329"/>
    <w:multiLevelType w:val="hybridMultilevel"/>
    <w:lvl w:ilvl="0">
      <w:lvlJc w:val="left"/>
      <w:lvlText w:val="(%1)"/>
      <w:numFmt w:val="lowerLetter"/>
      <w:start w:val="1"/>
    </w:lvl>
  </w:abstractNum>
  <w:abstractNum w:abstractNumId="103">
    <w:nsid w:val="3DA97044"/>
    <w:multiLevelType w:val="hybridMultilevel"/>
    <w:lvl w:ilvl="0">
      <w:lvlJc w:val="left"/>
      <w:lvlText w:val="*"/>
      <w:numFmt w:val="bullet"/>
      <w:start w:val="1"/>
    </w:lvl>
  </w:abstractNum>
  <w:abstractNum w:abstractNumId="104">
    <w:nsid w:val="1CDCE2DE"/>
    <w:multiLevelType w:val="hybridMultilevel"/>
    <w:lvl w:ilvl="0">
      <w:lvlJc w:val="left"/>
      <w:lvlText w:val="•"/>
      <w:numFmt w:val="bullet"/>
      <w:start w:val="1"/>
    </w:lvl>
  </w:abstractNum>
  <w:abstractNum w:abstractNumId="105">
    <w:nsid w:val="69D3947C"/>
    <w:multiLevelType w:val="hybridMultilevel"/>
    <w:lvl w:ilvl="0">
      <w:lvlJc w:val="left"/>
      <w:lvlText w:val="•"/>
      <w:numFmt w:val="bullet"/>
      <w:start w:val="1"/>
    </w:lvl>
  </w:abstractNum>
  <w:abstractNum w:abstractNumId="106">
    <w:nsid w:val="2539DFA5"/>
    <w:multiLevelType w:val="hybridMultilevel"/>
    <w:lvl w:ilvl="0">
      <w:lvlJc w:val="left"/>
      <w:lvlText w:val="*"/>
      <w:numFmt w:val="bullet"/>
      <w:start w:val="1"/>
    </w:lvl>
  </w:abstractNum>
  <w:abstractNum w:abstractNumId="107">
    <w:nsid w:val="2DB88089"/>
    <w:multiLevelType w:val="hybridMultilevel"/>
    <w:lvl w:ilvl="0">
      <w:lvlJc w:val="left"/>
      <w:lvlText w:val="*"/>
      <w:numFmt w:val="bullet"/>
      <w:start w:val="1"/>
    </w:lvl>
    <w:lvl w:ilvl="1">
      <w:lvlJc w:val="left"/>
      <w:lvlText w:val="•"/>
      <w:numFmt w:val="bullet"/>
      <w:start w:val="1"/>
    </w:lvl>
  </w:abstractNum>
  <w:abstractNum w:abstractNumId="108">
    <w:nsid w:val="706B674E"/>
    <w:multiLevelType w:val="hybridMultilevel"/>
    <w:lvl w:ilvl="0">
      <w:lvlJc w:val="left"/>
      <w:lvlText w:val="•"/>
      <w:numFmt w:val="bullet"/>
      <w:start w:val="1"/>
    </w:lvl>
  </w:abstractNum>
  <w:abstractNum w:abstractNumId="109">
    <w:nsid w:val="2C106A57"/>
    <w:multiLevelType w:val="hybridMultilevel"/>
    <w:lvl w:ilvl="0">
      <w:lvlJc w:val="left"/>
      <w:lvlText w:val="•"/>
      <w:numFmt w:val="bullet"/>
      <w:start w:val="1"/>
    </w:lvl>
  </w:abstractNum>
  <w:abstractNum w:abstractNumId="110">
    <w:nsid w:val="684EED59"/>
    <w:multiLevelType w:val="hybridMultilevel"/>
    <w:lvl w:ilvl="0">
      <w:lvlJc w:val="left"/>
      <w:lvlText w:val="*"/>
      <w:numFmt w:val="bullet"/>
      <w:start w:val="1"/>
    </w:lvl>
  </w:abstractNum>
  <w:abstractNum w:abstractNumId="111">
    <w:nsid w:val="545EE5D3"/>
    <w:multiLevelType w:val="hybridMultilevel"/>
    <w:lvl w:ilvl="0">
      <w:lvlJc w:val="left"/>
      <w:lvlText w:val="*"/>
      <w:numFmt w:val="bullet"/>
      <w:start w:val="1"/>
    </w:lvl>
  </w:abstractNum>
  <w:abstractNum w:abstractNumId="112">
    <w:nsid w:val="4A66051"/>
    <w:multiLevelType w:val="hybridMultilevel"/>
    <w:lvl w:ilvl="0">
      <w:lvlJc w:val="left"/>
      <w:lvlText w:val="*"/>
      <w:numFmt w:val="bullet"/>
      <w:start w:val="1"/>
    </w:lvl>
  </w:abstractNum>
  <w:abstractNum w:abstractNumId="113">
    <w:nsid w:val="20F4BDAD"/>
    <w:multiLevelType w:val="hybridMultilevel"/>
    <w:lvl w:ilvl="0">
      <w:lvlJc w:val="left"/>
      <w:lvlText w:val="*"/>
      <w:numFmt w:val="bullet"/>
      <w:start w:val="1"/>
    </w:lvl>
  </w:abstractNum>
  <w:abstractNum w:abstractNumId="114">
    <w:nsid w:val="639DEFAC"/>
    <w:multiLevelType w:val="hybridMultilevel"/>
    <w:lvl w:ilvl="0">
      <w:lvlJc w:val="left"/>
      <w:lvlText w:val="(%1)"/>
      <w:numFmt w:val="lowerLetter"/>
      <w:start w:val="1"/>
    </w:lvl>
  </w:abstractNum>
  <w:abstractNum w:abstractNumId="115">
    <w:nsid w:val="501F9786"/>
    <w:multiLevelType w:val="hybridMultilevel"/>
    <w:lvl w:ilvl="0">
      <w:lvlJc w:val="left"/>
      <w:lvlText w:val="*"/>
      <w:numFmt w:val="bullet"/>
      <w:start w:val="1"/>
    </w:lvl>
  </w:abstractNum>
  <w:abstractNum w:abstractNumId="116">
    <w:nsid w:val="6B057295"/>
    <w:multiLevelType w:val="hybridMultilevel"/>
    <w:lvl w:ilvl="0">
      <w:lvlJc w:val="left"/>
      <w:lvlText w:val="•"/>
      <w:numFmt w:val="bullet"/>
      <w:start w:val="1"/>
    </w:lvl>
  </w:abstractNum>
  <w:abstractNum w:abstractNumId="117">
    <w:nsid w:val="2771AC80"/>
    <w:multiLevelType w:val="hybridMultilevel"/>
    <w:lvl w:ilvl="0">
      <w:lvlJc w:val="left"/>
      <w:lvlText w:val="•"/>
      <w:numFmt w:val="bullet"/>
      <w:start w:val="1"/>
    </w:lvl>
  </w:abstractNum>
  <w:abstractNum w:abstractNumId="118">
    <w:nsid w:val="1C4A08EC"/>
    <w:multiLevelType w:val="hybridMultilevel"/>
    <w:lvl w:ilvl="0">
      <w:lvlJc w:val="left"/>
      <w:lvlText w:val="•"/>
      <w:numFmt w:val="bullet"/>
      <w:start w:val="1"/>
    </w:lvl>
  </w:abstractNum>
  <w:abstractNum w:abstractNumId="119">
    <w:nsid w:val="1958BD17"/>
    <w:multiLevelType w:val="hybridMultilevel"/>
    <w:lvl w:ilvl="0">
      <w:lvlJc w:val="left"/>
      <w:lvlText w:val="*"/>
      <w:numFmt w:val="bullet"/>
      <w:start w:val="1"/>
    </w:lvl>
  </w:abstractNum>
  <w:abstractNum w:abstractNumId="120">
    <w:nsid w:val="4E647FE4"/>
    <w:multiLevelType w:val="hybridMultilevel"/>
    <w:lvl w:ilvl="0">
      <w:lvlJc w:val="left"/>
      <w:lvlText w:val="•"/>
      <w:numFmt w:val="bullet"/>
      <w:start w:val="1"/>
    </w:lvl>
  </w:abstractNum>
  <w:abstractNum w:abstractNumId="121">
    <w:nsid w:val="E0BB885"/>
    <w:multiLevelType w:val="hybridMultilevel"/>
    <w:lvl w:ilvl="0">
      <w:lvlJc w:val="left"/>
      <w:lvlText w:val="•"/>
      <w:numFmt w:val="bullet"/>
      <w:start w:val="1"/>
    </w:lvl>
  </w:abstractNum>
  <w:abstractNum w:abstractNumId="122">
    <w:nsid w:val="565976F1"/>
    <w:multiLevelType w:val="hybridMultilevel"/>
    <w:lvl w:ilvl="0">
      <w:lvlJc w:val="left"/>
      <w:lvlText w:val="•"/>
      <w:numFmt w:val="bullet"/>
      <w:start w:val="1"/>
    </w:lvl>
  </w:abstractNum>
  <w:abstractNum w:abstractNumId="123">
    <w:nsid w:val="64212B8C"/>
    <w:multiLevelType w:val="hybridMultilevel"/>
    <w:lvl w:ilvl="0">
      <w:lvlJc w:val="left"/>
      <w:lvlText w:val="•"/>
      <w:numFmt w:val="bullet"/>
      <w:start w:val="1"/>
    </w:lvl>
  </w:abstractNum>
  <w:abstractNum w:abstractNumId="124">
    <w:nsid w:val="5C17530C"/>
    <w:multiLevelType w:val="hybridMultilevel"/>
    <w:lvl w:ilvl="0">
      <w:lvlJc w:val="left"/>
      <w:lvlText w:val="•"/>
      <w:numFmt w:val="bullet"/>
      <w:start w:val="1"/>
    </w:lvl>
  </w:abstractNum>
  <w:abstractNum w:abstractNumId="125">
    <w:nsid w:val="19A52566"/>
    <w:multiLevelType w:val="hybridMultilevel"/>
    <w:lvl w:ilvl="0">
      <w:lvlJc w:val="left"/>
      <w:lvlText w:val="•"/>
      <w:numFmt w:val="bullet"/>
      <w:start w:val="1"/>
    </w:lvl>
  </w:abstractNum>
  <w:abstractNum w:abstractNumId="126">
    <w:nsid w:val="335A1DF1"/>
    <w:multiLevelType w:val="hybridMultilevel"/>
    <w:lvl w:ilvl="0">
      <w:lvlJc w:val="left"/>
      <w:lvlText w:val="•"/>
      <w:numFmt w:val="bullet"/>
      <w:start w:val="1"/>
    </w:lvl>
  </w:abstractNum>
  <w:abstractNum w:abstractNumId="127">
    <w:nsid w:val="28677B7C"/>
    <w:multiLevelType w:val="hybridMultilevel"/>
    <w:lvl w:ilvl="0">
      <w:lvlJc w:val="left"/>
      <w:lvlText w:val="•"/>
      <w:numFmt w:val="bullet"/>
      <w:start w:val="1"/>
    </w:lvl>
  </w:abstractNum>
  <w:abstractNum w:abstractNumId="128">
    <w:nsid w:val="378D97C0"/>
    <w:multiLevelType w:val="hybridMultilevel"/>
    <w:lvl w:ilvl="0">
      <w:lvlJc w:val="left"/>
      <w:lvlText w:val="•"/>
      <w:numFmt w:val="bullet"/>
      <w:start w:val="1"/>
    </w:lvl>
  </w:abstractNum>
  <w:abstractNum w:abstractNumId="129">
    <w:nsid w:val="1D91467C"/>
    <w:multiLevelType w:val="hybridMultilevel"/>
    <w:lvl w:ilvl="0">
      <w:lvlJc w:val="left"/>
      <w:lvlText w:val="•"/>
      <w:numFmt w:val="bullet"/>
      <w:start w:val="1"/>
    </w:lvl>
  </w:abstractNum>
  <w:abstractNum w:abstractNumId="130">
    <w:nsid w:val="316032BB"/>
    <w:multiLevelType w:val="hybridMultilevel"/>
    <w:lvl w:ilvl="0">
      <w:lvlJc w:val="left"/>
      <w:lvlText w:val="•"/>
      <w:numFmt w:val="bullet"/>
      <w:start w:val="1"/>
    </w:lvl>
  </w:abstractNum>
  <w:abstractNum w:abstractNumId="131">
    <w:nsid w:val="44344C22"/>
    <w:multiLevelType w:val="hybridMultilevel"/>
    <w:lvl w:ilvl="0">
      <w:lvlJc w:val="left"/>
      <w:lvlText w:val="•"/>
      <w:numFmt w:val="bullet"/>
      <w:start w:val="1"/>
    </w:lvl>
  </w:abstractNum>
  <w:abstractNum w:abstractNumId="132">
    <w:nsid w:val="13CDFCFC"/>
    <w:multiLevelType w:val="hybridMultilevel"/>
    <w:lvl w:ilvl="0">
      <w:lvlJc w:val="left"/>
      <w:lvlText w:val="•"/>
      <w:numFmt w:val="bullet"/>
      <w:start w:val="1"/>
    </w:lvl>
  </w:abstractNum>
  <w:abstractNum w:abstractNumId="133">
    <w:nsid w:val="471745E4"/>
    <w:multiLevelType w:val="hybridMultilevel"/>
    <w:lvl w:ilvl="0">
      <w:lvlJc w:val="left"/>
      <w:lvlText w:val="•"/>
      <w:numFmt w:val="bullet"/>
      <w:start w:val="1"/>
    </w:lvl>
  </w:abstractNum>
  <w:abstractNum w:abstractNumId="134">
    <w:nsid w:val="1DDBC66"/>
    <w:multiLevelType w:val="hybridMultilevel"/>
    <w:lvl w:ilvl="0">
      <w:lvlJc w:val="left"/>
      <w:lvlText w:val="•"/>
      <w:numFmt w:val="bullet"/>
      <w:start w:val="1"/>
    </w:lvl>
  </w:abstractNum>
  <w:abstractNum w:abstractNumId="135">
    <w:nsid w:val="30AADFDA"/>
    <w:multiLevelType w:val="hybridMultilevel"/>
    <w:lvl w:ilvl="0">
      <w:lvlJc w:val="left"/>
      <w:lvlText w:val="•"/>
      <w:numFmt w:val="bullet"/>
      <w:start w:val="1"/>
    </w:lvl>
  </w:abstractNum>
  <w:abstractNum w:abstractNumId="136">
    <w:nsid w:val="30EADA61"/>
    <w:multiLevelType w:val="hybridMultilevel"/>
    <w:lvl w:ilvl="0">
      <w:lvlJc w:val="left"/>
      <w:lvlText w:val="•"/>
      <w:numFmt w:val="bullet"/>
      <w:start w:val="1"/>
    </w:lvl>
  </w:abstractNum>
  <w:abstractNum w:abstractNumId="137">
    <w:nsid w:val="27179C0B"/>
    <w:multiLevelType w:val="hybridMultilevel"/>
    <w:lvl w:ilvl="0">
      <w:lvlJc w:val="left"/>
      <w:lvlText w:val="•"/>
      <w:numFmt w:val="bullet"/>
      <w:start w:val="1"/>
    </w:lvl>
  </w:abstractNum>
  <w:abstractNum w:abstractNumId="138">
    <w:nsid w:val="5E636063"/>
    <w:multiLevelType w:val="hybridMultilevel"/>
    <w:lvl w:ilvl="0">
      <w:lvlJc w:val="left"/>
      <w:lvlText w:val="•"/>
      <w:numFmt w:val="bullet"/>
      <w:start w:val="1"/>
    </w:lvl>
  </w:abstractNum>
  <w:abstractNum w:abstractNumId="139">
    <w:nsid w:val="215641AF"/>
    <w:multiLevelType w:val="hybridMultilevel"/>
    <w:lvl w:ilvl="0">
      <w:lvlJc w:val="left"/>
      <w:lvlText w:val="•"/>
      <w:numFmt w:val="bullet"/>
      <w:start w:val="1"/>
    </w:lvl>
  </w:abstractNum>
  <w:abstractNum w:abstractNumId="140">
    <w:nsid w:val="53280662"/>
    <w:multiLevelType w:val="hybridMultilevel"/>
    <w:lvl w:ilvl="0">
      <w:lvlJc w:val="left"/>
      <w:lvlText w:val="•"/>
      <w:numFmt w:val="bullet"/>
      <w:start w:val="1"/>
    </w:lvl>
  </w:abstractNum>
  <w:abstractNum w:abstractNumId="141">
    <w:nsid w:val="46B24DBC"/>
    <w:multiLevelType w:val="hybridMultilevel"/>
    <w:lvl w:ilvl="0">
      <w:lvlJc w:val="left"/>
      <w:lvlText w:val="•"/>
      <w:numFmt w:val="bullet"/>
      <w:start w:val="1"/>
    </w:lvl>
  </w:abstractNum>
  <w:abstractNum w:abstractNumId="142">
    <w:nsid w:val="75B52783"/>
    <w:multiLevelType w:val="hybridMultilevel"/>
    <w:lvl w:ilvl="0">
      <w:lvlJc w:val="left"/>
      <w:lvlText w:val="•"/>
      <w:numFmt w:val="bullet"/>
      <w:start w:val="1"/>
    </w:lvl>
  </w:abstractNum>
  <w:abstractNum w:abstractNumId="143">
    <w:nsid w:val="57CE66B4"/>
    <w:multiLevelType w:val="hybridMultilevel"/>
    <w:lvl w:ilvl="0">
      <w:lvlJc w:val="left"/>
      <w:lvlText w:val="•"/>
      <w:numFmt w:val="bullet"/>
      <w:start w:val="1"/>
    </w:lvl>
  </w:abstractNum>
  <w:abstractNum w:abstractNumId="144">
    <w:nsid w:val="67A70B69"/>
    <w:multiLevelType w:val="hybridMultilevel"/>
    <w:lvl w:ilvl="0">
      <w:lvlJc w:val="left"/>
      <w:lvlText w:val="•"/>
      <w:numFmt w:val="bullet"/>
      <w:start w:val="1"/>
    </w:lvl>
  </w:abstractNum>
  <w:abstractNum w:abstractNumId="145">
    <w:nsid w:val="5953172F"/>
    <w:multiLevelType w:val="hybridMultilevel"/>
    <w:lvl w:ilvl="0">
      <w:lvlJc w:val="left"/>
      <w:lvlText w:val="•"/>
      <w:numFmt w:val="bullet"/>
      <w:start w:val="1"/>
    </w:lvl>
  </w:abstractNum>
  <w:abstractNum w:abstractNumId="146">
    <w:nsid w:val="27EDFE3A"/>
    <w:multiLevelType w:val="hybridMultilevel"/>
    <w:lvl w:ilvl="0">
      <w:lvlJc w:val="left"/>
      <w:lvlText w:val="•"/>
      <w:numFmt w:val="bullet"/>
      <w:start w:val="1"/>
    </w:lvl>
  </w:abstractNum>
  <w:abstractNum w:abstractNumId="147">
    <w:nsid w:val="52AC7DFF"/>
    <w:multiLevelType w:val="hybridMultilevel"/>
    <w:lvl w:ilvl="0">
      <w:lvlJc w:val="left"/>
      <w:lvlText w:val="•"/>
      <w:numFmt w:val="bullet"/>
      <w:start w:val="1"/>
    </w:lvl>
  </w:abstractNum>
  <w:abstractNum w:abstractNumId="148">
    <w:nsid w:val="C4C3AF"/>
    <w:multiLevelType w:val="hybridMultilevel"/>
    <w:lvl w:ilvl="0">
      <w:lvlJc w:val="left"/>
      <w:lvlText w:val="*"/>
      <w:numFmt w:val="bullet"/>
      <w:start w:val="1"/>
    </w:lvl>
  </w:abstractNum>
  <w:abstractNum w:abstractNumId="149">
    <w:nsid w:val="44380727"/>
    <w:multiLevelType w:val="hybridMultilevel"/>
    <w:lvl w:ilvl="0">
      <w:lvlJc w:val="left"/>
      <w:lvlText w:val="(%1)"/>
      <w:numFmt w:val="decimal"/>
      <w:start w:val="1"/>
    </w:lvl>
  </w:abstractNum>
  <w:abstractNum w:abstractNumId="150">
    <w:nsid w:val="6C053B16"/>
    <w:multiLevelType w:val="hybridMultilevel"/>
    <w:lvl w:ilvl="0">
      <w:lvlJc w:val="left"/>
      <w:lvlText w:val="*"/>
      <w:numFmt w:val="bullet"/>
      <w:start w:val="1"/>
    </w:lvl>
  </w:abstractNum>
  <w:abstractNum w:abstractNumId="151">
    <w:nsid w:val="4F294393"/>
    <w:multiLevelType w:val="hybridMultilevel"/>
    <w:lvl w:ilvl="0">
      <w:lvlJc w:val="left"/>
      <w:lvlText w:val="•"/>
      <w:numFmt w:val="bullet"/>
      <w:start w:val="1"/>
    </w:lvl>
  </w:abstractNum>
  <w:abstractNum w:abstractNumId="152">
    <w:nsid w:val="5243BFAC"/>
    <w:multiLevelType w:val="hybridMultilevel"/>
    <w:lvl w:ilvl="0">
      <w:lvlJc w:val="left"/>
      <w:lvlText w:val="•"/>
      <w:numFmt w:val="bullet"/>
      <w:start w:val="1"/>
    </w:lvl>
  </w:abstractNum>
  <w:abstractNum w:abstractNumId="153">
    <w:nsid w:val="425EB207"/>
    <w:multiLevelType w:val="hybridMultilevel"/>
    <w:lvl w:ilvl="0">
      <w:lvlJc w:val="left"/>
      <w:lvlText w:val="(%1)"/>
      <w:numFmt w:val="decimal"/>
      <w:start w:val="1"/>
    </w:lvl>
  </w:abstractNum>
  <w:abstractNum w:abstractNumId="154">
    <w:nsid w:val="334A6F1F"/>
    <w:multiLevelType w:val="hybridMultilevel"/>
    <w:lvl w:ilvl="0">
      <w:lvlJc w:val="left"/>
      <w:lvlText w:val="(%1)"/>
      <w:numFmt w:val="decimal"/>
      <w:start w:val="4"/>
    </w:lvl>
  </w:abstractNum>
  <w:abstractNum w:abstractNumId="155">
    <w:nsid w:val="2E5B12B8"/>
    <w:multiLevelType w:val="hybridMultilevel"/>
    <w:lvl w:ilvl="0">
      <w:lvlJc w:val="left"/>
      <w:lvlText w:val="(%1)"/>
      <w:numFmt w:val="decimal"/>
      <w:start w:val="1"/>
    </w:lvl>
    <w:lvl w:ilvl="1">
      <w:lvlJc w:val="left"/>
      <w:lvlText w:val="•"/>
      <w:numFmt w:val="bullet"/>
      <w:start w:val="1"/>
    </w:lvl>
  </w:abstractNum>
  <w:abstractNum w:abstractNumId="156">
    <w:nsid w:val="5C03D76D"/>
    <w:multiLevelType w:val="hybridMultilevel"/>
    <w:lvl w:ilvl="0">
      <w:lvlJc w:val="left"/>
      <w:lvlText w:val="(%1)"/>
      <w:numFmt w:val="decimal"/>
      <w:start w:val="1"/>
    </w:lvl>
    <w:lvl w:ilvl="1">
      <w:lvlJc w:val="left"/>
      <w:lvlText w:val="•"/>
      <w:numFmt w:val="bullet"/>
      <w:start w:val="1"/>
    </w:lvl>
  </w:abstractNum>
  <w:abstractNum w:abstractNumId="157">
    <w:nsid w:val="66A48D11"/>
    <w:multiLevelType w:val="hybridMultilevel"/>
    <w:lvl w:ilvl="0">
      <w:lvlJc w:val="left"/>
      <w:lvlText w:val="(%1)"/>
      <w:numFmt w:val="decimal"/>
      <w:start w:val="1"/>
    </w:lvl>
  </w:abstractNum>
  <w:abstractNum w:abstractNumId="158">
    <w:nsid w:val="56C28E34"/>
    <w:multiLevelType w:val="hybridMultilevel"/>
    <w:lvl w:ilvl="0">
      <w:lvlJc w:val="left"/>
      <w:lvlText w:val="(%1)"/>
      <w:numFmt w:val="decimal"/>
      <w:start w:val="1"/>
    </w:lvl>
  </w:abstractNum>
  <w:abstractNum w:abstractNumId="159">
    <w:nsid w:val="13916F2D"/>
    <w:multiLevelType w:val="hybridMultilevel"/>
    <w:lvl w:ilvl="0">
      <w:lvlJc w:val="left"/>
      <w:lvlText w:val="(%1)"/>
      <w:numFmt w:val="decimal"/>
      <w:start w:val="1"/>
    </w:lvl>
  </w:abstractNum>
  <w:abstractNum w:abstractNumId="160">
    <w:nsid w:val="435D38D"/>
    <w:multiLevelType w:val="hybridMultilevel"/>
    <w:lvl w:ilvl="0">
      <w:lvlJc w:val="left"/>
      <w:lvlText w:val="•"/>
      <w:numFmt w:val="bullet"/>
      <w:start w:val="1"/>
    </w:lvl>
  </w:abstractNum>
  <w:abstractNum w:abstractNumId="161">
    <w:nsid w:val="822C0EF"/>
    <w:multiLevelType w:val="hybridMultilevel"/>
    <w:lvl w:ilvl="0">
      <w:lvlJc w:val="left"/>
      <w:lvlText w:val="•"/>
      <w:numFmt w:val="bullet"/>
      <w:start w:val="1"/>
    </w:lvl>
  </w:abstractNum>
  <w:abstractNum w:abstractNumId="162">
    <w:nsid w:val="57C5BB4F"/>
    <w:multiLevelType w:val="hybridMultilevel"/>
    <w:lvl w:ilvl="0">
      <w:lvlJc w:val="left"/>
      <w:lvlText w:val="*"/>
      <w:numFmt w:val="bullet"/>
      <w:start w:val="1"/>
    </w:lvl>
  </w:abstractNum>
  <w:abstractNum w:abstractNumId="163">
    <w:nsid w:val="1803D089"/>
    <w:multiLevelType w:val="hybridMultilevel"/>
    <w:lvl w:ilvl="0">
      <w:lvlJc w:val="left"/>
      <w:lvlText w:val="•"/>
      <w:numFmt w:val="bullet"/>
      <w:start w:val="1"/>
    </w:lvl>
  </w:abstractNum>
  <w:abstractNum w:abstractNumId="164">
    <w:nsid w:val="4F3A06D4"/>
    <w:multiLevelType w:val="hybridMultilevel"/>
    <w:lvl w:ilvl="0">
      <w:lvlJc w:val="left"/>
      <w:lvlText w:val="*"/>
      <w:numFmt w:val="bullet"/>
      <w:start w:val="1"/>
    </w:lvl>
  </w:abstractNum>
  <w:abstractNum w:abstractNumId="165">
    <w:nsid w:val="59A377B6"/>
    <w:multiLevelType w:val="hybridMultilevel"/>
    <w:lvl w:ilvl="0">
      <w:lvlJc w:val="left"/>
      <w:lvlText w:val="(%1)"/>
      <w:numFmt w:val="decimal"/>
      <w:start w:val="1"/>
    </w:lvl>
  </w:abstractNum>
  <w:abstractNum w:abstractNumId="166">
    <w:nsid w:val="48AEB063"/>
    <w:multiLevelType w:val="hybridMultilevel"/>
    <w:lvl w:ilvl="0">
      <w:lvlJc w:val="left"/>
      <w:lvlText w:val="•"/>
      <w:numFmt w:val="bullet"/>
      <w:start w:val="1"/>
    </w:lvl>
  </w:abstractNum>
  <w:abstractNum w:abstractNumId="167">
    <w:nsid w:val="24E135"/>
    <w:multiLevelType w:val="hybridMultilevel"/>
    <w:lvl w:ilvl="0">
      <w:lvlJc w:val="left"/>
      <w:lvlText w:val="•"/>
      <w:numFmt w:val="bullet"/>
      <w:start w:val="1"/>
    </w:lvl>
  </w:abstractNum>
  <w:abstractNum w:abstractNumId="168">
    <w:nsid w:val="BB13C1"/>
    <w:multiLevelType w:val="hybridMultilevel"/>
    <w:lvl w:ilvl="0">
      <w:lvlJc w:val="left"/>
      <w:lvlText w:val="•"/>
      <w:numFmt w:val="bullet"/>
      <w:start w:val="1"/>
    </w:lvl>
  </w:abstractNum>
  <w:abstractNum w:abstractNumId="169">
    <w:nsid w:val="271210C7"/>
    <w:multiLevelType w:val="hybridMultilevel"/>
    <w:lvl w:ilvl="0">
      <w:lvlJc w:val="left"/>
      <w:lvlText w:val="•"/>
      <w:numFmt w:val="bullet"/>
      <w:start w:val="1"/>
    </w:lvl>
    <w:lvl w:ilvl="1">
      <w:lvlJc w:val="left"/>
      <w:lvlText w:val="•"/>
      <w:numFmt w:val="bullet"/>
      <w:start w:val="1"/>
    </w:lvl>
  </w:abstractNum>
  <w:abstractNum w:abstractNumId="170">
    <w:nsid w:val="217B22E4"/>
    <w:multiLevelType w:val="hybridMultilevel"/>
    <w:lvl w:ilvl="0">
      <w:lvlJc w:val="left"/>
      <w:lvlText w:val="(%1)"/>
      <w:numFmt w:val="lowerLetter"/>
      <w:start w:val="1"/>
    </w:lvl>
  </w:abstractNum>
  <w:abstractNum w:abstractNumId="171">
    <w:nsid w:val="53E31A24"/>
    <w:multiLevelType w:val="hybridMultilevel"/>
    <w:lvl w:ilvl="0">
      <w:lvlJc w:val="left"/>
      <w:lvlText w:val="(%1)"/>
      <w:numFmt w:val="lowerLetter"/>
      <w:start w:val="2"/>
    </w:lvl>
  </w:abstractNum>
  <w:abstractNum w:abstractNumId="172">
    <w:nsid w:val="6DC45E83"/>
    <w:multiLevelType w:val="hybridMultilevel"/>
    <w:lvl w:ilvl="0">
      <w:lvlJc w:val="left"/>
      <w:lvlText w:val="(%1)"/>
      <w:numFmt w:val="lowerLetter"/>
      <w:start w:val="1"/>
    </w:lvl>
  </w:abstractNum>
  <w:abstractNum w:abstractNumId="173">
    <w:nsid w:val="17304A67"/>
    <w:multiLevelType w:val="hybridMultilevel"/>
    <w:lvl w:ilvl="0">
      <w:lvlJc w:val="left"/>
      <w:lvlText w:val="(%1)"/>
      <w:numFmt w:val="lowerLetter"/>
      <w:start w:val="1"/>
    </w:lvl>
  </w:abstractNum>
  <w:abstractNum w:abstractNumId="174">
    <w:nsid w:val="2BB180D8"/>
    <w:multiLevelType w:val="hybridMultilevel"/>
    <w:lvl w:ilvl="0">
      <w:lvlJc w:val="left"/>
      <w:lvlText w:val="(%1)"/>
      <w:numFmt w:val="lowerLetter"/>
      <w:start w:val="1"/>
    </w:lvl>
  </w:abstractNum>
  <w:abstractNum w:abstractNumId="175">
    <w:nsid w:val="556B69ED"/>
    <w:multiLevelType w:val="hybridMultilevel"/>
    <w:lvl w:ilvl="0">
      <w:lvlJc w:val="left"/>
      <w:lvlText w:val="(%1)"/>
      <w:numFmt w:val="lowerLetter"/>
      <w:start w:val="1"/>
    </w:lvl>
  </w:abstractNum>
  <w:abstractNum w:abstractNumId="176">
    <w:nsid w:val="70836196"/>
    <w:multiLevelType w:val="hybridMultilevel"/>
    <w:lvl w:ilvl="0">
      <w:lvlJc w:val="left"/>
      <w:lvlText w:val="(%1)"/>
      <w:numFmt w:val="lowerLetter"/>
      <w:start w:val="1"/>
    </w:lvl>
  </w:abstractNum>
  <w:abstractNum w:abstractNumId="177">
    <w:nsid w:val="539F7F12"/>
    <w:multiLevelType w:val="hybridMultilevel"/>
    <w:lvl w:ilvl="0">
      <w:lvlJc w:val="left"/>
      <w:lvlText w:val="(%1)"/>
      <w:numFmt w:val="lowerLetter"/>
      <w:start w:val="1"/>
    </w:lvl>
  </w:abstractNum>
  <w:abstractNum w:abstractNumId="178">
    <w:nsid w:val="2817E7EC"/>
    <w:multiLevelType w:val="hybridMultilevel"/>
    <w:lvl w:ilvl="0">
      <w:lvlJc w:val="left"/>
      <w:lvlText w:val="(%1)"/>
      <w:numFmt w:val="lowerLetter"/>
      <w:start w:val="1"/>
    </w:lvl>
  </w:abstractNum>
  <w:abstractNum w:abstractNumId="179">
    <w:nsid w:val="71482545"/>
    <w:multiLevelType w:val="hybridMultilevel"/>
    <w:lvl w:ilvl="0">
      <w:lvlJc w:val="left"/>
      <w:lvlText w:val="(%1)"/>
      <w:numFmt w:val="lowerLetter"/>
      <w:start w:val="1"/>
    </w:lvl>
  </w:abstractNum>
  <w:abstractNum w:abstractNumId="180">
    <w:nsid w:val="17D78639"/>
    <w:multiLevelType w:val="hybridMultilevel"/>
    <w:lvl w:ilvl="0">
      <w:lvlJc w:val="left"/>
      <w:lvlText w:val="•"/>
      <w:numFmt w:val="bullet"/>
      <w:start w:val="1"/>
    </w:lvl>
  </w:abstractNum>
  <w:abstractNum w:abstractNumId="181">
    <w:nsid w:val="141D2302"/>
    <w:multiLevelType w:val="hybridMultilevel"/>
    <w:lvl w:ilvl="0">
      <w:lvlJc w:val="left"/>
      <w:lvlText w:val="(%1)"/>
      <w:numFmt w:val="lowerLetter"/>
      <w:start w:val="1"/>
    </w:lvl>
  </w:abstractNum>
  <w:abstractNum w:abstractNumId="182">
    <w:nsid w:val="407168D8"/>
    <w:multiLevelType w:val="hybridMultilevel"/>
    <w:lvl w:ilvl="0">
      <w:lvlJc w:val="left"/>
      <w:lvlText w:val="(%1)"/>
      <w:numFmt w:val="lowerLetter"/>
      <w:start w:val="1"/>
    </w:lvl>
  </w:abstractNum>
  <w:abstractNum w:abstractNumId="183">
    <w:nsid w:val="6A1B45E5"/>
    <w:multiLevelType w:val="hybridMultilevel"/>
    <w:lvl w:ilvl="0">
      <w:lvlJc w:val="left"/>
      <w:lvlText w:val="(%1)"/>
      <w:numFmt w:val="lowerLetter"/>
      <w:start w:val="1"/>
    </w:lvl>
  </w:abstractNum>
  <w:abstractNum w:abstractNumId="184">
    <w:nsid w:val="567BD50A"/>
    <w:multiLevelType w:val="hybridMultilevel"/>
    <w:lvl w:ilvl="0">
      <w:lvlJc w:val="left"/>
      <w:lvlText w:val="(%1)"/>
      <w:numFmt w:val="lowerLetter"/>
      <w:start w:val="1"/>
    </w:lvl>
  </w:abstractNum>
  <w:abstractNum w:abstractNumId="185">
    <w:nsid w:val="73BBD7F8"/>
    <w:multiLevelType w:val="hybridMultilevel"/>
    <w:lvl w:ilvl="0">
      <w:lvlJc w:val="left"/>
      <w:lvlText w:val="(%1)"/>
      <w:numFmt w:val="lowerLetter"/>
      <w:start w:val="1"/>
    </w:lvl>
  </w:abstractNum>
  <w:abstractNum w:abstractNumId="186">
    <w:nsid w:val="1876589D"/>
    <w:multiLevelType w:val="hybridMultilevel"/>
    <w:lvl w:ilvl="0">
      <w:lvlJc w:val="left"/>
      <w:lvlText w:val="(%1)"/>
      <w:numFmt w:val="lowerLetter"/>
      <w:start w:val="1"/>
    </w:lvl>
  </w:abstractNum>
  <w:abstractNum w:abstractNumId="187">
    <w:nsid w:val="327FAC77"/>
    <w:multiLevelType w:val="hybridMultilevel"/>
    <w:lvl w:ilvl="0">
      <w:lvlJc w:val="left"/>
      <w:lvlText w:val="(%1)"/>
      <w:numFmt w:val="lowerLetter"/>
      <w:start w:val="1"/>
    </w:lvl>
  </w:abstractNum>
  <w:abstractNum w:abstractNumId="188">
    <w:nsid w:val="5A606509"/>
    <w:multiLevelType w:val="hybridMultilevel"/>
    <w:lvl w:ilvl="0">
      <w:lvlJc w:val="left"/>
      <w:lvlText w:val="(%1)"/>
      <w:numFmt w:val="lowerLetter"/>
      <w:start w:val="1"/>
    </w:lvl>
  </w:abstractNum>
  <w:abstractNum w:abstractNumId="189">
    <w:nsid w:val="6F38E6D1"/>
    <w:multiLevelType w:val="hybridMultilevel"/>
    <w:lvl w:ilvl="0">
      <w:lvlJc w:val="left"/>
      <w:lvlText w:val="(%1)"/>
      <w:numFmt w:val="lowerLetter"/>
      <w:start w:val="1"/>
    </w:lvl>
  </w:abstractNum>
  <w:abstractNum w:abstractNumId="190">
    <w:nsid w:val="46111BA5"/>
    <w:multiLevelType w:val="hybridMultilevel"/>
    <w:lvl w:ilvl="0">
      <w:lvlJc w:val="left"/>
      <w:lvlText w:val="(%1)"/>
      <w:numFmt w:val="lowerLetter"/>
      <w:start w:val="1"/>
    </w:lvl>
  </w:abstractNum>
  <w:abstractNum w:abstractNumId="191">
    <w:nsid w:val="5E963896"/>
    <w:multiLevelType w:val="hybridMultilevel"/>
    <w:lvl w:ilvl="0">
      <w:lvlJc w:val="left"/>
      <w:lvlText w:val="(%1)"/>
      <w:numFmt w:val="lowerLetter"/>
      <w:start w:val="1"/>
    </w:lvl>
  </w:abstractNum>
  <w:abstractNum w:abstractNumId="192">
    <w:nsid w:val="775BA7C1"/>
    <w:multiLevelType w:val="hybridMultilevel"/>
    <w:lvl w:ilvl="0">
      <w:lvlJc w:val="left"/>
      <w:lvlText w:val="(%1)"/>
      <w:numFmt w:val="lowerLetter"/>
      <w:start w:val="1"/>
    </w:lvl>
  </w:abstractNum>
  <w:abstractNum w:abstractNumId="193">
    <w:nsid w:val="1DD6D6F4"/>
    <w:multiLevelType w:val="hybridMultilevel"/>
    <w:lvl w:ilvl="0">
      <w:lvlJc w:val="left"/>
      <w:lvlText w:val="(%1)"/>
      <w:numFmt w:val="lowerLetter"/>
      <w:start w:val="1"/>
    </w:lvl>
  </w:abstractNum>
  <w:abstractNum w:abstractNumId="194">
    <w:nsid w:val="769A091F"/>
    <w:multiLevelType w:val="hybridMultilevel"/>
    <w:lvl w:ilvl="0">
      <w:lvlJc w:val="left"/>
      <w:lvlText w:val="(%1)"/>
      <w:numFmt w:val="lowerLetter"/>
      <w:start w:val="1"/>
    </w:lvl>
  </w:abstractNum>
  <w:abstractNum w:abstractNumId="195">
    <w:nsid w:val="4695AE95"/>
    <w:multiLevelType w:val="hybridMultilevel"/>
    <w:lvl w:ilvl="0">
      <w:lvlJc w:val="left"/>
      <w:lvlText w:val="(%1)"/>
      <w:numFmt w:val="lowerLetter"/>
      <w:start w:val="1"/>
    </w:lvl>
  </w:abstractNum>
  <w:abstractNum w:abstractNumId="196">
    <w:nsid w:val="777A4EAA"/>
    <w:multiLevelType w:val="hybridMultilevel"/>
    <w:lvl w:ilvl="0">
      <w:lvlJc w:val="left"/>
      <w:lvlText w:val="(%1)"/>
      <w:numFmt w:val="lowerLetter"/>
      <w:start w:val="1"/>
    </w:lvl>
  </w:abstractNum>
  <w:abstractNum w:abstractNumId="197">
    <w:nsid w:val="3F48B982"/>
    <w:multiLevelType w:val="hybridMultilevel"/>
    <w:lvl w:ilvl="0">
      <w:lvlJc w:val="left"/>
      <w:lvlText w:val="(%1)"/>
      <w:numFmt w:val="lowerLetter"/>
      <w:start w:val="1"/>
    </w:lvl>
  </w:abstractNum>
  <w:abstractNum w:abstractNumId="198">
    <w:nsid w:val="46BA8FCA"/>
    <w:multiLevelType w:val="hybridMultilevel"/>
    <w:lvl w:ilvl="0">
      <w:lvlJc w:val="left"/>
      <w:lvlText w:val="(%1)"/>
      <w:numFmt w:val="lowerLetter"/>
      <w:start w:val="1"/>
    </w:lvl>
  </w:abstractNum>
  <w:abstractNum w:abstractNumId="199">
    <w:nsid w:val="7835626C"/>
    <w:multiLevelType w:val="hybridMultilevel"/>
    <w:lvl w:ilvl="0">
      <w:lvlJc w:val="left"/>
      <w:lvlText w:val="(%1)"/>
      <w:numFmt w:val="lowerLetter"/>
      <w:start w:val="1"/>
    </w:lvl>
  </w:abstractNum>
  <w:abstractNum w:abstractNumId="200">
    <w:nsid w:val="665ACA49"/>
    <w:multiLevelType w:val="hybridMultilevel"/>
    <w:lvl w:ilvl="0">
      <w:lvlJc w:val="left"/>
      <w:lvlText w:val="(%1)"/>
      <w:numFmt w:val="lowerLetter"/>
      <w:start w:val="1"/>
    </w:lvl>
  </w:abstractNum>
  <w:abstractNum w:abstractNumId="201">
    <w:nsid w:val="6835B2AE"/>
    <w:multiLevelType w:val="hybridMultilevel"/>
    <w:lvl w:ilvl="0">
      <w:lvlJc w:val="left"/>
      <w:lvlText w:val="(%1)"/>
      <w:numFmt w:val="lowerLetter"/>
      <w:start w:val="1"/>
    </w:lvl>
  </w:abstractNum>
  <w:abstractNum w:abstractNumId="202">
    <w:nsid w:val="4C187C90"/>
    <w:multiLevelType w:val="hybridMultilevel"/>
    <w:lvl w:ilvl="0">
      <w:lvlJc w:val="left"/>
      <w:lvlText w:val="%1"/>
      <w:numFmt w:val="decimal"/>
      <w:start w:val="107"/>
    </w:lvl>
  </w:abstractNum>
  <w:abstractNum w:abstractNumId="203">
    <w:nsid w:val="541F28CD"/>
    <w:multiLevelType w:val="hybridMultilevel"/>
    <w:lvl w:ilvl="0">
      <w:lvlJc w:val="left"/>
      <w:lvlText w:val="(%1)"/>
      <w:numFmt w:val="lowerLetter"/>
      <w:start w:val="2"/>
    </w:lvl>
  </w:abstractNum>
  <w:abstractNum w:abstractNumId="204">
    <w:nsid w:val="7F65FD16"/>
    <w:multiLevelType w:val="hybridMultilevel"/>
    <w:lvl w:ilvl="0">
      <w:lvlJc w:val="left"/>
      <w:lvlText w:val="(%1)"/>
      <w:numFmt w:val="decimal"/>
      <w:start w:val="1"/>
    </w:lvl>
    <w:lvl w:ilvl="1">
      <w:lvlJc w:val="left"/>
      <w:lvlText w:val="(%2)"/>
      <w:numFmt w:val="lowerRoman"/>
      <w:start w:val="1"/>
    </w:lvl>
  </w:abstractNum>
  <w:abstractNum w:abstractNumId="205">
    <w:nsid w:val="77C9FD68"/>
    <w:multiLevelType w:val="hybridMultilevel"/>
    <w:lvl w:ilvl="0">
      <w:lvlJc w:val="left"/>
      <w:lvlText w:val="%1"/>
      <w:numFmt w:val="decimal"/>
      <w:start w:val="1"/>
    </w:lvl>
    <w:lvl w:ilvl="1">
      <w:lvlJc w:val="left"/>
      <w:lvlText w:val="(%2)"/>
      <w:numFmt w:val="lowerRoman"/>
      <w:start w:val="2"/>
    </w:lvl>
  </w:abstractNum>
  <w:abstractNum w:abstractNumId="206">
    <w:nsid w:val="298A92BA"/>
    <w:multiLevelType w:val="hybridMultilevel"/>
    <w:lvl w:ilvl="0">
      <w:lvlJc w:val="left"/>
      <w:lvlText w:val="(%1)"/>
      <w:numFmt w:val="decimal"/>
      <w:start w:val="2"/>
    </w:lvl>
    <w:lvl w:ilvl="1">
      <w:lvlJc w:val="left"/>
      <w:lvlText w:val="%2"/>
      <w:numFmt w:val="lowerRoman"/>
      <w:start w:val="1"/>
    </w:lvl>
  </w:abstractNum>
  <w:abstractNum w:abstractNumId="207">
    <w:nsid w:val="6FE95EAC"/>
    <w:multiLevelType w:val="hybridMultilevel"/>
    <w:lvl w:ilvl="0">
      <w:lvlJc w:val="left"/>
      <w:lvlText w:val="(%1)"/>
      <w:numFmt w:val="lowerRoman"/>
      <w:start w:val="1"/>
    </w:lvl>
  </w:abstractNum>
  <w:abstractNum w:abstractNumId="208">
    <w:nsid w:val="4B697C7A"/>
    <w:multiLevelType w:val="hybridMultilevel"/>
    <w:lvl w:ilvl="0">
      <w:lvlJc w:val="left"/>
      <w:lvlText w:val="(%1)"/>
      <w:numFmt w:val="lowerLetter"/>
      <w:start w:val="1"/>
    </w:lvl>
    <w:lvl w:ilvl="1">
      <w:lvlJc w:val="left"/>
      <w:lvlText w:val="(%2)"/>
      <w:numFmt w:val="lowerRoman"/>
      <w:start w:val="1"/>
    </w:lvl>
  </w:abstractNum>
  <w:abstractNum w:abstractNumId="209">
    <w:nsid w:val="51A27AA6"/>
    <w:multiLevelType w:val="hybridMultilevel"/>
    <w:lvl w:ilvl="0">
      <w:lvlJc w:val="left"/>
      <w:lvlText w:val="(%1)"/>
      <w:numFmt w:val="lowerLetter"/>
      <w:start w:val="7"/>
    </w:lvl>
    <w:lvl w:ilvl="1">
      <w:lvlJc w:val="left"/>
      <w:lvlText w:val="(%2)"/>
      <w:numFmt w:val="lowerRoman"/>
      <w:start w:val="1"/>
    </w:lvl>
  </w:abstractNum>
  <w:abstractNum w:abstractNumId="210">
    <w:nsid w:val="613183F2"/>
    <w:multiLevelType w:val="hybridMultilevel"/>
    <w:lvl w:ilvl="0">
      <w:lvlJc w:val="left"/>
      <w:lvlText w:val="(%1)"/>
      <w:numFmt w:val="lowerLetter"/>
      <w:start w:val="8"/>
    </w:lvl>
  </w:abstractNum>
  <w:abstractNum w:abstractNumId="211">
    <w:nsid w:val="634102B4"/>
    <w:multiLevelType w:val="hybridMultilevel"/>
    <w:lvl w:ilvl="0">
      <w:lvlJc w:val="left"/>
      <w:lvlText w:val="(%1)"/>
      <w:numFmt w:val="lowerLetter"/>
      <w:start w:val="15"/>
    </w:lvl>
  </w:abstractNum>
  <w:abstractNum w:abstractNumId="212">
    <w:nsid w:val="65BF9DA8"/>
    <w:multiLevelType w:val="hybridMultilevel"/>
    <w:lvl w:ilvl="0">
      <w:lvlJc w:val="left"/>
      <w:lvlText w:val="(%1)"/>
      <w:numFmt w:val="lowerLetter"/>
      <w:start w:val="24"/>
    </w:lvl>
  </w:abstractNum>
  <w:abstractNum w:abstractNumId="213">
    <w:nsid w:val="21A2ECCA"/>
    <w:multiLevelType w:val="hybridMultilevel"/>
    <w:lvl w:ilvl="0">
      <w:lvlJc w:val="left"/>
      <w:lvlText w:val="(%1)"/>
      <w:numFmt w:val="lowerLetter"/>
      <w:start w:val="27"/>
    </w:lvl>
  </w:abstractNum>
  <w:abstractNum w:abstractNumId="214">
    <w:nsid w:val="4D5C4899"/>
    <w:multiLevelType w:val="hybridMultilevel"/>
    <w:lvl w:ilvl="0">
      <w:lvlJc w:val="left"/>
      <w:lvlText w:val="(%1)"/>
      <w:numFmt w:val="lowerLetter"/>
      <w:start w:val="1"/>
    </w:lvl>
  </w:abstractNum>
  <w:abstractNum w:abstractNumId="215">
    <w:nsid w:val="3C3B72B2"/>
    <w:multiLevelType w:val="hybridMultilevel"/>
    <w:lvl w:ilvl="0">
      <w:lvlJc w:val="left"/>
      <w:lvlText w:val="1"/>
      <w:numFmt w:val="bullet"/>
      <w:start w:val="1"/>
    </w:lvl>
  </w:abstractNum>
  <w:abstractNum w:abstractNumId="216">
    <w:nsid w:val="155EC4C2"/>
    <w:multiLevelType w:val="hybridMultilevel"/>
    <w:lvl w:ilvl="0">
      <w:lvlJc w:val="left"/>
      <w:lvlText w:val="(%1)"/>
      <w:numFmt w:val="lowerLetter"/>
      <w:start w:val="3"/>
    </w:lvl>
  </w:abstractNum>
  <w:abstractNum w:abstractNumId="217">
    <w:nsid w:val="65D2A137"/>
    <w:multiLevelType w:val="hybridMultilevel"/>
    <w:lvl w:ilvl="0">
      <w:lvlJc w:val="left"/>
      <w:lvlText w:val="(%1)"/>
      <w:numFmt w:val="lowerLetter"/>
      <w:start w:val="1"/>
    </w:lvl>
    <w:lvl w:ilvl="1">
      <w:lvlJc w:val="left"/>
      <w:lvlText w:val="(%2)"/>
      <w:numFmt w:val="lowerLetter"/>
      <w:start w:val="9"/>
    </w:lvl>
  </w:abstractNum>
  <w:abstractNum w:abstractNumId="218">
    <w:nsid w:val="6EBB1F2A"/>
    <w:multiLevelType w:val="hybridMultilevel"/>
    <w:lvl w:ilvl="0">
      <w:lvlJc w:val="left"/>
      <w:lvlText w:val="2"/>
      <w:numFmt w:val="bullet"/>
      <w:start w:val="1"/>
    </w:lvl>
  </w:abstractNum>
  <w:abstractNum w:abstractNumId="219">
    <w:nsid w:val="6FBF29CB"/>
    <w:multiLevelType w:val="hybridMultilevel"/>
    <w:lvl w:ilvl="0">
      <w:lvlJc w:val="left"/>
      <w:lvlText w:val="(%1)"/>
      <w:numFmt w:val="lowerRoman"/>
      <w:start w:val="2"/>
    </w:lvl>
  </w:abstractNum>
  <w:abstractNum w:abstractNumId="220">
    <w:nsid w:val="550B8808"/>
    <w:multiLevelType w:val="hybridMultilevel"/>
    <w:lvl w:ilvl="0">
      <w:lvlJc w:val="left"/>
      <w:lvlText w:val="(%1)"/>
      <w:numFmt w:val="lowerLetter"/>
      <w:start w:val="3"/>
    </w:lvl>
  </w:abstractNum>
  <w:abstractNum w:abstractNumId="221">
    <w:nsid w:val="34CC3ACF"/>
    <w:multiLevelType w:val="hybridMultilevel"/>
    <w:lvl w:ilvl="0">
      <w:lvlJc w:val="left"/>
      <w:lvlText w:val="(%1)"/>
      <w:numFmt w:val="lowerLetter"/>
      <w:start w:val="1"/>
    </w:lvl>
  </w:abstractNum>
  <w:abstractNum w:abstractNumId="222">
    <w:nsid w:val="4E556261"/>
    <w:multiLevelType w:val="hybridMultilevel"/>
    <w:lvl w:ilvl="0">
      <w:lvlJc w:val="left"/>
      <w:lvlText w:val="(%1)"/>
      <w:numFmt w:val="lowerLetter"/>
      <w:start w:val="1"/>
    </w:lvl>
  </w:abstractNum>
  <w:abstractNum w:abstractNumId="223">
    <w:nsid w:val="4C672FC9"/>
    <w:multiLevelType w:val="hybridMultilevel"/>
    <w:lvl w:ilvl="0">
      <w:lvlJc w:val="left"/>
      <w:lvlText w:val="(%1)"/>
      <w:numFmt w:val="lowerLetter"/>
      <w:start w:val="2"/>
    </w:lvl>
  </w:abstractNum>
  <w:abstractNum w:abstractNumId="224">
    <w:nsid w:val="52A311C3"/>
    <w:multiLevelType w:val="hybridMultilevel"/>
    <w:lvl w:ilvl="0">
      <w:lvlJc w:val="left"/>
      <w:lvlText w:val="(%1)"/>
      <w:numFmt w:val="lowerLetter"/>
      <w:start w:val="1"/>
    </w:lvl>
  </w:abstractNum>
  <w:abstractNum w:abstractNumId="225">
    <w:nsid w:val="44EF6B80"/>
    <w:multiLevelType w:val="hybridMultilevel"/>
    <w:lvl w:ilvl="0">
      <w:lvlJc w:val="left"/>
      <w:lvlText w:val="(%1)"/>
      <w:numFmt w:val="lowerLetter"/>
      <w:start w:val="2"/>
    </w:lvl>
  </w:abstractNum>
  <w:abstractNum w:abstractNumId="226">
    <w:nsid w:val="12FCDE5E"/>
    <w:multiLevelType w:val="hybridMultilevel"/>
    <w:lvl w:ilvl="0">
      <w:lvlJc w:val="left"/>
      <w:lvlText w:val="(%1)"/>
      <w:numFmt w:val="lowerLetter"/>
      <w:start w:val="1"/>
    </w:lvl>
  </w:abstractNum>
  <w:abstractNum w:abstractNumId="227">
    <w:nsid w:val="4A1D606E"/>
    <w:multiLevelType w:val="hybridMultilevel"/>
    <w:lvl w:ilvl="0">
      <w:lvlJc w:val="left"/>
      <w:lvlText w:val="(%1)"/>
      <w:numFmt w:val="lowerLetter"/>
      <w:start w:val="1"/>
    </w:lvl>
  </w:abstractNum>
  <w:abstractNum w:abstractNumId="228">
    <w:nsid w:val="4382503"/>
    <w:multiLevelType w:val="hybridMultilevel"/>
    <w:lvl w:ilvl="0">
      <w:lvlJc w:val="left"/>
      <w:lvlText w:val="(%1)"/>
      <w:numFmt w:val="lowerLetter"/>
      <w:start w:val="1"/>
    </w:lvl>
  </w:abstractNum>
  <w:abstractNum w:abstractNumId="229">
    <w:nsid w:val="59B76E28"/>
    <w:multiLevelType w:val="hybridMultilevel"/>
    <w:lvl w:ilvl="0">
      <w:lvlJc w:val="left"/>
      <w:lvlText w:val="(%1)"/>
      <w:numFmt w:val="lowerLetter"/>
      <w:start w:val="2"/>
    </w:lvl>
    <w:lvl w:ilvl="1">
      <w:lvlJc w:val="left"/>
      <w:lvlText w:val="(%2)"/>
      <w:numFmt w:val="lowerRoman"/>
      <w:start w:val="1"/>
    </w:lvl>
  </w:abstractNum>
  <w:abstractNum w:abstractNumId="230">
    <w:nsid w:val="4252C2DA"/>
    <w:multiLevelType w:val="hybridMultilevel"/>
    <w:lvl w:ilvl="0">
      <w:lvlJc w:val="left"/>
      <w:lvlText w:val="(%1)"/>
      <w:numFmt w:val="lowerLetter"/>
      <w:start w:val="4"/>
    </w:lvl>
  </w:abstractNum>
  <w:abstractNum w:abstractNumId="231">
    <w:nsid w:val="6A92EF4C"/>
    <w:multiLevelType w:val="hybridMultilevel"/>
    <w:lvl w:ilvl="0">
      <w:lvlJc w:val="left"/>
      <w:lvlText w:val="(%1)"/>
      <w:numFmt w:val="lowerLetter"/>
      <w:start w:val="1"/>
    </w:lvl>
  </w:abstractNum>
  <w:abstractNum w:abstractNumId="232">
    <w:nsid w:val="41ED20D7"/>
    <w:multiLevelType w:val="hybridMultilevel"/>
    <w:lvl w:ilvl="0">
      <w:lvlJc w:val="left"/>
      <w:lvlText w:val="(%1)"/>
      <w:numFmt w:val="lowerLetter"/>
      <w:start w:val="1"/>
    </w:lvl>
  </w:abstractNum>
  <w:abstractNum w:abstractNumId="233">
    <w:nsid w:val="E6B3F6A"/>
    <w:multiLevelType w:val="hybridMultilevel"/>
    <w:lvl w:ilvl="0">
      <w:lvlJc w:val="left"/>
      <w:lvlText w:val="(%1)"/>
      <w:numFmt w:val="lowerLetter"/>
      <w:start w:val="1"/>
    </w:lvl>
  </w:abstractNum>
  <w:abstractNum w:abstractNumId="234">
    <w:nsid w:val="3EB21819"/>
    <w:multiLevelType w:val="hybridMultilevel"/>
    <w:lvl w:ilvl="0">
      <w:lvlJc w:val="left"/>
      <w:lvlText w:val="(%1)"/>
      <w:numFmt w:val="lowerLetter"/>
      <w:start w:val="4"/>
    </w:lvl>
  </w:abstractNum>
  <w:abstractNum w:abstractNumId="235">
    <w:nsid w:val="41531DED"/>
    <w:multiLevelType w:val="hybridMultilevel"/>
    <w:lvl w:ilvl="0">
      <w:lvlJc w:val="left"/>
      <w:lvlText w:val="(%1)"/>
      <w:numFmt w:val="upperLetter"/>
      <w:start w:val="1"/>
    </w:lvl>
  </w:abstractNum>
  <w:abstractNum w:abstractNumId="236">
    <w:nsid w:val="6353CD2"/>
    <w:multiLevelType w:val="hybridMultilevel"/>
    <w:lvl w:ilvl="0">
      <w:lvlJc w:val="left"/>
      <w:lvlText w:val="(%1)"/>
      <w:numFmt w:val="lowerLetter"/>
      <w:start w:val="1"/>
    </w:lvl>
    <w:lvl w:ilvl="1">
      <w:lvlJc w:val="left"/>
      <w:lvlText w:val="(%2)"/>
      <w:numFmt w:val="lowerRoman"/>
      <w:start w:val="1"/>
    </w:lvl>
  </w:abstractNum>
  <w:abstractNum w:abstractNumId="237">
    <w:nsid w:val="683CAAD3"/>
    <w:multiLevelType w:val="hybridMultilevel"/>
    <w:lvl w:ilvl="0">
      <w:lvlJc w:val="left"/>
      <w:lvlText w:val="(%1)"/>
      <w:numFmt w:val="lowerLetter"/>
      <w:start w:val="7"/>
    </w:lvl>
  </w:abstractNum>
  <w:abstractNum w:abstractNumId="238">
    <w:nsid w:val="313C7C99"/>
    <w:multiLevelType w:val="hybridMultilevel"/>
    <w:lvl w:ilvl="0">
      <w:lvlJc w:val="left"/>
      <w:lvlText w:val="(%1)"/>
      <w:numFmt w:val="lowerRoman"/>
      <w:start w:val="1"/>
    </w:lvl>
  </w:abstractNum>
  <w:abstractNum w:abstractNumId="239">
    <w:nsid w:val="519EB94C"/>
    <w:multiLevelType w:val="hybridMultilevel"/>
    <w:lvl w:ilvl="0">
      <w:lvlJc w:val="left"/>
      <w:lvlText w:val="(%1)"/>
      <w:numFmt w:val="lowerLetter"/>
      <w:start w:val="8"/>
    </w:lvl>
  </w:abstractNum>
  <w:abstractNum w:abstractNumId="240">
    <w:nsid w:val="39DF2579"/>
    <w:multiLevelType w:val="hybridMultilevel"/>
    <w:lvl w:ilvl="0">
      <w:lvlJc w:val="left"/>
      <w:lvlText w:val="(%1)"/>
      <w:numFmt w:val="lowerLetter"/>
      <w:start w:val="11"/>
    </w:lvl>
  </w:abstractNum>
  <w:abstractNum w:abstractNumId="241">
    <w:nsid w:val="126E008B"/>
    <w:multiLevelType w:val="hybridMultilevel"/>
    <w:lvl w:ilvl="0">
      <w:lvlJc w:val="left"/>
      <w:lvlText w:val="(%1)"/>
      <w:numFmt w:val="lowerLetter"/>
      <w:start w:val="19"/>
    </w:lvl>
  </w:abstractNum>
  <w:abstractNum w:abstractNumId="242">
    <w:nsid w:val="34DFBC00"/>
    <w:multiLevelType w:val="hybridMultilevel"/>
    <w:lvl w:ilvl="0">
      <w:lvlJc w:val="left"/>
      <w:lvlText w:val="(%1)"/>
      <w:numFmt w:val="lowerLetter"/>
      <w:start w:val="27"/>
    </w:lvl>
  </w:abstractNum>
  <w:abstractNum w:abstractNumId="243">
    <w:nsid w:val="1F9EC322"/>
    <w:multiLevelType w:val="hybridMultilevel"/>
    <w:lvl w:ilvl="0">
      <w:lvlJc w:val="left"/>
      <w:lvlText w:val="(%1)"/>
      <w:numFmt w:val="lowerLetter"/>
      <w:start w:val="28"/>
    </w:lvl>
  </w:abstractNum>
  <w:abstractNum w:abstractNumId="244">
    <w:nsid w:val="3410ED56"/>
    <w:multiLevelType w:val="hybridMultilevel"/>
    <w:lvl w:ilvl="0">
      <w:lvlJc w:val="left"/>
      <w:lvlText w:val="(%1)"/>
      <w:numFmt w:val="lowerLetter"/>
      <w:start w:val="1"/>
    </w:lvl>
  </w:abstractNum>
  <w:abstractNum w:abstractNumId="245">
    <w:nsid w:val="23C049A"/>
    <w:multiLevelType w:val="hybridMultilevel"/>
    <w:lvl w:ilvl="0">
      <w:lvlJc w:val="left"/>
      <w:lvlText w:val="(%1)"/>
      <w:numFmt w:val="lowerLetter"/>
      <w:start w:val="4"/>
    </w:lvl>
  </w:abstractNum>
  <w:abstractNum w:abstractNumId="246">
    <w:nsid w:val="5BDA35D4"/>
    <w:multiLevelType w:val="hybridMultilevel"/>
    <w:lvl w:ilvl="0">
      <w:lvlJc w:val="left"/>
      <w:lvlText w:val="(%1)"/>
      <w:numFmt w:val="lowerLetter"/>
      <w:start w:val="1"/>
    </w:lvl>
    <w:lvl w:ilvl="1">
      <w:lvlJc w:val="left"/>
      <w:lvlText w:val="(%2)"/>
      <w:numFmt w:val="lowerRoman"/>
      <w:start w:val="1"/>
    </w:lvl>
  </w:abstractNum>
  <w:abstractNum w:abstractNumId="247">
    <w:nsid w:val="496FB218"/>
    <w:multiLevelType w:val="hybridMultilevel"/>
    <w:lvl w:ilvl="0">
      <w:lvlJc w:val="left"/>
      <w:lvlText w:val="(%1)"/>
      <w:numFmt w:val="lowerRoman"/>
      <w:start w:val="4"/>
    </w:lvl>
  </w:abstractNum>
  <w:abstractNum w:abstractNumId="248">
    <w:nsid w:val="680EA5D1"/>
    <w:multiLevelType w:val="hybridMultilevel"/>
    <w:lvl w:ilvl="0">
      <w:lvlJc w:val="left"/>
      <w:lvlText w:val="(%1)"/>
      <w:numFmt w:val="lowerLetter"/>
      <w:start w:val="3"/>
    </w:lvl>
  </w:abstractNum>
  <w:abstractNum w:abstractNumId="249">
    <w:nsid w:val="4A9554FE"/>
    <w:multiLevelType w:val="hybridMultilevel"/>
    <w:lvl w:ilvl="0">
      <w:lvlJc w:val="left"/>
      <w:lvlText w:val="(%1)"/>
      <w:numFmt w:val="lowerLetter"/>
      <w:start w:val="1"/>
    </w:lvl>
  </w:abstractNum>
  <w:abstractNum w:abstractNumId="250">
    <w:nsid w:val="392EDBE4"/>
    <w:multiLevelType w:val="hybridMultilevel"/>
    <w:lvl w:ilvl="0">
      <w:lvlJc w:val="left"/>
      <w:lvlText w:val="(%1)"/>
      <w:numFmt w:val="lowerLetter"/>
      <w:start w:val="1"/>
    </w:lvl>
  </w:abstractNum>
  <w:abstractNum w:abstractNumId="251">
    <w:nsid w:val="3D1A2DD9"/>
    <w:multiLevelType w:val="hybridMultilevel"/>
    <w:lvl w:ilvl="0">
      <w:lvlJc w:val="left"/>
      <w:lvlText w:val="(%1)"/>
      <w:numFmt w:val="lowerLetter"/>
      <w:start w:val="5"/>
    </w:lvl>
  </w:abstractNum>
  <w:abstractNum w:abstractNumId="252">
    <w:nsid w:val="7F618FCD"/>
    <w:multiLevelType w:val="hybridMultilevel"/>
    <w:lvl w:ilvl="0">
      <w:lvlJc w:val="left"/>
      <w:lvlText w:val="(%1)"/>
      <w:numFmt w:val="lowerLetter"/>
      <w:start w:val="1"/>
    </w:lvl>
  </w:abstractNum>
  <w:abstractNum w:abstractNumId="253">
    <w:nsid w:val="7843E45"/>
    <w:multiLevelType w:val="hybridMultilevel"/>
    <w:lvl w:ilvl="0">
      <w:lvlJc w:val="left"/>
      <w:lvlText w:val="(%1)"/>
      <w:numFmt w:val="lowerLetter"/>
      <w:start w:val="2"/>
    </w:lvl>
  </w:abstractNum>
  <w:abstractNum w:abstractNumId="254">
    <w:nsid w:val="9815DA3"/>
    <w:multiLevelType w:val="hybridMultilevel"/>
    <w:lvl w:ilvl="0">
      <w:lvlJc w:val="left"/>
      <w:lvlText w:val="(%1)"/>
      <w:numFmt w:val="lowerLetter"/>
      <w:start w:val="1"/>
    </w:lvl>
  </w:abstractNum>
  <w:abstractNum w:abstractNumId="255">
    <w:nsid w:val="5204A191"/>
    <w:multiLevelType w:val="hybridMultilevel"/>
    <w:lvl w:ilvl="0">
      <w:lvlJc w:val="left"/>
      <w:lvlText w:val="(%1)"/>
      <w:numFmt w:val="lowerLetter"/>
      <w:start w:val="1"/>
    </w:lvl>
  </w:abstractNum>
  <w:abstractNum w:abstractNumId="256">
    <w:nsid w:val="4C73A9C6"/>
    <w:multiLevelType w:val="hybridMultilevel"/>
    <w:lvl w:ilvl="0">
      <w:lvlJc w:val="left"/>
      <w:lvlText w:val="(%1)"/>
      <w:numFmt w:val="lowerLetter"/>
      <w:start w:val="2"/>
    </w:lvl>
  </w:abstractNum>
  <w:abstractNum w:abstractNumId="257">
    <w:nsid w:val="1C7E3C01"/>
    <w:multiLevelType w:val="hybridMultilevel"/>
    <w:lvl w:ilvl="0">
      <w:lvlJc w:val="left"/>
      <w:lvlText w:val="(%1)"/>
      <w:numFmt w:val="lowerLetter"/>
      <w:start w:val="4"/>
    </w:lvl>
  </w:abstractNum>
  <w:abstractNum w:abstractNumId="258">
    <w:nsid w:val="1C2201FF"/>
    <w:multiLevelType w:val="hybridMultilevel"/>
    <w:lvl w:ilvl="0">
      <w:lvlJc w:val="left"/>
      <w:lvlText w:val="(%1)"/>
      <w:numFmt w:val="lowerLetter"/>
      <w:start w:val="1"/>
    </w:lvl>
    <w:lvl w:ilvl="1">
      <w:lvlJc w:val="left"/>
      <w:lvlText w:val="(%2)"/>
      <w:numFmt w:val="lowerRoman"/>
      <w:start w:val="2"/>
    </w:lvl>
  </w:abstractNum>
  <w:abstractNum w:abstractNumId="259">
    <w:nsid w:val="50ABCEC9"/>
    <w:multiLevelType w:val="hybridMultilevel"/>
    <w:lvl w:ilvl="0">
      <w:lvlJc w:val="left"/>
      <w:lvlText w:val="%1"/>
      <w:numFmt w:val="lowerLetter"/>
      <w:start w:val="1"/>
    </w:lvl>
    <w:lvl w:ilvl="1">
      <w:lvlJc w:val="left"/>
      <w:lvlText w:val="(%2)"/>
      <w:numFmt w:val="lowerRoman"/>
      <w:start w:val="1"/>
    </w:lvl>
  </w:abstractNum>
  <w:abstractNum w:abstractNumId="260">
    <w:nsid w:val="7635AA2A"/>
    <w:multiLevelType w:val="hybridMultilevel"/>
    <w:lvl w:ilvl="0">
      <w:lvlJc w:val="left"/>
      <w:lvlText w:val="(%1)"/>
      <w:numFmt w:val="lowerRoman"/>
      <w:start w:val="3"/>
    </w:lvl>
  </w:abstractNum>
  <w:abstractNum w:abstractNumId="261">
    <w:nsid w:val="5E74C4D9"/>
    <w:multiLevelType w:val="hybridMultilevel"/>
    <w:lvl w:ilvl="0">
      <w:lvlJc w:val="left"/>
      <w:lvlText w:val="(%1)"/>
      <w:numFmt w:val="lowerLetter"/>
      <w:start w:val="4"/>
    </w:lvl>
  </w:abstractNum>
  <w:abstractNum w:abstractNumId="262">
    <w:nsid w:val="3B3EBE15"/>
    <w:multiLevelType w:val="hybridMultilevel"/>
    <w:lvl w:ilvl="0">
      <w:lvlJc w:val="left"/>
      <w:lvlText w:val="(%1)"/>
      <w:numFmt w:val="lowerLetter"/>
      <w:start w:val="1"/>
    </w:lvl>
  </w:abstractNum>
  <w:abstractNum w:abstractNumId="263">
    <w:nsid w:val="3822CB01"/>
    <w:multiLevelType w:val="hybridMultilevel"/>
    <w:lvl w:ilvl="0">
      <w:lvlJc w:val="left"/>
      <w:lvlText w:val="(%1)"/>
      <w:numFmt w:val="lowerLetter"/>
      <w:start w:val="1"/>
    </w:lvl>
  </w:abstractNum>
  <w:abstractNum w:abstractNumId="264">
    <w:nsid w:val="6CE00443"/>
    <w:multiLevelType w:val="hybridMultilevel"/>
    <w:lvl w:ilvl="0">
      <w:lvlJc w:val="left"/>
      <w:lvlText w:val="(%1)"/>
      <w:numFmt w:val="lowerLetter"/>
      <w:start w:val="1"/>
    </w:lvl>
  </w:abstractNum>
  <w:abstractNum w:abstractNumId="265">
    <w:nsid w:val="79F0D62F"/>
    <w:multiLevelType w:val="hybridMultilevel"/>
    <w:lvl w:ilvl="0">
      <w:lvlJc w:val="left"/>
      <w:lvlText w:val="(%1)"/>
      <w:numFmt w:val="lowerLetter"/>
      <w:start w:val="7"/>
    </w:lvl>
  </w:abstractNum>
  <w:abstractNum w:abstractNumId="266">
    <w:nsid w:val="7975E8EE"/>
    <w:multiLevelType w:val="hybridMultilevel"/>
    <w:lvl w:ilvl="0">
      <w:lvlJc w:val="left"/>
      <w:lvlText w:val="(%1)"/>
      <w:numFmt w:val="lowerLetter"/>
      <w:start w:val="1"/>
    </w:lvl>
  </w:abstractNum>
  <w:abstractNum w:abstractNumId="267">
    <w:nsid w:val="73154115"/>
    <w:multiLevelType w:val="hybridMultilevel"/>
    <w:lvl w:ilvl="0">
      <w:lvlJc w:val="left"/>
      <w:lvlText w:val="(%1)"/>
      <w:numFmt w:val="lowerLetter"/>
      <w:start w:val="3"/>
    </w:lvl>
  </w:abstractNum>
  <w:abstractNum w:abstractNumId="268">
    <w:nsid w:val="622D8102"/>
    <w:multiLevelType w:val="hybridMultilevel"/>
    <w:lvl w:ilvl="0">
      <w:lvlJc w:val="left"/>
      <w:lvlText w:val="(%1)"/>
      <w:numFmt w:val="lowerLetter"/>
      <w:start w:val="17"/>
    </w:lvl>
  </w:abstractNum>
  <w:abstractNum w:abstractNumId="269">
    <w:nsid w:val="2AB26587"/>
    <w:multiLevelType w:val="hybridMultilevel"/>
    <w:lvl w:ilvl="0">
      <w:lvlJc w:val="left"/>
      <w:lvlText w:val="(%1)"/>
      <w:numFmt w:val="lowerLetter"/>
      <w:start w:val="1"/>
    </w:lvl>
    <w:lvl w:ilvl="1">
      <w:lvlJc w:val="left"/>
      <w:lvlText w:val="(%2)"/>
      <w:numFmt w:val="lowerLetter"/>
      <w:start w:val="9"/>
    </w:lvl>
  </w:abstractNum>
  <w:abstractNum w:abstractNumId="270">
    <w:nsid w:val="44B3FA61"/>
    <w:multiLevelType w:val="hybridMultilevel"/>
    <w:lvl w:ilvl="0">
      <w:lvlJc w:val="left"/>
      <w:lvlText w:val="(%1)"/>
      <w:numFmt w:val="lowerRoman"/>
      <w:start w:val="2"/>
    </w:lvl>
  </w:abstractNum>
  <w:abstractNum w:abstractNumId="271">
    <w:nsid w:val="1C0CA67C"/>
    <w:multiLevelType w:val="hybridMultilevel"/>
    <w:lvl w:ilvl="0">
      <w:lvlJc w:val="left"/>
      <w:lvlText w:val="(%1)"/>
      <w:numFmt w:val="lowerLetter"/>
      <w:start w:val="2"/>
    </w:lvl>
    <w:lvl w:ilvl="1">
      <w:lvlJc w:val="left"/>
      <w:lvlText w:val="(%2)"/>
      <w:numFmt w:val="lowerRoman"/>
      <w:start w:val="1"/>
    </w:lvl>
  </w:abstractNum>
  <w:abstractNum w:abstractNumId="272">
    <w:nsid w:val="3D206613"/>
    <w:multiLevelType w:val="hybridMultilevel"/>
    <w:lvl w:ilvl="0">
      <w:lvlJc w:val="left"/>
      <w:lvlText w:val="(%1)"/>
      <w:numFmt w:val="lowerRoman"/>
      <w:start w:val="3"/>
    </w:lvl>
  </w:abstractNum>
  <w:abstractNum w:abstractNumId="273">
    <w:nsid w:val="7993B66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4">
    <w:nsid w:val="3BAB699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75">
    <w:nsid w:val="7131536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76">
    <w:nsid w:val="7BCFBAFC"/>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77">
    <w:nsid w:val="17859F72"/>
    <w:multiLevelType w:val="hybridMultilevel"/>
    <w:lvl w:ilvl="0">
      <w:lvlJc w:val="left"/>
      <w:lvlText w:val="(%1)"/>
      <w:numFmt w:val="upperLetter"/>
      <w:start w:val="1"/>
    </w:lvl>
  </w:abstractNum>
  <w:abstractNum w:abstractNumId="278">
    <w:nsid w:val="3AA10581"/>
    <w:multiLevelType w:val="hybridMultilevel"/>
    <w:lvl w:ilvl="0">
      <w:lvlJc w:val="left"/>
      <w:lvlText w:val="(%1)"/>
      <w:numFmt w:val="lowerRoman"/>
      <w:start w:val="2"/>
    </w:lvl>
  </w:abstractNum>
  <w:abstractNum w:abstractNumId="279">
    <w:nsid w:val="63DE60CD"/>
    <w:multiLevelType w:val="hybridMultilevel"/>
    <w:lvl w:ilvl="0">
      <w:lvlJc w:val="left"/>
      <w:lvlText w:val="(%1)"/>
      <w:numFmt w:val="lowerLetter"/>
      <w:start w:val="1"/>
    </w:lvl>
  </w:abstractNum>
  <w:abstractNum w:abstractNumId="280">
    <w:nsid w:val="621AF471"/>
    <w:multiLevelType w:val="hybridMultilevel"/>
    <w:lvl w:ilvl="0">
      <w:lvlJc w:val="left"/>
      <w:lvlText w:val="%1"/>
      <w:numFmt w:val="lowerLetter"/>
      <w:start w:val="1"/>
    </w:lvl>
    <w:lvl w:ilvl="1">
      <w:lvlJc w:val="left"/>
      <w:lvlText w:val="(%2)"/>
      <w:numFmt w:val="lowerRoman"/>
      <w:start w:val="1"/>
    </w:lvl>
  </w:abstractNum>
  <w:abstractNum w:abstractNumId="281">
    <w:nsid w:val="73CFE165"/>
    <w:multiLevelType w:val="hybridMultilevel"/>
    <w:lvl w:ilvl="0">
      <w:lvlJc w:val="left"/>
      <w:lvlText w:val="(%1)"/>
      <w:numFmt w:val="lowerLetter"/>
      <w:start w:val="2"/>
    </w:lvl>
    <w:lvl w:ilvl="1">
      <w:lvlJc w:val="left"/>
      <w:lvlText w:val="(%2)"/>
      <w:numFmt w:val="lowerRoman"/>
      <w:start w:val="1"/>
    </w:lvl>
  </w:abstractNum>
  <w:abstractNum w:abstractNumId="282">
    <w:nsid w:val="20F88EA6"/>
    <w:multiLevelType w:val="hybridMultilevel"/>
    <w:lvl w:ilvl="0">
      <w:lvlJc w:val="left"/>
      <w:lvlText w:val="%1"/>
      <w:numFmt w:val="lowerLetter"/>
      <w:start w:val="1"/>
    </w:lvl>
    <w:lvl w:ilvl="1">
      <w:lvlJc w:val="left"/>
      <w:lvlText w:val="(%2)"/>
      <w:numFmt w:val="lowerLetter"/>
      <w:start w:val="61"/>
    </w:lvl>
  </w:abstractNum>
  <w:abstractNum w:abstractNumId="283">
    <w:nsid w:val="617C843E"/>
    <w:multiLevelType w:val="hybridMultilevel"/>
    <w:lvl w:ilvl="0">
      <w:lvlJc w:val="left"/>
      <w:lvlText w:val="(%1)"/>
      <w:numFmt w:val="lowerLetter"/>
      <w:start w:val="3"/>
    </w:lvl>
    <w:lvl w:ilvl="1">
      <w:lvlJc w:val="left"/>
      <w:lvlText w:val="(%2)"/>
      <w:numFmt w:val="lowerLetter"/>
      <w:start w:val="9"/>
    </w:lvl>
  </w:abstractNum>
  <w:abstractNum w:abstractNumId="284">
    <w:nsid w:val="7B541FAB"/>
    <w:multiLevelType w:val="hybridMultilevel"/>
    <w:lvl w:ilvl="0">
      <w:lvlJc w:val="left"/>
      <w:lvlText w:val="%1"/>
      <w:numFmt w:val="lowerLetter"/>
      <w:start w:val="1"/>
    </w:lvl>
    <w:lvl w:ilvl="1">
      <w:lvlJc w:val="left"/>
      <w:lvlText w:val="(%2)"/>
      <w:numFmt w:val="lowerRoman"/>
      <w:start w:val="2"/>
    </w:lvl>
  </w:abstractNum>
  <w:abstractNum w:abstractNumId="285">
    <w:nsid w:val="2A79EC49"/>
    <w:multiLevelType w:val="hybridMultilevel"/>
    <w:lvl w:ilvl="0">
      <w:lvlJc w:val="left"/>
      <w:lvlText w:val="(%1)"/>
      <w:numFmt w:val="lowerLetter"/>
      <w:start w:val="4"/>
    </w:lvl>
    <w:lvl w:ilvl="1">
      <w:lvlJc w:val="left"/>
      <w:lvlText w:val="(%2)"/>
      <w:numFmt w:val="lowerRoman"/>
      <w:start w:val="1"/>
    </w:lvl>
  </w:abstractNum>
  <w:abstractNum w:abstractNumId="286">
    <w:nsid w:val="338125CF"/>
    <w:multiLevelType w:val="hybridMultilevel"/>
    <w:lvl w:ilvl="0">
      <w:lvlJc w:val="left"/>
      <w:lvlText w:val="(%1)"/>
      <w:numFmt w:val="lowerLetter"/>
      <w:start w:val="5"/>
    </w:lvl>
    <w:lvl w:ilvl="1">
      <w:lvlJc w:val="left"/>
      <w:lvlText w:val="(%2)"/>
      <w:numFmt w:val="lowerRoman"/>
      <w:start w:val="1"/>
    </w:lvl>
  </w:abstractNum>
  <w:abstractNum w:abstractNumId="287">
    <w:nsid w:val="47C7C971"/>
    <w:multiLevelType w:val="hybridMultilevel"/>
    <w:lvl w:ilvl="0">
      <w:lvlJc w:val="left"/>
      <w:lvlText w:val="(%1)"/>
      <w:numFmt w:val="lowerRoman"/>
      <w:start w:val="4"/>
    </w:lvl>
  </w:abstractNum>
  <w:abstractNum w:abstractNumId="288">
    <w:nsid w:val="46F8284B"/>
    <w:multiLevelType w:val="hybridMultilevel"/>
    <w:lvl w:ilvl="0">
      <w:lvlJc w:val="left"/>
      <w:lvlText w:val="(%1)"/>
      <w:numFmt w:val="lowerRoman"/>
      <w:start w:val="8"/>
    </w:lvl>
  </w:abstractNum>
  <w:abstractNum w:abstractNumId="289">
    <w:nsid w:val="4FA327CE"/>
    <w:multiLevelType w:val="hybridMultilevel"/>
    <w:lvl w:ilvl="0">
      <w:lvlJc w:val="left"/>
      <w:lvlText w:val="(%1)"/>
      <w:numFmt w:val="lowerLetter"/>
      <w:start w:val="1"/>
    </w:lvl>
    <w:lvl w:ilvl="1">
      <w:lvlJc w:val="left"/>
      <w:lvlText w:val="(%2)"/>
      <w:numFmt w:val="lowerRoman"/>
      <w:start w:val="1"/>
    </w:lvl>
  </w:abstractNum>
  <w:abstractNum w:abstractNumId="290">
    <w:nsid w:val="1873983A"/>
    <w:multiLevelType w:val="hybridMultilevel"/>
    <w:lvl w:ilvl="0">
      <w:lvlJc w:val="left"/>
      <w:lvlText w:val="(%1)"/>
      <w:numFmt w:val="lowerLetter"/>
      <w:start w:val="2"/>
    </w:lvl>
  </w:abstractNum>
  <w:abstractNum w:abstractNumId="291">
    <w:nsid w:val="3D2DD275"/>
    <w:multiLevelType w:val="hybridMultilevel"/>
    <w:lvl w:ilvl="0">
      <w:lvlJc w:val="left"/>
      <w:lvlText w:val="(%1)"/>
      <w:numFmt w:val="lowerLetter"/>
      <w:start w:val="1"/>
    </w:lvl>
  </w:abstractNum>
  <w:abstractNum w:abstractNumId="292">
    <w:nsid w:val="2E17ECA7"/>
    <w:multiLevelType w:val="hybridMultilevel"/>
    <w:lvl w:ilvl="0">
      <w:lvlJc w:val="left"/>
      <w:lvlText w:val="(%1)"/>
      <w:numFmt w:val="lowerLetter"/>
      <w:start w:val="7"/>
    </w:lvl>
  </w:abstractNum>
  <w:abstractNum w:abstractNumId="293">
    <w:nsid w:val="53B2564F"/>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294">
    <w:nsid w:val="75509D76"/>
    <w:multiLevelType w:val="hybridMultilevel"/>
    <w:lvl w:ilvl="0">
      <w:lvlJc w:val="left"/>
      <w:lvlText w:val="(%1)"/>
      <w:numFmt w:val="lowerLetter"/>
      <w:start w:val="9"/>
    </w:lvl>
    <w:lvl w:ilvl="1">
      <w:lvlJc w:val="left"/>
      <w:lvlText w:val="(%2)"/>
      <w:numFmt w:val="lowerLetter"/>
      <w:start w:val="13"/>
    </w:lvl>
    <w:lvl w:ilvl="2">
      <w:lvlJc w:val="left"/>
      <w:lvlText w:val="(%3)"/>
      <w:numFmt w:val="lowerRoman"/>
      <w:start w:val="1"/>
    </w:lvl>
  </w:abstractNum>
  <w:abstractNum w:abstractNumId="295">
    <w:nsid w:val="1AF7F0EA"/>
    <w:multiLevelType w:val="hybridMultilevel"/>
    <w:lvl w:ilvl="0">
      <w:lvlJc w:val="left"/>
      <w:lvlText w:val="(%1)"/>
      <w:numFmt w:val="lowerLetter"/>
      <w:start w:val="1"/>
    </w:lvl>
  </w:abstractNum>
  <w:abstractNum w:abstractNumId="296">
    <w:nsid w:val="4DA32C7E"/>
    <w:multiLevelType w:val="hybridMultilevel"/>
    <w:lvl w:ilvl="0">
      <w:lvlJc w:val="left"/>
      <w:lvlText w:val="(%1)"/>
      <w:numFmt w:val="lowerLetter"/>
      <w:start w:val="4"/>
    </w:lvl>
  </w:abstractNum>
  <w:abstractNum w:abstractNumId="297">
    <w:nsid w:val="6EC68664"/>
    <w:multiLevelType w:val="hybridMultilevel"/>
    <w:lvl w:ilvl="0">
      <w:lvlJc w:val="left"/>
      <w:lvlText w:val="(%1)"/>
      <w:numFmt w:val="lowerLetter"/>
      <w:start w:val="18"/>
    </w:lvl>
  </w:abstractNum>
  <w:abstractNum w:abstractNumId="298">
    <w:nsid w:val="E0D31FF"/>
    <w:multiLevelType w:val="hybridMultilevel"/>
    <w:lvl w:ilvl="0">
      <w:lvlJc w:val="left"/>
      <w:lvlText w:val="(%1)"/>
      <w:numFmt w:val="lowerRoman"/>
      <w:start w:val="1"/>
    </w:lvl>
  </w:abstractNum>
  <w:abstractNum w:abstractNumId="299">
    <w:nsid w:val="2FD0AD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0">
    <w:nsid w:val="1978EBEB"/>
    <w:multiLevelType w:val="hybridMultilevel"/>
    <w:lvl w:ilvl="0">
      <w:lvlJc w:val="left"/>
      <w:lvlText w:val="%1"/>
      <w:numFmt w:val="lowerLetter"/>
      <w:start w:val="1"/>
    </w:lvl>
    <w:lvl w:ilvl="1">
      <w:lvlJc w:val="left"/>
      <w:lvlText w:val="(%2)"/>
      <w:numFmt w:val="lowerLetter"/>
      <w:start w:val="61"/>
    </w:lvl>
  </w:abstractNum>
  <w:abstractNum w:abstractNumId="301">
    <w:nsid w:val="52C12C61"/>
    <w:multiLevelType w:val="hybridMultilevel"/>
    <w:lvl w:ilvl="0">
      <w:lvlJc w:val="left"/>
      <w:lvlText w:val="(%1)"/>
      <w:numFmt w:val="lowerLetter"/>
      <w:start w:val="2"/>
    </w:lvl>
    <w:lvl w:ilvl="1">
      <w:lvlJc w:val="left"/>
      <w:lvlText w:val="(%2)"/>
      <w:numFmt w:val="lowerLetter"/>
      <w:start w:val="9"/>
    </w:lvl>
  </w:abstractNum>
  <w:abstractNum w:abstractNumId="302">
    <w:nsid w:val="4BDD53FD"/>
    <w:multiLevelType w:val="hybridMultilevel"/>
    <w:lvl w:ilvl="0">
      <w:lvlJc w:val="left"/>
      <w:lvlText w:val="(%1)"/>
      <w:numFmt w:val="lowerRoman"/>
      <w:start w:val="2"/>
    </w:lvl>
  </w:abstractNum>
  <w:abstractNum w:abstractNumId="303">
    <w:nsid w:val="569951FE"/>
    <w:multiLevelType w:val="hybridMultilevel"/>
    <w:lvl w:ilvl="0">
      <w:lvlJc w:val="left"/>
      <w:lvlText w:val="(%1)"/>
      <w:numFmt w:val="lowerRoman"/>
      <w:start w:val="4"/>
    </w:lvl>
  </w:abstractNum>
  <w:abstractNum w:abstractNumId="304">
    <w:nsid w:val="4C54E2C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5">
    <w:nsid w:val="788BD9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06">
    <w:nsid w:val="47CAA567"/>
    <w:multiLevelType w:val="hybridMultilevel"/>
    <w:lvl w:ilvl="0">
      <w:lvlJc w:val="left"/>
      <w:lvlText w:val="(%1)"/>
      <w:numFmt w:val="lowerLetter"/>
      <w:start w:val="3"/>
    </w:lvl>
    <w:lvl w:ilvl="1">
      <w:lvlJc w:val="left"/>
      <w:lvlText w:val="(%2)"/>
      <w:numFmt w:val="lowerRoman"/>
      <w:start w:val="1"/>
    </w:lvl>
  </w:abstractNum>
  <w:abstractNum w:abstractNumId="307">
    <w:nsid w:val="48249DBF"/>
    <w:multiLevelType w:val="hybridMultilevel"/>
    <w:lvl w:ilvl="0">
      <w:lvlJc w:val="left"/>
      <w:lvlText w:val="(%1)"/>
      <w:numFmt w:val="lowerLetter"/>
      <w:start w:val="5"/>
    </w:lvl>
  </w:abstractNum>
  <w:abstractNum w:abstractNumId="308">
    <w:nsid w:val="1F0E5D0D"/>
    <w:multiLevelType w:val="hybridMultilevel"/>
    <w:lvl w:ilvl="0">
      <w:lvlJc w:val="left"/>
      <w:lvlText w:val="(%1)"/>
      <w:numFmt w:val="lowerLetter"/>
      <w:start w:val="6"/>
    </w:lvl>
    <w:lvl w:ilvl="1">
      <w:lvlJc w:val="left"/>
      <w:lvlText w:val="(%2)"/>
      <w:numFmt w:val="lowerRoman"/>
      <w:start w:val="1"/>
    </w:lvl>
  </w:abstractNum>
  <w:abstractNum w:abstractNumId="309">
    <w:nsid w:val="26BAAE9"/>
    <w:multiLevelType w:val="hybridMultilevel"/>
    <w:lvl w:ilvl="0">
      <w:lvlJc w:val="left"/>
      <w:lvlText w:val="(%1)"/>
      <w:numFmt w:val="lowerRoman"/>
      <w:start w:val="4"/>
    </w:lvl>
  </w:abstractNum>
  <w:abstractNum w:abstractNumId="310">
    <w:nsid w:val="2C02FE8C"/>
    <w:multiLevelType w:val="hybridMultilevel"/>
    <w:lvl w:ilvl="0">
      <w:lvlJc w:val="left"/>
      <w:lvlText w:val="(%1)"/>
      <w:numFmt w:val="lowerLetter"/>
      <w:start w:val="1"/>
    </w:lvl>
  </w:abstractNum>
  <w:abstractNum w:abstractNumId="311">
    <w:nsid w:val="129517E"/>
    <w:multiLevelType w:val="hybridMultilevel"/>
    <w:lvl w:ilvl="0">
      <w:lvlJc w:val="left"/>
      <w:lvlText w:val="%1"/>
      <w:numFmt w:val="lowerLetter"/>
      <w:start w:val="1"/>
    </w:lvl>
    <w:lvl w:ilvl="1">
      <w:lvlJc w:val="left"/>
      <w:lvlText w:val="(%2)"/>
      <w:numFmt w:val="lowerRoman"/>
      <w:start w:val="1"/>
    </w:lvl>
  </w:abstractNum>
  <w:abstractNum w:abstractNumId="312">
    <w:nsid w:val="763B8C4E"/>
    <w:multiLevelType w:val="hybridMultilevel"/>
    <w:lvl w:ilvl="0">
      <w:lvlJc w:val="left"/>
      <w:lvlText w:val="(%1)"/>
      <w:numFmt w:val="lowerLetter"/>
      <w:start w:val="2"/>
    </w:lvl>
    <w:lvl w:ilvl="1">
      <w:lvlJc w:val="left"/>
      <w:lvlText w:val="%2"/>
      <w:numFmt w:val="lowerRoman"/>
      <w:start w:val="1"/>
    </w:lvl>
  </w:abstractNum>
  <w:abstractNum w:abstractNumId="313">
    <w:nsid w:val="4CFB8D32"/>
    <w:multiLevelType w:val="hybridMultilevel"/>
    <w:lvl w:ilvl="0">
      <w:lvlJc w:val="left"/>
      <w:lvlText w:val="(%1)"/>
      <w:numFmt w:val="lowerLetter"/>
      <w:start w:val="1"/>
    </w:lvl>
  </w:abstractNum>
  <w:abstractNum w:abstractNumId="314">
    <w:nsid w:val="62A5D5BD"/>
    <w:multiLevelType w:val="hybridMultilevel"/>
    <w:lvl w:ilvl="0">
      <w:lvlJc w:val="left"/>
      <w:lvlText w:val="(%1)"/>
      <w:numFmt w:val="lowerLetter"/>
      <w:start w:val="2"/>
    </w:lvl>
  </w:abstractNum>
  <w:abstractNum w:abstractNumId="315">
    <w:nsid w:val="718FABF9"/>
    <w:multiLevelType w:val="hybridMultilevel"/>
    <w:lvl w:ilvl="0">
      <w:lvlJc w:val="left"/>
      <w:lvlText w:val="(%1)"/>
      <w:numFmt w:val="lowerLetter"/>
      <w:start w:val="9"/>
    </w:lvl>
  </w:abstractNum>
  <w:abstractNum w:abstractNumId="316">
    <w:nsid w:val="7775797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67" Type="http://schemas.openxmlformats.org/officeDocument/2006/relationships/image" Target="media/image450.png"/><Relationship Id="rId480"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457" Type="http://schemas.openxmlformats.org/officeDocument/2006/relationships/hyperlink" Target="http://www.sec.gov/Archives/edgar/data/0001932393/000119312522279103/d379971dex21.htm" TargetMode="External"/><Relationship Id="rId458" Type="http://schemas.openxmlformats.org/officeDocument/2006/relationships/hyperlink" Target="http://www.sec.gov/Archives/edgar/data/0001932393/000119312522279103/d379971dex31.htm" TargetMode="External"/><Relationship Id="rId459" Type="http://schemas.openxmlformats.org/officeDocument/2006/relationships/hyperlink" Target="http://www.sec.gov/Archives/edgar/data/0001932393/000119312522279103/d379971dex32.htm" TargetMode="External"/><Relationship Id="rId460" Type="http://schemas.openxmlformats.org/officeDocument/2006/relationships/hyperlink" Target="http://www.sec.gov/Archives/edgar/data/40545/000119312522292079/d425000dex41.htm" TargetMode="External"/><Relationship Id="rId461" Type="http://schemas.openxmlformats.org/officeDocument/2006/relationships/hyperlink" Target="http://www.sec.gov/Archives/edgar/data/40545/000119312522292079/d425000dex42.htm" TargetMode="External"/><Relationship Id="rId462" Type="http://schemas.openxmlformats.org/officeDocument/2006/relationships/hyperlink" Target="http://www.sec.gov/Archives/edgar/data/40545/000119312522292079/d425000dex43.htm" TargetMode="External"/><Relationship Id="rId463" Type="http://schemas.openxmlformats.org/officeDocument/2006/relationships/hyperlink" Target="http://www.sec.gov/Archives/edgar/data/1932393/000119312522260650/d379971dex101.htm" TargetMode="External"/><Relationship Id="rId464" Type="http://schemas.openxmlformats.org/officeDocument/2006/relationships/hyperlink" Target="http://www.sec.gov/Archives/edgar/data/1932393/000119312522260650/d379971dex102.htm" TargetMode="External"/><Relationship Id="rId465" Type="http://schemas.openxmlformats.org/officeDocument/2006/relationships/hyperlink" Target="http://www.sec.gov/Archives/edgar/data/0001932393/000119312522279103/d379971dex103.htm" TargetMode="External"/><Relationship Id="rId466" Type="http://schemas.openxmlformats.org/officeDocument/2006/relationships/hyperlink" Target="http://www.sec.gov/Archives/edgar/data/1932393/000119312522260650/d379971dex104.htm" TargetMode="External"/><Relationship Id="rId468" Type="http://schemas.openxmlformats.org/officeDocument/2006/relationships/hyperlink" Target="http://www.sec.gov/Archives/edgar/data/1932393/000119312522260650/d379971dex105.htm" TargetMode="External"/><Relationship Id="rId469" Type="http://schemas.openxmlformats.org/officeDocument/2006/relationships/hyperlink" Target="http://www.sec.gov/Archives/edgar/data/1932393/000119312522260650/d379971dex106.htm" TargetMode="External"/><Relationship Id="rId470" Type="http://schemas.openxmlformats.org/officeDocument/2006/relationships/hyperlink" Target="http://www.sec.gov/Archives/edgar/data/1932393/000119312522260650/d379971dex107.htm" TargetMode="External"/><Relationship Id="rId471" Type="http://schemas.openxmlformats.org/officeDocument/2006/relationships/hyperlink" Target="http://www.sec.gov/Archives/edgar/data/0001932393/000119312522279103/d379971dex108.htm" TargetMode="External"/><Relationship Id="rId472" Type="http://schemas.openxmlformats.org/officeDocument/2006/relationships/hyperlink" Target="http://www.sec.gov/Archives/edgar/data/0001932393/000119312522279103/d379971dex109.htm" TargetMode="External"/><Relationship Id="rId473" Type="http://schemas.openxmlformats.org/officeDocument/2006/relationships/hyperlink" Target="http://www.sec.gov/Archives/edgar/data/0001932393/000119312522279103/d379971dex1010.htm" TargetMode="External"/><Relationship Id="rId474" Type="http://schemas.openxmlformats.org/officeDocument/2006/relationships/hyperlink" Target="http://www.sec.gov/Archives/edgar/data/0001932393/000119312522279103/d379971dex1015.htm" TargetMode="External"/><Relationship Id="rId475" Type="http://schemas.openxmlformats.org/officeDocument/2006/relationships/hyperlink" Target="http://www.sec.gov/Archives/edgar/data/1932393/000119312522288985/d379971dex1016.htm" TargetMode="External"/><Relationship Id="rId476" Type="http://schemas.openxmlformats.org/officeDocument/2006/relationships/hyperlink" Target="http://www.sec.gov/Archives/edgar/data/1932393/000119312522279103/d379971dex1016.htm" TargetMode="External"/><Relationship Id="rId477" Type="http://schemas.openxmlformats.org/officeDocument/2006/relationships/hyperlink" Target="http://www.sec.gov/Archives/edgar/data/1932393/000119312522279103/d379971dex1017.htm" TargetMode="External"/><Relationship Id="rId478" Type="http://schemas.openxmlformats.org/officeDocument/2006/relationships/hyperlink" Target="http://www.sec.gov/Archives/edgar/data/1932393/000119312522279103/d379971dex1018.htm" TargetMode="External"/><Relationship Id="rId479" Type="http://schemas.openxmlformats.org/officeDocument/2006/relationships/hyperlink" Target="http://www.sec.gov/Archives/edgar/data/1932393/000119312522279103/d379971dex1019.htm" TargetMode="External"/><Relationship Id="rId481" Type="http://schemas.openxmlformats.org/officeDocument/2006/relationships/hyperlink" Target="http://www.sec.gov/Archives/edgar/data/1932393/000119312522279103/d379971dex1020.htm" TargetMode="External"/><Relationship Id="rId482" Type="http://schemas.openxmlformats.org/officeDocument/2006/relationships/hyperlink" Target="http://www.sec.gov/Archives/edgar/data/1932393/000119312522279103/d379971dex1021.htm" TargetMode="External"/><Relationship Id="rId483" Type="http://schemas.openxmlformats.org/officeDocument/2006/relationships/hyperlink" Target="http://www.sec.gov/Archives/edgar/data/0001932393/000119312522279103/d379971dex1022.htm" TargetMode="External"/><Relationship Id="rId484" Type="http://schemas.openxmlformats.org/officeDocument/2006/relationships/hyperlink" Target="http://www.sec.gov/Archives/edgar/data/40545/000004054521000013/exhibit161-changeinauditor.htm" TargetMode="External"/><Relationship Id="rId485" Type="http://schemas.openxmlformats.org/officeDocument/2006/relationships/hyperlink" Target="http://www.sec.gov/Archives/edgar/data/1932393/000119312522260650/d37997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2022-12-14T16:27:48Z</dcterms:created>
  <dcterms:modified xsi:type="dcterms:W3CDTF">2022-12-14T16:27:48Z</dcterms:modified>
</cp:coreProperties>
</file>