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578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O'Neill Kevin Michael</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200" w:type="dxa"/>
            <w:vAlign w:val="bottom"/>
          </w:tcPr>
          <w:p>
            <w:pPr>
              <w:ind w:left="22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500 W. MONROE STREET</w:t>
            </w:r>
          </w:p>
        </w:tc>
        <w:tc>
          <w:tcPr>
            <w:tcW w:w="14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0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60661</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220"/>
              <w:spacing w:after="0"/>
              <w:rPr>
                <w:sz w:val="20"/>
                <w:szCs w:val="20"/>
                <w:color w:val="auto"/>
              </w:rPr>
            </w:pPr>
            <w:r>
              <w:rPr>
                <w:rFonts w:ascii="Arial" w:cs="Arial" w:eastAsia="Arial" w:hAnsi="Arial"/>
                <w:sz w:val="13"/>
                <w:szCs w:val="13"/>
                <w:color w:val="auto"/>
              </w:rPr>
              <w:t>(State)</w:t>
            </w:r>
          </w:p>
        </w:tc>
        <w:tc>
          <w:tcPr>
            <w:tcW w:w="1440" w:type="dxa"/>
            <w:vAlign w:val="bottom"/>
          </w:tcPr>
          <w:p>
            <w:pPr>
              <w:ind w:left="2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 HealthCare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GEHC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200" w:type="dxa"/>
            <w:vAlign w:val="bottom"/>
          </w:tcPr>
          <w:p>
            <w:pPr>
              <w:spacing w:after="0"/>
              <w:rPr>
                <w:sz w:val="19"/>
                <w:szCs w:val="19"/>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4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200" w:type="dxa"/>
            <w:vAlign w:val="bottom"/>
          </w:tcPr>
          <w:p>
            <w:pPr>
              <w:ind w:left="60"/>
              <w:spacing w:after="0" w:line="148" w:lineRule="exact"/>
              <w:rPr>
                <w:sz w:val="20"/>
                <w:szCs w:val="20"/>
                <w:color w:val="auto"/>
              </w:rPr>
            </w:pPr>
            <w:r>
              <w:rPr>
                <w:rFonts w:ascii="Arial" w:cs="Arial" w:eastAsia="Arial" w:hAnsi="Arial"/>
                <w:sz w:val="13"/>
                <w:szCs w:val="13"/>
                <w:color w:val="auto"/>
              </w:rPr>
              <w:t>10% Owner</w:t>
            </w:r>
          </w:p>
        </w:tc>
      </w:tr>
      <w:tr>
        <w:trPr>
          <w:trHeight w:val="125"/>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74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900" w:type="dxa"/>
            <w:vAlign w:val="bottom"/>
          </w:tcPr>
          <w:p>
            <w:pPr>
              <w:ind w:left="400"/>
              <w:spacing w:after="0" w:line="126" w:lineRule="exact"/>
              <w:rPr>
                <w:sz w:val="20"/>
                <w:szCs w:val="20"/>
                <w:color w:val="auto"/>
              </w:rPr>
            </w:pPr>
            <w:r>
              <w:rPr>
                <w:rFonts w:ascii="Arial" w:cs="Arial" w:eastAsia="Arial" w:hAnsi="Arial"/>
                <w:sz w:val="13"/>
                <w:szCs w:val="13"/>
                <w:color w:val="auto"/>
              </w:rPr>
              <w:t>Officer (give title</w:t>
            </w:r>
          </w:p>
        </w:tc>
        <w:tc>
          <w:tcPr>
            <w:tcW w:w="1200" w:type="dxa"/>
            <w:vAlign w:val="bottom"/>
          </w:tcPr>
          <w:p>
            <w:pPr>
              <w:ind w:left="60"/>
              <w:spacing w:after="0" w:line="126" w:lineRule="exact"/>
              <w:rPr>
                <w:sz w:val="20"/>
                <w:szCs w:val="20"/>
                <w:color w:val="auto"/>
              </w:rPr>
            </w:pPr>
            <w:r>
              <w:rPr>
                <w:rFonts w:ascii="Arial" w:cs="Arial" w:eastAsia="Arial" w:hAnsi="Arial"/>
                <w:sz w:val="13"/>
                <w:szCs w:val="13"/>
                <w:color w:val="auto"/>
              </w:rPr>
              <w:t>Other (specify</w:t>
            </w: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900" w:type="dxa"/>
            <w:vAlign w:val="bottom"/>
          </w:tcPr>
          <w:p>
            <w:pPr>
              <w:ind w:left="400"/>
              <w:spacing w:after="0"/>
              <w:rPr>
                <w:sz w:val="20"/>
                <w:szCs w:val="20"/>
                <w:color w:val="auto"/>
              </w:rPr>
            </w:pPr>
            <w:r>
              <w:rPr>
                <w:rFonts w:ascii="Arial" w:cs="Arial" w:eastAsia="Arial" w:hAnsi="Arial"/>
                <w:sz w:val="13"/>
                <w:szCs w:val="13"/>
                <w:color w:val="auto"/>
              </w:rPr>
              <w:t>below)</w:t>
            </w:r>
          </w:p>
        </w:tc>
        <w:tc>
          <w:tcPr>
            <w:tcW w:w="1200" w:type="dxa"/>
            <w:vAlign w:val="bottom"/>
          </w:tcPr>
          <w:p>
            <w:pPr>
              <w:ind w:left="60"/>
              <w:spacing w:after="0"/>
              <w:rPr>
                <w:sz w:val="20"/>
                <w:szCs w:val="20"/>
                <w:color w:val="auto"/>
              </w:rPr>
            </w:pPr>
            <w:r>
              <w:rPr>
                <w:rFonts w:ascii="Arial" w:cs="Arial" w:eastAsia="Arial" w:hAnsi="Arial"/>
                <w:sz w:val="13"/>
                <w:szCs w:val="13"/>
                <w:color w:val="auto"/>
              </w:rPr>
              <w:t>below)</w:t>
            </w:r>
          </w:p>
        </w:tc>
      </w:tr>
      <w:tr>
        <w:trPr>
          <w:trHeight w:val="253"/>
        </w:trPr>
        <w:tc>
          <w:tcPr>
            <w:tcW w:w="29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02/12/2026</w:t>
            </w: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00" w:type="dxa"/>
            <w:vAlign w:val="bottom"/>
          </w:tcPr>
          <w:p>
            <w:pPr>
              <w:ind w:left="1080"/>
              <w:spacing w:after="0"/>
              <w:rPr>
                <w:sz w:val="20"/>
                <w:szCs w:val="20"/>
                <w:color w:val="auto"/>
              </w:rPr>
            </w:pPr>
            <w:r>
              <w:rPr>
                <w:rFonts w:ascii="Times New Roman" w:cs="Times New Roman" w:eastAsia="Times New Roman" w:hAnsi="Times New Roman"/>
                <w:sz w:val="17"/>
                <w:szCs w:val="17"/>
                <w:color w:val="0000FF"/>
              </w:rPr>
              <w:t>CEO, PDx</w:t>
            </w:r>
          </w:p>
        </w:tc>
        <w:tc>
          <w:tcPr>
            <w:tcW w:w="1200" w:type="dxa"/>
            <w:vAlign w:val="bottom"/>
          </w:tcPr>
          <w:p>
            <w:pPr>
              <w:spacing w:after="0"/>
              <w:rPr>
                <w:sz w:val="22"/>
                <w:szCs w:val="22"/>
                <w:color w:val="auto"/>
              </w:rPr>
            </w:pPr>
          </w:p>
        </w:tc>
      </w:tr>
      <w:tr>
        <w:trPr>
          <w:trHeight w:val="248"/>
        </w:trPr>
        <w:tc>
          <w:tcPr>
            <w:tcW w:w="8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274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3100" w:type="dxa"/>
            <w:vAlign w:val="bottom"/>
            <w:tcBorders>
              <w:bottom w:val="single" w:sz="8" w:color="2C2C2C"/>
            </w:tcBorders>
            <w:gridSpan w:val="2"/>
          </w:tcPr>
          <w:p>
            <w:pPr>
              <w:spacing w:after="0"/>
              <w:rPr>
                <w:sz w:val="21"/>
                <w:szCs w:val="2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gridSpan w:val="3"/>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02/12/2026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6,938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29,456</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80"/>
              <w:spacing w:after="0"/>
              <w:rPr>
                <w:sz w:val="20"/>
                <w:szCs w:val="20"/>
                <w:color w:val="auto"/>
              </w:rPr>
            </w:pPr>
            <w:r>
              <w:rPr>
                <w:rFonts w:ascii="Times New Roman" w:cs="Times New Roman" w:eastAsia="Times New Roman" w:hAnsi="Times New Roman"/>
                <w:sz w:val="17"/>
                <w:szCs w:val="17"/>
                <w:color w:val="0000FF"/>
              </w:rPr>
              <w:t>02/12/2026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3,261</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79.2</w:t>
            </w:r>
          </w:p>
        </w:tc>
        <w:tc>
          <w:tcPr>
            <w:tcW w:w="122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26,195</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By share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vMerge w:val="restart"/>
          </w:tcPr>
          <w:p>
            <w:pPr>
              <w:jc w:val="center"/>
              <w:ind w:right="457"/>
              <w:spacing w:after="0"/>
              <w:rPr>
                <w:sz w:val="20"/>
                <w:szCs w:val="20"/>
                <w:color w:val="auto"/>
              </w:rPr>
            </w:pPr>
            <w:r>
              <w:rPr>
                <w:rFonts w:ascii="Times New Roman" w:cs="Times New Roman" w:eastAsia="Times New Roman" w:hAnsi="Times New Roman"/>
                <w:sz w:val="17"/>
                <w:szCs w:val="17"/>
                <w:color w:val="0000FF"/>
                <w:w w:val="93"/>
              </w:rPr>
              <w:t>59</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incentive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3080" w:type="dxa"/>
            <w:vAlign w:val="bottom"/>
            <w:gridSpan w:val="4"/>
            <w:vMerge w:val="continue"/>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4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tcBorders>
              <w:right w:val="single" w:sz="8" w:color="2C2C2C"/>
            </w:tcBorders>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Performance stock units ("PSUs") granted on March 1, 2023, by GE HealthCare Technologies Inc. ("GE HealthCare"). Each PSU represented the right to receive one share of GE HealthCare common stock. The applicable performance criteria were satisfied and certified by GE HealthCare's Talent, Culture, and Compensation Committee and the PSUs vested on February 12, 2026.</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Withholding of shares of GE HealthCare common stock to satisfy tax withholding obligations in connection with the vesting of PSUs.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Frank R. Jimenez, General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07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Counsel and Corporate</w:t>
      </w:r>
      <w:r>
        <w:rPr>
          <w:sz w:val="20"/>
          <w:szCs w:val="20"/>
          <w:color w:val="auto"/>
        </w:rPr>
        <w:tab/>
      </w: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Secretary, as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2661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51605" TargetMode="External"/><Relationship Id="rId14" Type="http://schemas.openxmlformats.org/officeDocument/2006/relationships/hyperlink" Target="http://www.sec.gov/cgi-bin/browse-edgar?action=getcompany&amp;CIK=00019323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2026-02-17T18:19:29Z</dcterms:created>
  <dcterms:modified xsi:type="dcterms:W3CDTF">2026-02-17T18:19:29Z</dcterms:modified>
</cp:coreProperties>
</file>