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900" w:right="1360" w:hanging="2527"/>
        <w:spacing w:after="0" w:line="280" w:lineRule="auto"/>
        <w:tabs>
          <w:tab w:leader="none" w:pos="156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21"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56"/>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20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456,662,253 shares of common stock with a par value of $0.01 per share outstanding as of 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640" w:type="dxa"/>
            <w:vAlign w:val="bottom"/>
            <w:gridSpan w:val="5"/>
          </w:tcPr>
          <w:p>
            <w:pPr>
              <w:ind w:left="1240"/>
              <w:spacing w:after="0"/>
              <w:rPr>
                <w:sz w:val="20"/>
                <w:szCs w:val="20"/>
                <w:color w:val="auto"/>
              </w:rPr>
            </w:pPr>
            <w:r>
              <w:rPr>
                <w:rFonts w:ascii="Arial" w:cs="Arial" w:eastAsia="Arial" w:hAnsi="Arial"/>
                <w:sz w:val="16"/>
                <w:szCs w:val="16"/>
                <w:b w:val="1"/>
                <w:bCs w:val="1"/>
                <w:color w:val="auto"/>
                <w:w w:val="99"/>
              </w:rPr>
              <w:t>Page</w:t>
            </w:r>
          </w:p>
        </w:tc>
      </w:tr>
      <w:tr>
        <w:trPr>
          <w:trHeight w:val="426"/>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3</w:t>
            </w:r>
          </w:p>
        </w:tc>
        <w:tc>
          <w:tcPr>
            <w:tcW w:w="2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Condensed Consolidated Financial Statements (Unaudited)</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Income</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5</w:t>
            </w:r>
          </w:p>
        </w:tc>
        <w:tc>
          <w:tcPr>
            <w:tcW w:w="2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Comprehensive Income (Loss)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6</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Financial Position</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7</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Changes in Equity</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8</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Cash Flows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10</w:t>
            </w:r>
          </w:p>
        </w:tc>
        <w:tc>
          <w:tcPr>
            <w:tcW w:w="20" w:type="dxa"/>
            <w:vAlign w:val="bottom"/>
          </w:tcPr>
          <w:p>
            <w:pPr>
              <w:spacing w:after="0"/>
              <w:rPr>
                <w:sz w:val="20"/>
                <w:szCs w:val="20"/>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11</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29</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42</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42</w:t>
            </w:r>
          </w:p>
        </w:tc>
        <w:tc>
          <w:tcPr>
            <w:tcW w:w="20" w:type="dxa"/>
            <w:vAlign w:val="bottom"/>
          </w:tcPr>
          <w:p>
            <w:pPr>
              <w:spacing w:after="0"/>
              <w:rPr>
                <w:sz w:val="20"/>
                <w:szCs w:val="20"/>
                <w:color w:val="auto"/>
              </w:rPr>
            </w:pPr>
          </w:p>
        </w:tc>
      </w:tr>
      <w:tr>
        <w:trPr>
          <w:trHeight w:val="391"/>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440" w:type="dxa"/>
            <w:vAlign w:val="bottom"/>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106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line="183" w:lineRule="exact"/>
              <w:rPr>
                <w:sz w:val="20"/>
                <w:szCs w:val="20"/>
                <w:color w:val="auto"/>
              </w:rPr>
            </w:pPr>
            <w:r>
              <w:rPr>
                <w:rFonts w:ascii="Arial" w:cs="Arial" w:eastAsia="Arial" w:hAnsi="Arial"/>
                <w:sz w:val="16"/>
                <w:szCs w:val="16"/>
                <w:color w:val="auto"/>
              </w:rPr>
              <w:t>Legal Proceedings</w:t>
            </w:r>
          </w:p>
        </w:tc>
        <w:tc>
          <w:tcPr>
            <w:tcW w:w="1440" w:type="dxa"/>
            <w:vAlign w:val="bottom"/>
          </w:tcPr>
          <w:p>
            <w:pPr>
              <w:spacing w:after="0"/>
              <w:rPr>
                <w:sz w:val="15"/>
                <w:szCs w:val="15"/>
                <w:color w:val="auto"/>
              </w:rPr>
            </w:pPr>
          </w:p>
        </w:tc>
        <w:tc>
          <w:tcPr>
            <w:tcW w:w="180" w:type="dxa"/>
            <w:vAlign w:val="bottom"/>
            <w:tcBorders>
              <w:bottom w:val="single" w:sz="8" w:color="3051F2"/>
            </w:tcBorders>
            <w:gridSpan w:val="3"/>
          </w:tcPr>
          <w:p>
            <w:pPr>
              <w:jc w:val="right"/>
              <w:spacing w:after="0" w:line="183" w:lineRule="exact"/>
              <w:rPr>
                <w:sz w:val="20"/>
                <w:szCs w:val="20"/>
                <w:color w:val="auto"/>
              </w:rPr>
            </w:pPr>
            <w:r>
              <w:rPr>
                <w:rFonts w:ascii="Arial" w:cs="Arial" w:eastAsia="Arial" w:hAnsi="Arial"/>
                <w:sz w:val="16"/>
                <w:szCs w:val="16"/>
                <w:color w:val="3051F2"/>
                <w:w w:val="89"/>
              </w:rPr>
              <w:t>42</w:t>
            </w:r>
          </w:p>
        </w:tc>
        <w:tc>
          <w:tcPr>
            <w:tcW w:w="20" w:type="dxa"/>
            <w:vAlign w:val="bottom"/>
          </w:tcPr>
          <w:p>
            <w:pPr>
              <w:spacing w:after="0"/>
              <w:rPr>
                <w:sz w:val="15"/>
                <w:szCs w:val="15"/>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42</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42</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42</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42</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43</w:t>
            </w:r>
          </w:p>
        </w:tc>
        <w:tc>
          <w:tcPr>
            <w:tcW w:w="20" w:type="dxa"/>
            <w:vAlign w:val="bottom"/>
          </w:tcPr>
          <w:p>
            <w:pPr>
              <w:spacing w:after="0"/>
              <w:rPr>
                <w:sz w:val="20"/>
                <w:szCs w:val="20"/>
                <w:color w:val="auto"/>
              </w:rPr>
            </w:pPr>
          </w:p>
        </w:tc>
      </w:tr>
      <w:tr>
        <w:trPr>
          <w:trHeight w:val="23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43</w:t>
            </w:r>
          </w:p>
        </w:tc>
        <w:tc>
          <w:tcPr>
            <w:tcW w:w="20" w:type="dxa"/>
            <w:vAlign w:val="bottom"/>
          </w:tcPr>
          <w:p>
            <w:pPr>
              <w:spacing w:after="0"/>
              <w:rPr>
                <w:sz w:val="20"/>
                <w:szCs w:val="20"/>
                <w:color w:val="auto"/>
              </w:rPr>
            </w:pPr>
          </w:p>
        </w:tc>
      </w:tr>
      <w:tr>
        <w:trPr>
          <w:trHeight w:val="45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our ability to successfully complete strategic transactions;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including related to government shutdowns; the delayed China stimulus and the ongoing anti-corruption campaign; our ability to attract and/or retain key personnel and qualified employees; global geopolitical and economic instability, including as a result of the conflict between Ukraine and Russia, the conflict in Israel and surrounding areas, and the actions in the Red Sea region; public health crises, epidemics, and pandemics, and their effects on our business; maintenance and protection of our intellectual property rights, as well as maintenance of successful research and development efforts with respect to commercially successful products and technologies; the impact of potential information technology, cybersecurity, or data security breaches; compliance with the various legal, regulatory, tax, privacy, and other laws to which we are subject, such as the Foreign Corrupt Practices Act and similar anti-corruption and anti-bribery laws globally, and related changes, claims, inquiries, investigations, or actions; our ability to control increases in healthcare costs and any subsequent effect on demand for our products, services, or solutions; the impacts related to our increasing focus on and investment in cloud, edge, artificial intelligence, and software offerings; the impact of potential product liability claims; environmental, social, and governance matters; our ability to operate effectively as an independent, publicly traded company; and our level of indebtedness, as well as our general ability to comply with covenants under our debt instruments, and any related effect on our business. Please also see the “Risk Factors” section of our Annual Report on Form 10-K for the fiscal year ended December 31, 2023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68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560" w:type="dxa"/>
            <w:vAlign w:val="bottom"/>
            <w:gridSpan w:val="5"/>
          </w:tcPr>
          <w:p>
            <w:pPr>
              <w:ind w:left="116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968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680" w:type="dxa"/>
            <w:vAlign w:val="bottom"/>
          </w:tcPr>
          <w:p>
            <w:pPr>
              <w:ind w:left="20"/>
              <w:spacing w:after="0" w:line="183" w:lineRule="exact"/>
              <w:rPr>
                <w:sz w:val="20"/>
                <w:szCs w:val="20"/>
                <w:color w:val="auto"/>
              </w:rPr>
            </w:pPr>
            <w:r>
              <w:rPr>
                <w:rFonts w:ascii="Arial" w:cs="Arial" w:eastAsia="Arial" w:hAnsi="Arial"/>
                <w:sz w:val="16"/>
                <w:szCs w:val="16"/>
                <w:color w:val="auto"/>
              </w:rPr>
              <w:t>Condensed Consolidated Statements of Income</w:t>
            </w:r>
          </w:p>
        </w:tc>
        <w:tc>
          <w:tcPr>
            <w:tcW w:w="1540" w:type="dxa"/>
            <w:vAlign w:val="bottom"/>
            <w:gridSpan w:val="4"/>
          </w:tcPr>
          <w:p>
            <w:pPr>
              <w:jc w:val="right"/>
              <w:spacing w:after="0" w:line="183" w:lineRule="exact"/>
              <w:rPr>
                <w:sz w:val="20"/>
                <w:szCs w:val="20"/>
                <w:color w:val="auto"/>
              </w:rPr>
            </w:pPr>
            <w:r>
              <w:rPr>
                <w:rFonts w:ascii="Arial" w:cs="Arial" w:eastAsia="Arial" w:hAnsi="Arial"/>
                <w:sz w:val="16"/>
                <w:szCs w:val="16"/>
                <w:color w:val="0E32E1"/>
              </w:rPr>
              <w:t>5</w:t>
            </w:r>
          </w:p>
        </w:tc>
        <w:tc>
          <w:tcPr>
            <w:tcW w:w="20" w:type="dxa"/>
            <w:vAlign w:val="bottom"/>
          </w:tcPr>
          <w:p>
            <w:pPr>
              <w:spacing w:after="0"/>
              <w:rPr>
                <w:sz w:val="15"/>
                <w:szCs w:val="15"/>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Comprehensive Income (Loss)</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6</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Financial Position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7</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Changes in Equity</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8</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Cash Flows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10</w:t>
            </w:r>
          </w:p>
        </w:tc>
        <w:tc>
          <w:tcPr>
            <w:tcW w:w="20" w:type="dxa"/>
            <w:vAlign w:val="bottom"/>
          </w:tcPr>
          <w:p>
            <w:pPr>
              <w:spacing w:after="0"/>
              <w:rPr>
                <w:sz w:val="20"/>
                <w:szCs w:val="20"/>
                <w:color w:val="auto"/>
              </w:rPr>
            </w:pP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2. Revenue Recognition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12</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3. Segment Information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4. Receivables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5. Financing Receivables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6. Leases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7. Acquisitions, Goodwill, and Other Intangible Assets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8. Borrowings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9. Postretirement Benefit Plans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16</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10. Income Taxes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17</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11. Accumulated Other Comprehensive Income (Loss) – Net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18</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12. Financial Instruments and Fair Value Measurements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19</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23</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14. Restructuring and Other Activities – Net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24</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15. Earnings Per Share</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16. Supplemental Financial Information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17. Related Parties and Transition Services Agreement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28</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18. Subsequent Events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28</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2940" w:type="dxa"/>
            <w:vAlign w:val="bottom"/>
            <w:gridSpan w:val="5"/>
          </w:tcPr>
          <w:p>
            <w:pPr>
              <w:ind w:left="4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19"/>
                <w:szCs w:val="19"/>
                <w:color w:val="auto"/>
              </w:rPr>
            </w:pPr>
          </w:p>
        </w:tc>
        <w:tc>
          <w:tcPr>
            <w:tcW w:w="27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4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400" w:type="dxa"/>
            <w:vAlign w:val="bottom"/>
            <w:tcBorders>
              <w:bottom w:val="single" w:sz="8" w:color="6022A6"/>
            </w:tcBorders>
            <w:vMerge w:val="continue"/>
          </w:tcPr>
          <w:p>
            <w:pPr>
              <w:spacing w:after="0"/>
              <w:rPr>
                <w:sz w:val="19"/>
                <w:szCs w:val="19"/>
                <w:color w:val="auto"/>
              </w:rPr>
            </w:pPr>
          </w:p>
        </w:tc>
        <w:tc>
          <w:tcPr>
            <w:tcW w:w="320" w:type="dxa"/>
            <w:vAlign w:val="bottom"/>
            <w:tcBorders>
              <w:bottom w:val="single" w:sz="8" w:color="6022A6"/>
            </w:tcBorders>
          </w:tcPr>
          <w:p>
            <w:pPr>
              <w:spacing w:after="0"/>
              <w:rPr>
                <w:sz w:val="19"/>
                <w:szCs w:val="19"/>
                <w:color w:val="auto"/>
              </w:rPr>
            </w:pPr>
          </w:p>
        </w:tc>
        <w:tc>
          <w:tcPr>
            <w:tcW w:w="11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8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3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5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Sales of products</w:t>
            </w:r>
          </w:p>
        </w:tc>
        <w:tc>
          <w:tcPr>
            <w:tcW w:w="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3,207</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3,213</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6,253</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3,237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9"/>
        </w:trPr>
        <w:tc>
          <w:tcPr>
            <w:tcW w:w="5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4,817</w:t>
            </w:r>
          </w:p>
        </w:tc>
        <w:tc>
          <w:tcPr>
            <w:tcW w:w="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c>
          <w:tcPr>
            <w:tcW w:w="0" w:type="dxa"/>
            <w:vAlign w:val="bottom"/>
          </w:tcPr>
          <w:p>
            <w:pPr>
              <w:spacing w:after="0"/>
              <w:rPr>
                <w:sz w:val="1"/>
                <w:szCs w:val="1"/>
                <w:color w:val="auto"/>
              </w:rPr>
            </w:pPr>
          </w:p>
        </w:tc>
      </w:tr>
      <w:tr>
        <w:trPr>
          <w:trHeight w:val="221"/>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2,045</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792</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793</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1,574</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3,904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3,831</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1,067</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1,072</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2,105</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2,134</w:t>
            </w:r>
          </w:p>
        </w:tc>
        <w:tc>
          <w:tcPr>
            <w:tcW w:w="0" w:type="dxa"/>
            <w:vAlign w:val="bottom"/>
          </w:tcPr>
          <w:p>
            <w:pPr>
              <w:spacing w:after="0"/>
              <w:rPr>
                <w:sz w:val="1"/>
                <w:szCs w:val="1"/>
                <w:color w:val="auto"/>
              </w:rPr>
            </w:pPr>
          </w:p>
        </w:tc>
      </w:tr>
      <w:tr>
        <w:trPr>
          <w:trHeight w:val="228"/>
        </w:trPr>
        <w:tc>
          <w:tcPr>
            <w:tcW w:w="54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9"/>
        </w:trPr>
        <w:tc>
          <w:tcPr>
            <w:tcW w:w="5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1,395</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1,370</w:t>
            </w:r>
          </w:p>
        </w:tc>
        <w:tc>
          <w:tcPr>
            <w:tcW w:w="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2,756</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2,702</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1,148</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1,129</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1,116</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433</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823</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607</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12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1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32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Earnings per share attributable to GE HealthCare common</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stockholders: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0.94</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0.92</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1.76</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32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458</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69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spacing w:after="0" w:line="182" w:lineRule="exact"/>
              <w:rPr>
                <w:sz w:val="20"/>
                <w:szCs w:val="20"/>
                <w:color w:val="auto"/>
              </w:rPr>
            </w:pPr>
            <w:r>
              <w:rPr>
                <w:rFonts w:ascii="Arial" w:cs="Arial" w:eastAsia="Arial" w:hAnsi="Arial"/>
                <w:sz w:val="16"/>
                <w:szCs w:val="16"/>
                <w:b w:val="1"/>
                <w:bCs w:val="1"/>
                <w:color w:val="454545"/>
              </w:rPr>
              <w:t>For the three months ended June</w:t>
            </w:r>
          </w:p>
        </w:tc>
        <w:tc>
          <w:tcPr>
            <w:tcW w:w="280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restart"/>
          </w:tcPr>
          <w:p>
            <w:pPr>
              <w:jc w:val="right"/>
              <w:ind w:right="139"/>
              <w:spacing w:after="0"/>
              <w:rPr>
                <w:sz w:val="20"/>
                <w:szCs w:val="20"/>
                <w:color w:val="auto"/>
              </w:rPr>
            </w:pPr>
            <w:r>
              <w:rPr>
                <w:rFonts w:ascii="Arial" w:cs="Arial" w:eastAsia="Arial" w:hAnsi="Arial"/>
                <w:sz w:val="16"/>
                <w:szCs w:val="16"/>
                <w:b w:val="1"/>
                <w:bCs w:val="1"/>
                <w:color w:val="454545"/>
              </w:rPr>
              <w:t>30</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1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560" w:type="dxa"/>
            <w:vAlign w:val="bottom"/>
            <w:tcBorders>
              <w:bottom w:val="single" w:sz="8" w:color="6022A6"/>
            </w:tcBorders>
            <w:vMerge w:val="continue"/>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2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80" w:type="dxa"/>
            <w:vAlign w:val="bottom"/>
            <w:tcBorders>
              <w:bottom w:val="single" w:sz="8" w:color="6022A6"/>
            </w:tcBorders>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802</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790</w:t>
            </w: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9"/>
        </w:trPr>
        <w:tc>
          <w:tcPr>
            <w:tcW w:w="5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435</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433</w:t>
            </w:r>
          </w:p>
        </w:tc>
        <w:tc>
          <w:tcPr>
            <w:tcW w:w="8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823</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816</w:t>
            </w:r>
          </w:p>
        </w:tc>
        <w:tc>
          <w:tcPr>
            <w:tcW w:w="0" w:type="dxa"/>
            <w:vAlign w:val="bottom"/>
          </w:tcPr>
          <w:p>
            <w:pPr>
              <w:spacing w:after="0"/>
              <w:rPr>
                <w:sz w:val="1"/>
                <w:szCs w:val="1"/>
                <w:color w:val="auto"/>
              </w:rPr>
            </w:pPr>
          </w:p>
        </w:tc>
      </w:tr>
      <w:tr>
        <w:trPr>
          <w:trHeight w:val="220"/>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12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7"/>
        </w:trPr>
        <w:tc>
          <w:tcPr>
            <w:tcW w:w="556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9"/>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12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377</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8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0" w:type="dxa"/>
            <w:vAlign w:val="bottom"/>
          </w:tcPr>
          <w:p>
            <w:pPr>
              <w:spacing w:after="0"/>
              <w:rPr>
                <w:sz w:val="1"/>
                <w:szCs w:val="1"/>
                <w:color w:val="auto"/>
              </w:rPr>
            </w:pPr>
          </w:p>
        </w:tc>
      </w:tr>
      <w:tr>
        <w:trPr>
          <w:trHeight w:val="221"/>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9"/>
        </w:trPr>
        <w:tc>
          <w:tcPr>
            <w:tcW w:w="5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370</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413</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648</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738</w:t>
            </w:r>
          </w:p>
        </w:tc>
        <w:tc>
          <w:tcPr>
            <w:tcW w:w="0" w:type="dxa"/>
            <w:vAlign w:val="bottom"/>
          </w:tcPr>
          <w:p>
            <w:pPr>
              <w:spacing w:after="0"/>
              <w:rPr>
                <w:sz w:val="1"/>
                <w:szCs w:val="1"/>
                <w:color w:val="auto"/>
              </w:rPr>
            </w:pPr>
          </w:p>
        </w:tc>
      </w:tr>
      <w:tr>
        <w:trPr>
          <w:trHeight w:val="20"/>
        </w:trPr>
        <w:tc>
          <w:tcPr>
            <w:tcW w:w="5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2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454545"/>
              </w:rPr>
              <w:t>June 30, 2024</w:t>
            </w:r>
          </w:p>
        </w:tc>
        <w:tc>
          <w:tcPr>
            <w:tcW w:w="12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$103 and $98</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Due from related parties</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8,806</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9,410</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13,116</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4,365</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assets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1,913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31,852</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2,824</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1,876</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20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8,318</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8,981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8,233</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23,858</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25,144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0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0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par value $0.01 per share, 1,000,000,000 shares authorized, 456,654,068 shares issued</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and outstanding as of June 30, 2024; 455,342,290 shares issued and outstanding as of December 31, 2023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6,540</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other comprehensive income (loss) – net</w:t>
            </w:r>
          </w:p>
        </w:tc>
        <w:tc>
          <w:tcPr>
            <w:tcW w:w="20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7,801</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7,133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7,817</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31,852</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40" w:top="11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3"/>
        </w:trPr>
        <w:tc>
          <w:tcPr>
            <w:tcW w:w="642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140" w:type="dxa"/>
            <w:vAlign w:val="bottom"/>
          </w:tcPr>
          <w:p>
            <w:pPr>
              <w:spacing w:after="0"/>
              <w:rPr>
                <w:sz w:val="24"/>
                <w:szCs w:val="24"/>
                <w:color w:val="auto"/>
              </w:rPr>
            </w:pPr>
          </w:p>
        </w:tc>
        <w:tc>
          <w:tcPr>
            <w:tcW w:w="2180" w:type="dxa"/>
            <w:vAlign w:val="bottom"/>
            <w:tcBorders>
              <w:bottom w:val="single" w:sz="8" w:color="454545"/>
            </w:tcBorders>
            <w:gridSpan w:val="3"/>
          </w:tcPr>
          <w:p>
            <w:pPr>
              <w:jc w:val="right"/>
              <w:ind w:right="419"/>
              <w:spacing w:after="0"/>
              <w:rPr>
                <w:sz w:val="20"/>
                <w:szCs w:val="20"/>
                <w:color w:val="auto"/>
              </w:rPr>
            </w:pPr>
            <w:r>
              <w:rPr>
                <w:rFonts w:ascii="Arial" w:cs="Arial" w:eastAsia="Arial" w:hAnsi="Arial"/>
                <w:sz w:val="16"/>
                <w:szCs w:val="16"/>
                <w:b w:val="1"/>
                <w:bCs w:val="1"/>
                <w:color w:val="454545"/>
              </w:rPr>
              <w:t>Common stock</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454545"/>
              </w:rPr>
              <w:t>Accumulated</w:t>
            </w:r>
          </w:p>
        </w:tc>
        <w:tc>
          <w:tcPr>
            <w:tcW w:w="220" w:type="dxa"/>
            <w:vAlign w:val="bottom"/>
          </w:tcPr>
          <w:p>
            <w:pPr>
              <w:spacing w:after="0"/>
              <w:rPr>
                <w:sz w:val="14"/>
                <w:szCs w:val="14"/>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454545"/>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454545"/>
              </w:rPr>
              <w:t>Common</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454545"/>
              </w:rPr>
              <w:t>Additional</w:t>
            </w:r>
          </w:p>
        </w:tc>
        <w:tc>
          <w:tcPr>
            <w:tcW w:w="180" w:type="dxa"/>
            <w:vAlign w:val="bottom"/>
          </w:tcPr>
          <w:p>
            <w:pPr>
              <w:spacing w:after="0"/>
              <w:rPr>
                <w:sz w:val="16"/>
                <w:szCs w:val="16"/>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454545"/>
              </w:rPr>
              <w:t>Retained</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08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paid-in</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8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160" w:type="dxa"/>
            <w:vAlign w:val="bottom"/>
            <w:tcBorders>
              <w:bottom w:val="single" w:sz="8" w:color="6022A6"/>
            </w:tcBorders>
          </w:tcPr>
          <w:p>
            <w:pPr>
              <w:spacing w:after="0"/>
              <w:rPr>
                <w:sz w:val="20"/>
                <w:szCs w:val="20"/>
                <w:color w:val="auto"/>
              </w:rPr>
            </w:pPr>
          </w:p>
        </w:tc>
        <w:tc>
          <w:tcPr>
            <w:tcW w:w="94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Par value</w:t>
            </w:r>
          </w:p>
        </w:tc>
        <w:tc>
          <w:tcPr>
            <w:tcW w:w="140" w:type="dxa"/>
            <w:vAlign w:val="bottom"/>
            <w:tcBorders>
              <w:bottom w:val="single" w:sz="8" w:color="6022A6"/>
            </w:tcBorders>
          </w:tcPr>
          <w:p>
            <w:pPr>
              <w:spacing w:after="0"/>
              <w:rPr>
                <w:sz w:val="20"/>
                <w:szCs w:val="20"/>
                <w:color w:val="auto"/>
              </w:rPr>
            </w:pPr>
          </w:p>
        </w:tc>
        <w:tc>
          <w:tcPr>
            <w:tcW w:w="9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rPr>
              <w:t>capital</w:t>
            </w:r>
          </w:p>
        </w:tc>
        <w:tc>
          <w:tcPr>
            <w:tcW w:w="180" w:type="dxa"/>
            <w:vAlign w:val="bottom"/>
            <w:tcBorders>
              <w:bottom w:val="single" w:sz="8" w:color="6022A6"/>
            </w:tcBorders>
          </w:tcPr>
          <w:p>
            <w:pPr>
              <w:spacing w:after="0"/>
              <w:rPr>
                <w:sz w:val="20"/>
                <w:szCs w:val="20"/>
                <w:color w:val="auto"/>
              </w:rPr>
            </w:pPr>
          </w:p>
        </w:tc>
        <w:tc>
          <w:tcPr>
            <w:tcW w:w="94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8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w w:val="99"/>
              </w:rPr>
              <w:t>net</w:t>
            </w:r>
          </w:p>
        </w:tc>
        <w:tc>
          <w:tcPr>
            <w:tcW w:w="22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1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4"/>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456</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6,504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1,687</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(787)</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7,423</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Issuance of common stock in connection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6"/>
                <w:szCs w:val="16"/>
                <w:color w:val="auto"/>
              </w:rPr>
              <w:t>with employee stock plans, net of shares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withheld for employee taxes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151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440"/>
        <w:spacing w:after="0" w:line="299" w:lineRule="auto"/>
        <w:rPr>
          <w:sz w:val="20"/>
          <w:szCs w:val="20"/>
          <w:color w:val="auto"/>
        </w:rPr>
      </w:pPr>
      <w:r>
        <w:rPr>
          <w:rFonts w:ascii="Arial" w:cs="Arial" w:eastAsia="Arial" w:hAnsi="Arial"/>
          <w:sz w:val="16"/>
          <w:szCs w:val="16"/>
          <w:color w:val="auto"/>
        </w:rPr>
        <w:t>Dividends declared ($0.03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94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428</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51"/>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(14)</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(58)</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4"/>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36</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-726440</wp:posOffset>
            </wp:positionV>
            <wp:extent cx="711517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-144145</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80" w:space="720"/>
            <w:col w:w="7200"/>
          </w:cols>
          <w:pgMar w:left="340" w:top="1192"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Balances as of June 30, 2024</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457</w:t>
            </w:r>
          </w:p>
        </w:tc>
        <w:tc>
          <w:tcPr>
            <w:tcW w:w="880" w:type="dxa"/>
            <w:vAlign w:val="bottom"/>
          </w:tcPr>
          <w:p>
            <w:pPr>
              <w:jc w:val="right"/>
              <w:ind w:right="6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ind w:left="20"/>
              <w:spacing w:after="0"/>
              <w:rPr>
                <w:sz w:val="20"/>
                <w:szCs w:val="20"/>
                <w:color w:val="auto"/>
              </w:rPr>
            </w:pPr>
            <w:r>
              <w:rPr>
                <w:rFonts w:ascii="Arial" w:cs="Arial" w:eastAsia="Arial" w:hAnsi="Arial"/>
                <w:sz w:val="16"/>
                <w:szCs w:val="16"/>
                <w:b w:val="1"/>
                <w:bCs w:val="1"/>
                <w:color w:val="auto"/>
              </w:rPr>
              <w:t>6,540</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2,101</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(845) $</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7,817</w:t>
            </w:r>
          </w:p>
        </w:tc>
        <w:tc>
          <w:tcPr>
            <w:tcW w:w="0" w:type="dxa"/>
            <w:vAlign w:val="bottom"/>
          </w:tcPr>
          <w:p>
            <w:pPr>
              <w:spacing w:after="0"/>
              <w:rPr>
                <w:sz w:val="1"/>
                <w:szCs w:val="1"/>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3060" w:type="dxa"/>
            <w:vAlign w:val="bottom"/>
          </w:tcPr>
          <w:p>
            <w:pPr>
              <w:spacing w:after="0"/>
              <w:rPr>
                <w:sz w:val="24"/>
                <w:szCs w:val="24"/>
                <w:color w:val="auto"/>
              </w:rPr>
            </w:pPr>
          </w:p>
        </w:tc>
        <w:tc>
          <w:tcPr>
            <w:tcW w:w="2000" w:type="dxa"/>
            <w:vAlign w:val="bottom"/>
            <w:tcBorders>
              <w:bottom w:val="single" w:sz="8" w:color="454545"/>
            </w:tcBorders>
            <w:gridSpan w:val="3"/>
          </w:tcPr>
          <w:p>
            <w:pPr>
              <w:jc w:val="right"/>
              <w:ind w:right="339"/>
              <w:spacing w:after="0"/>
              <w:rPr>
                <w:sz w:val="20"/>
                <w:szCs w:val="20"/>
                <w:color w:val="auto"/>
              </w:rPr>
            </w:pPr>
            <w:r>
              <w:rPr>
                <w:rFonts w:ascii="Arial" w:cs="Arial" w:eastAsia="Arial" w:hAnsi="Arial"/>
                <w:sz w:val="16"/>
                <w:szCs w:val="16"/>
                <w:b w:val="1"/>
                <w:bCs w:val="1"/>
                <w:color w:val="454545"/>
              </w:rPr>
              <w:t>Common stock</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454545"/>
                <w:w w:val="99"/>
              </w:rPr>
              <w:t>Accumulated</w:t>
            </w:r>
          </w:p>
        </w:tc>
        <w:tc>
          <w:tcPr>
            <w:tcW w:w="104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454545"/>
                <w:w w:val="98"/>
              </w:rPr>
              <w:t>Equity</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Common</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454545"/>
              </w:rPr>
              <w:t>Retained</w:t>
            </w: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Net parent</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80" w:type="dxa"/>
            <w:vAlign w:val="bottom"/>
          </w:tcPr>
          <w:p>
            <w:pPr>
              <w:spacing w:after="0"/>
              <w:rPr>
                <w:sz w:val="16"/>
                <w:szCs w:val="16"/>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98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paid-in</w:t>
            </w:r>
          </w:p>
        </w:tc>
        <w:tc>
          <w:tcPr>
            <w:tcW w:w="8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98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140" w:type="dxa"/>
            <w:vAlign w:val="bottom"/>
            <w:tcBorders>
              <w:bottom w:val="single" w:sz="8" w:color="6022A6"/>
            </w:tcBorders>
          </w:tcPr>
          <w:p>
            <w:pPr>
              <w:spacing w:after="0"/>
              <w:rPr>
                <w:sz w:val="20"/>
                <w:szCs w:val="20"/>
                <w:color w:val="auto"/>
              </w:rPr>
            </w:pPr>
          </w:p>
        </w:tc>
        <w:tc>
          <w:tcPr>
            <w:tcW w:w="88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Par value</w:t>
            </w:r>
          </w:p>
        </w:tc>
        <w:tc>
          <w:tcPr>
            <w:tcW w:w="88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capital</w:t>
            </w:r>
          </w:p>
        </w:tc>
        <w:tc>
          <w:tcPr>
            <w:tcW w:w="860" w:type="dxa"/>
            <w:vAlign w:val="bottom"/>
            <w:tcBorders>
              <w:bottom w:val="single" w:sz="8" w:color="6022A6"/>
            </w:tcBorders>
            <w:gridSpan w:val="2"/>
          </w:tcPr>
          <w:p>
            <w:pPr>
              <w:ind w:left="120"/>
              <w:spacing w:after="0"/>
              <w:rPr>
                <w:sz w:val="20"/>
                <w:szCs w:val="20"/>
                <w:color w:val="auto"/>
              </w:rPr>
            </w:pPr>
            <w:r>
              <w:rPr>
                <w:rFonts w:ascii="Arial" w:cs="Arial" w:eastAsia="Arial" w:hAnsi="Arial"/>
                <w:sz w:val="16"/>
                <w:szCs w:val="16"/>
                <w:b w:val="1"/>
                <w:bCs w:val="1"/>
                <w:color w:val="454545"/>
              </w:rPr>
              <w:t>earnings</w:t>
            </w:r>
          </w:p>
        </w:tc>
        <w:tc>
          <w:tcPr>
            <w:tcW w:w="98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w w:val="99"/>
              </w:rPr>
              <w:t>investment</w:t>
            </w:r>
          </w:p>
        </w:tc>
        <w:tc>
          <w:tcPr>
            <w:tcW w:w="12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040" w:type="dxa"/>
            <w:vAlign w:val="bottom"/>
            <w:tcBorders>
              <w:bottom w:val="single" w:sz="8" w:color="6022A6"/>
            </w:tcBorders>
          </w:tcPr>
          <w:p>
            <w:pPr>
              <w:jc w:val="center"/>
              <w:ind w:left="159"/>
              <w:spacing w:after="0"/>
              <w:rPr>
                <w:sz w:val="20"/>
                <w:szCs w:val="20"/>
                <w:color w:val="auto"/>
              </w:rPr>
            </w:pPr>
            <w:r>
              <w:rPr>
                <w:rFonts w:ascii="Arial" w:cs="Arial" w:eastAsia="Arial" w:hAnsi="Arial"/>
                <w:sz w:val="16"/>
                <w:szCs w:val="16"/>
                <w:b w:val="1"/>
                <w:bCs w:val="1"/>
                <w:color w:val="454545"/>
              </w:rPr>
              <w:t>interests</w:t>
            </w:r>
          </w:p>
        </w:tc>
        <w:tc>
          <w:tcPr>
            <w:tcW w:w="200" w:type="dxa"/>
            <w:vAlign w:val="bottom"/>
            <w:tcBorders>
              <w:bottom w:val="single" w:sz="8" w:color="6022A6"/>
            </w:tcBorders>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72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0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2023</w:t>
            </w: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6,425</w:t>
            </w:r>
          </w:p>
        </w:tc>
        <w:tc>
          <w:tcPr>
            <w:tcW w:w="480" w:type="dxa"/>
            <w:vAlign w:val="bottom"/>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185</w:t>
            </w:r>
          </w:p>
        </w:tc>
        <w:tc>
          <w:tcPr>
            <w:tcW w:w="700" w:type="dxa"/>
            <w:vAlign w:val="bottom"/>
            <w:shd w:val="clear" w:color="auto" w:fill="E4E4E4"/>
          </w:tcPr>
          <w:p>
            <w:pPr>
              <w:jc w:val="right"/>
              <w:ind w:right="479"/>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shd w:val="clear" w:color="auto" w:fill="E4E4E4"/>
          </w:tcPr>
          <w:p>
            <w:pPr>
              <w:ind w:left="40"/>
              <w:spacing w:after="0"/>
              <w:rPr>
                <w:sz w:val="20"/>
                <w:szCs w:val="20"/>
                <w:color w:val="auto"/>
              </w:rPr>
            </w:pPr>
            <w:r>
              <w:rPr>
                <w:rFonts w:ascii="Arial" w:cs="Arial" w:eastAsia="Arial" w:hAnsi="Arial"/>
                <w:sz w:val="16"/>
                <w:szCs w:val="16"/>
                <w:b w:val="1"/>
                <w:bCs w:val="1"/>
                <w:color w:val="auto"/>
              </w:rPr>
              <w:t>— $</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1040" w:type="dxa"/>
            <w:vAlign w:val="bottom"/>
            <w:shd w:val="clear" w:color="auto" w:fill="E4E4E4"/>
          </w:tcPr>
          <w:p>
            <w:pPr>
              <w:jc w:val="right"/>
              <w:ind w:right="839"/>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6,696</w:t>
            </w:r>
          </w:p>
        </w:tc>
        <w:tc>
          <w:tcPr>
            <w:tcW w:w="0" w:type="dxa"/>
            <w:vAlign w:val="bottom"/>
          </w:tcPr>
          <w:p>
            <w:pPr>
              <w:spacing w:after="0"/>
              <w:rPr>
                <w:sz w:val="1"/>
                <w:szCs w:val="1"/>
                <w:color w:val="auto"/>
              </w:rPr>
            </w:pPr>
          </w:p>
        </w:tc>
      </w:tr>
      <w:tr>
        <w:trPr>
          <w:trHeight w:val="21"/>
        </w:trPr>
        <w:tc>
          <w:tcPr>
            <w:tcW w:w="3060" w:type="dxa"/>
            <w:vAlign w:val="bottom"/>
            <w:shd w:val="clear" w:color="auto" w:fill="E4E4E4"/>
          </w:tcPr>
          <w:p>
            <w:pPr>
              <w:spacing w:after="0" w:line="20" w:lineRule="exact"/>
              <w:rPr>
                <w:sz w:val="1"/>
                <w:szCs w:val="1"/>
                <w:color w:val="auto"/>
              </w:rPr>
            </w:pPr>
          </w:p>
        </w:tc>
        <w:tc>
          <w:tcPr>
            <w:tcW w:w="9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88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640" w:type="dxa"/>
            <w:vAlign w:val="bottom"/>
            <w:shd w:val="clear" w:color="auto" w:fill="E4E4E4"/>
          </w:tcPr>
          <w:p>
            <w:pPr>
              <w:spacing w:after="0" w:line="20" w:lineRule="exact"/>
              <w:rPr>
                <w:sz w:val="1"/>
                <w:szCs w:val="1"/>
                <w:color w:val="auto"/>
              </w:rPr>
            </w:pPr>
          </w:p>
        </w:tc>
        <w:tc>
          <w:tcPr>
            <w:tcW w:w="480" w:type="dxa"/>
            <w:vAlign w:val="bottom"/>
            <w:shd w:val="clear" w:color="auto" w:fill="E4E4E4"/>
          </w:tcPr>
          <w:p>
            <w:pPr>
              <w:spacing w:after="0" w:line="20" w:lineRule="exact"/>
              <w:rPr>
                <w:sz w:val="1"/>
                <w:szCs w:val="1"/>
                <w:color w:val="auto"/>
              </w:rPr>
            </w:pPr>
          </w:p>
        </w:tc>
        <w:tc>
          <w:tcPr>
            <w:tcW w:w="38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00"/>
          </w:cols>
          <w:pgMar w:left="340" w:top="1192" w:right="359" w:bottom="1440" w:gutter="0" w:footer="0" w:header="0"/>
          <w:type w:val="continuous"/>
        </w:sectPr>
      </w:pPr>
    </w:p>
    <w:p>
      <w:pPr>
        <w:ind w:left="20" w:right="80"/>
        <w:spacing w:after="0" w:line="299" w:lineRule="auto"/>
        <w:rPr>
          <w:sz w:val="20"/>
          <w:szCs w:val="20"/>
          <w:color w:val="auto"/>
        </w:rPr>
      </w:pPr>
      <w:r>
        <w:rPr>
          <w:rFonts w:ascii="Arial" w:cs="Arial" w:eastAsia="Arial" w:hAnsi="Arial"/>
          <w:sz w:val="16"/>
          <w:szCs w:val="16"/>
          <w:color w:val="auto"/>
        </w:rPr>
        <w:t>Net transfers from GE, including Spin-Off-related adjustments</w:t>
      </w:r>
    </w:p>
    <w:p>
      <w:pPr>
        <w:spacing w:after="0" w:line="1" w:lineRule="exact"/>
        <w:rPr>
          <w:sz w:val="20"/>
          <w:szCs w:val="20"/>
          <w:color w:val="auto"/>
        </w:rPr>
      </w:pPr>
    </w:p>
    <w:p>
      <w:pPr>
        <w:ind w:left="20" w:right="160"/>
        <w:spacing w:after="0" w:line="28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8" w:lineRule="exact"/>
        <w:rPr>
          <w:sz w:val="20"/>
          <w:szCs w:val="20"/>
          <w:color w:val="auto"/>
        </w:rPr>
      </w:pPr>
    </w:p>
    <w:p>
      <w:pPr>
        <w:jc w:val="both"/>
        <w:ind w:left="20" w:right="160"/>
        <w:spacing w:after="0" w:line="284" w:lineRule="auto"/>
        <w:rPr>
          <w:sz w:val="20"/>
          <w:szCs w:val="20"/>
          <w:color w:val="auto"/>
        </w:rPr>
      </w:pPr>
      <w:r>
        <w:rPr>
          <w:rFonts w:ascii="Arial" w:cs="Arial" w:eastAsia="Arial" w:hAnsi="Arial"/>
          <w:sz w:val="16"/>
          <w:szCs w:val="16"/>
          <w:color w:val="auto"/>
        </w:rPr>
        <w:t>Issuance of common stock in connection with employee stock plans, net of shares withheld for employee taxes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ind w:lef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(9)</w:t>
            </w:r>
          </w:p>
        </w:tc>
        <w:tc>
          <w:tcPr>
            <w:tcW w:w="1260" w:type="dxa"/>
            <w:vAlign w:val="bottom"/>
          </w:tcPr>
          <w:p>
            <w:pPr>
              <w:ind w:left="5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567"/>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(9)</w:t>
            </w:r>
          </w:p>
        </w:tc>
        <w:tc>
          <w:tcPr>
            <w:tcW w:w="880" w:type="dxa"/>
            <w:vAlign w:val="bottom"/>
          </w:tcPr>
          <w:p>
            <w:pPr>
              <w:ind w:lef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9</w:t>
            </w:r>
          </w:p>
        </w:tc>
        <w:tc>
          <w:tcPr>
            <w:tcW w:w="1260" w:type="dxa"/>
            <w:vAlign w:val="bottom"/>
          </w:tcPr>
          <w:p>
            <w:pPr>
              <w:ind w:left="5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62"/>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7</w:t>
            </w:r>
          </w:p>
        </w:tc>
        <w:tc>
          <w:tcPr>
            <w:tcW w:w="880" w:type="dxa"/>
            <w:vAlign w:val="bottom"/>
          </w:tcPr>
          <w:p>
            <w:pPr>
              <w:ind w:lef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60" w:type="dxa"/>
            <w:vAlign w:val="bottom"/>
          </w:tcPr>
          <w:p>
            <w:pPr>
              <w:ind w:left="5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-692785</wp:posOffset>
            </wp:positionV>
            <wp:extent cx="7115175" cy="41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41973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146685</wp:posOffset>
            </wp:positionV>
            <wp:extent cx="711517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260"/>
        <w:spacing w:after="0" w:line="299" w:lineRule="auto"/>
        <w:rPr>
          <w:sz w:val="20"/>
          <w:szCs w:val="20"/>
          <w:color w:val="auto"/>
        </w:rPr>
      </w:pPr>
      <w:r>
        <w:rPr>
          <w:rFonts w:ascii="Arial" w:cs="Arial" w:eastAsia="Arial" w:hAnsi="Arial"/>
          <w:sz w:val="16"/>
          <w:szCs w:val="16"/>
          <w:color w:val="auto"/>
        </w:rPr>
        <w:t>Dividends declared ($0.06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7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418</w:t>
            </w:r>
          </w:p>
        </w:tc>
        <w:tc>
          <w:tcPr>
            <w:tcW w:w="1100" w:type="dxa"/>
            <w:vAlign w:val="bottom"/>
          </w:tcPr>
          <w:p>
            <w:pPr>
              <w:ind w:left="380"/>
              <w:spacing w:after="0"/>
              <w:rPr>
                <w:sz w:val="20"/>
                <w:szCs w:val="20"/>
                <w:color w:val="auto"/>
              </w:rPr>
            </w:pPr>
            <w:r>
              <w:rPr>
                <w:rFonts w:ascii="Arial" w:cs="Arial" w:eastAsia="Arial" w:hAnsi="Arial"/>
                <w:sz w:val="16"/>
                <w:szCs w:val="16"/>
                <w:color w:val="auto"/>
              </w:rPr>
              <w:t>—</w:t>
            </w:r>
          </w:p>
        </w:tc>
        <w:tc>
          <w:tcPr>
            <w:tcW w:w="1320" w:type="dxa"/>
            <w:vAlign w:val="bottom"/>
          </w:tcPr>
          <w:p>
            <w:pPr>
              <w:ind w:left="5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1100" w:type="dxa"/>
            <w:vAlign w:val="bottom"/>
          </w:tcPr>
          <w:p>
            <w:pPr>
              <w:ind w:left="380"/>
              <w:spacing w:after="0"/>
              <w:rPr>
                <w:sz w:val="20"/>
                <w:szCs w:val="20"/>
                <w:color w:val="auto"/>
              </w:rPr>
            </w:pPr>
            <w:r>
              <w:rPr>
                <w:rFonts w:ascii="Arial" w:cs="Arial" w:eastAsia="Arial" w:hAnsi="Arial"/>
                <w:sz w:val="16"/>
                <w:szCs w:val="16"/>
                <w:color w:val="auto"/>
              </w:rPr>
              <w:t>—</w:t>
            </w:r>
          </w:p>
        </w:tc>
        <w:tc>
          <w:tcPr>
            <w:tcW w:w="1320" w:type="dxa"/>
            <w:vAlign w:val="bottom"/>
          </w:tcPr>
          <w:p>
            <w:pPr>
              <w:ind w:left="5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w:t>
            </w:r>
          </w:p>
        </w:tc>
        <w:tc>
          <w:tcPr>
            <w:tcW w:w="1320" w:type="dxa"/>
            <w:vAlign w:val="bottom"/>
          </w:tcPr>
          <w:p>
            <w:pPr>
              <w:ind w:left="580"/>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w:t>
            </w:r>
          </w:p>
        </w:tc>
        <w:tc>
          <w:tcPr>
            <w:tcW w:w="1320" w:type="dxa"/>
            <w:vAlign w:val="bottom"/>
          </w:tcPr>
          <w:p>
            <w:pPr>
              <w:ind w:left="5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3</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9"/>
              <w:spacing w:after="0"/>
              <w:rPr>
                <w:sz w:val="20"/>
                <w:szCs w:val="20"/>
                <w:color w:val="auto"/>
              </w:rPr>
            </w:pPr>
            <w:r>
              <w:rPr>
                <w:rFonts w:ascii="Arial" w:cs="Arial" w:eastAsia="Arial" w:hAnsi="Arial"/>
                <w:sz w:val="16"/>
                <w:szCs w:val="16"/>
                <w:color w:val="auto"/>
              </w:rPr>
              <w:t>28</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w:t>
            </w:r>
          </w:p>
        </w:tc>
        <w:tc>
          <w:tcPr>
            <w:tcW w:w="1320" w:type="dxa"/>
            <w:vAlign w:val="bottom"/>
          </w:tcPr>
          <w:p>
            <w:pPr>
              <w:ind w:left="5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-726440</wp:posOffset>
            </wp:positionV>
            <wp:extent cx="71151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-144145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p>
      <w:pPr>
        <w:ind w:left="20"/>
        <w:spacing w:after="0"/>
        <w:tabs>
          <w:tab w:leader="none" w:pos="3680" w:val="left"/>
          <w:tab w:leader="none" w:pos="4860" w:val="left"/>
          <w:tab w:leader="none" w:pos="5460" w:val="left"/>
          <w:tab w:leader="none" w:pos="6480" w:val="left"/>
          <w:tab w:leader="none" w:pos="7520" w:val="left"/>
          <w:tab w:leader="none" w:pos="8800" w:val="left"/>
          <w:tab w:leader="none" w:pos="10060" w:val="left"/>
          <w:tab w:leader="none" w:pos="10720" w:val="left"/>
        </w:tabs>
        <w:rPr>
          <w:sz w:val="20"/>
          <w:szCs w:val="20"/>
          <w:color w:val="auto"/>
        </w:rPr>
      </w:pPr>
      <w:r>
        <w:rPr>
          <w:rFonts w:ascii="Arial" w:cs="Arial" w:eastAsia="Arial" w:hAnsi="Arial"/>
          <w:sz w:val="16"/>
          <w:szCs w:val="16"/>
          <w:b w:val="1"/>
          <w:bCs w:val="1"/>
          <w:color w:val="auto"/>
        </w:rPr>
        <w:t>Balances as of June 30, 2023</w:t>
      </w:r>
      <w:r>
        <w:rPr>
          <w:sz w:val="20"/>
          <w:szCs w:val="20"/>
          <w:color w:val="auto"/>
        </w:rPr>
        <w:tab/>
      </w:r>
      <w:r>
        <w:rPr>
          <w:rFonts w:ascii="Arial" w:cs="Arial" w:eastAsia="Arial" w:hAnsi="Arial"/>
          <w:sz w:val="16"/>
          <w:szCs w:val="16"/>
          <w:b w:val="1"/>
          <w:bCs w:val="1"/>
          <w:color w:val="auto"/>
        </w:rPr>
        <w:t>455 $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6,451 $</w:t>
      </w:r>
      <w:r>
        <w:rPr>
          <w:sz w:val="20"/>
          <w:szCs w:val="20"/>
          <w:color w:val="auto"/>
        </w:rPr>
        <w:tab/>
      </w:r>
      <w:r>
        <w:rPr>
          <w:rFonts w:ascii="Arial" w:cs="Arial" w:eastAsia="Arial" w:hAnsi="Arial"/>
          <w:sz w:val="16"/>
          <w:szCs w:val="16"/>
          <w:b w:val="1"/>
          <w:bCs w:val="1"/>
          <w:color w:val="auto"/>
        </w:rPr>
        <w:t>576 $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70 $</w:t>
      </w:r>
      <w:r>
        <w:rPr>
          <w:sz w:val="20"/>
          <w:szCs w:val="20"/>
          <w:color w:val="auto"/>
        </w:rPr>
        <w:tab/>
      </w:r>
      <w:r>
        <w:rPr>
          <w:rFonts w:ascii="Arial" w:cs="Arial" w:eastAsia="Arial" w:hAnsi="Arial"/>
          <w:sz w:val="16"/>
          <w:szCs w:val="16"/>
          <w:b w:val="1"/>
          <w:bCs w:val="1"/>
          <w:color w:val="auto"/>
        </w:rPr>
        <w:t>12 $</w:t>
      </w:r>
      <w:r>
        <w:rPr>
          <w:sz w:val="20"/>
          <w:szCs w:val="20"/>
          <w:color w:val="auto"/>
        </w:rPr>
        <w:tab/>
      </w:r>
      <w:r>
        <w:rPr>
          <w:rFonts w:ascii="Arial" w:cs="Arial" w:eastAsia="Arial" w:hAnsi="Arial"/>
          <w:sz w:val="15"/>
          <w:szCs w:val="15"/>
          <w:b w:val="1"/>
          <w:bCs w:val="1"/>
          <w:color w:val="auto"/>
        </w:rPr>
        <w:t>7,114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636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21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454545"/>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line="20" w:lineRule="exact"/>
              <w:rPr>
                <w:sz w:val="1"/>
                <w:szCs w:val="1"/>
                <w:color w:val="auto"/>
              </w:rPr>
            </w:pPr>
          </w:p>
        </w:tc>
        <w:tc>
          <w:tcPr>
            <w:tcW w:w="10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other</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454545"/>
              </w:rPr>
              <w:t>Common</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Additional</w:t>
            </w:r>
          </w:p>
        </w:tc>
        <w:tc>
          <w:tcPr>
            <w:tcW w:w="180" w:type="dxa"/>
            <w:vAlign w:val="bottom"/>
          </w:tcPr>
          <w:p>
            <w:pPr>
              <w:spacing w:after="0"/>
              <w:rPr>
                <w:sz w:val="16"/>
                <w:szCs w:val="16"/>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454545"/>
              </w:rPr>
              <w:t>Retained</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paid-in</w:t>
            </w: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8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6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180" w:type="dxa"/>
            <w:vAlign w:val="bottom"/>
            <w:tcBorders>
              <w:bottom w:val="single" w:sz="8" w:color="6400A0"/>
            </w:tcBorders>
          </w:tcPr>
          <w:p>
            <w:pPr>
              <w:spacing w:after="0"/>
              <w:rPr>
                <w:sz w:val="20"/>
                <w:szCs w:val="20"/>
                <w:color w:val="auto"/>
              </w:rPr>
            </w:pPr>
          </w:p>
        </w:tc>
        <w:tc>
          <w:tcPr>
            <w:tcW w:w="94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Par value</w:t>
            </w:r>
          </w:p>
        </w:tc>
        <w:tc>
          <w:tcPr>
            <w:tcW w:w="120" w:type="dxa"/>
            <w:vAlign w:val="bottom"/>
            <w:tcBorders>
              <w:bottom w:val="single" w:sz="8" w:color="6400A0"/>
            </w:tcBorders>
          </w:tcPr>
          <w:p>
            <w:pPr>
              <w:spacing w:after="0"/>
              <w:rPr>
                <w:sz w:val="20"/>
                <w:szCs w:val="20"/>
                <w:color w:val="auto"/>
              </w:rPr>
            </w:pPr>
          </w:p>
        </w:tc>
        <w:tc>
          <w:tcPr>
            <w:tcW w:w="98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8"/>
              </w:rPr>
              <w:t>capital</w:t>
            </w:r>
          </w:p>
        </w:tc>
        <w:tc>
          <w:tcPr>
            <w:tcW w:w="180" w:type="dxa"/>
            <w:vAlign w:val="bottom"/>
            <w:tcBorders>
              <w:bottom w:val="single" w:sz="8" w:color="6400A0"/>
            </w:tcBorders>
          </w:tcPr>
          <w:p>
            <w:pPr>
              <w:spacing w:after="0"/>
              <w:rPr>
                <w:sz w:val="20"/>
                <w:szCs w:val="20"/>
                <w:color w:val="auto"/>
              </w:rPr>
            </w:pPr>
          </w:p>
        </w:tc>
        <w:tc>
          <w:tcPr>
            <w:tcW w:w="92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earnings</w:t>
            </w:r>
          </w:p>
        </w:tc>
        <w:tc>
          <w:tcPr>
            <w:tcW w:w="160" w:type="dxa"/>
            <w:vAlign w:val="bottom"/>
            <w:tcBorders>
              <w:bottom w:val="single" w:sz="8" w:color="6400A0"/>
            </w:tcBorders>
          </w:tcPr>
          <w:p>
            <w:pPr>
              <w:spacing w:after="0"/>
              <w:rPr>
                <w:sz w:val="20"/>
                <w:szCs w:val="20"/>
                <w:color w:val="auto"/>
              </w:rPr>
            </w:pPr>
          </w:p>
        </w:tc>
        <w:tc>
          <w:tcPr>
            <w:tcW w:w="118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rPr>
              <w:t>net</w:t>
            </w:r>
          </w:p>
        </w:tc>
        <w:tc>
          <w:tcPr>
            <w:tcW w:w="200" w:type="dxa"/>
            <w:vAlign w:val="bottom"/>
            <w:tcBorders>
              <w:bottom w:val="single" w:sz="8" w:color="6400A0"/>
            </w:tcBorders>
          </w:tcPr>
          <w:p>
            <w:pPr>
              <w:spacing w:after="0"/>
              <w:rPr>
                <w:sz w:val="20"/>
                <w:szCs w:val="20"/>
                <w:color w:val="auto"/>
              </w:rPr>
            </w:pPr>
          </w:p>
        </w:tc>
        <w:tc>
          <w:tcPr>
            <w:tcW w:w="104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w w:val="98"/>
              </w:rPr>
              <w:t>interests</w:t>
            </w:r>
          </w:p>
        </w:tc>
        <w:tc>
          <w:tcPr>
            <w:tcW w:w="140" w:type="dxa"/>
            <w:vAlign w:val="bottom"/>
            <w:tcBorders>
              <w:bottom w:val="single" w:sz="8" w:color="6400A0"/>
            </w:tcBorders>
          </w:tcPr>
          <w:p>
            <w:pPr>
              <w:spacing w:after="0"/>
              <w:rPr>
                <w:sz w:val="20"/>
                <w:szCs w:val="20"/>
                <w:color w:val="auto"/>
              </w:rPr>
            </w:pPr>
          </w:p>
        </w:tc>
        <w:tc>
          <w:tcPr>
            <w:tcW w:w="1020" w:type="dxa"/>
            <w:vAlign w:val="bottom"/>
            <w:tcBorders>
              <w:bottom w:val="single" w:sz="8" w:color="6400A0"/>
            </w:tcBorders>
          </w:tcPr>
          <w:p>
            <w:pPr>
              <w:jc w:val="right"/>
              <w:ind w:right="39"/>
              <w:spacing w:after="0"/>
              <w:rPr>
                <w:sz w:val="20"/>
                <w:szCs w:val="20"/>
                <w:color w:val="auto"/>
              </w:rPr>
            </w:pPr>
            <w:r>
              <w:rPr>
                <w:rFonts w:ascii="Arial" w:cs="Arial" w:eastAsia="Arial" w:hAnsi="Arial"/>
                <w:sz w:val="16"/>
                <w:szCs w:val="16"/>
                <w:b w:val="1"/>
                <w:bCs w:val="1"/>
                <w:color w:val="454545"/>
                <w:w w:val="97"/>
              </w:rPr>
              <w:t>Total equity</w:t>
            </w:r>
          </w:p>
        </w:tc>
        <w:tc>
          <w:tcPr>
            <w:tcW w:w="0" w:type="dxa"/>
            <w:vAlign w:val="bottom"/>
          </w:tcPr>
          <w:p>
            <w:pPr>
              <w:spacing w:after="0"/>
              <w:rPr>
                <w:sz w:val="1"/>
                <w:szCs w:val="1"/>
                <w:color w:val="auto"/>
              </w:rPr>
            </w:pPr>
          </w:p>
        </w:tc>
      </w:tr>
      <w:tr>
        <w:trPr>
          <w:trHeight w:val="234"/>
        </w:trPr>
        <w:tc>
          <w:tcPr>
            <w:tcW w:w="3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6,493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1,326</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Issuance of common stock in connection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rPr>
              <w:t>with employee stock plans, net of shares</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withheld for employee taxes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151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380"/>
        <w:spacing w:after="0" w:line="299" w:lineRule="auto"/>
        <w:rPr>
          <w:sz w:val="20"/>
          <w:szCs w:val="20"/>
          <w:color w:val="auto"/>
        </w:rPr>
      </w:pPr>
      <w:r>
        <w:rPr>
          <w:rFonts w:ascii="Arial" w:cs="Arial" w:eastAsia="Arial" w:hAnsi="Arial"/>
          <w:sz w:val="16"/>
          <w:szCs w:val="16"/>
          <w:color w:val="auto"/>
        </w:rPr>
        <w:t>Dividends declared ($0.06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8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802</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351"/>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(28)</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Pr>
          <w:p>
            <w:pPr>
              <w:ind w:left="460"/>
              <w:spacing w:after="0"/>
              <w:rPr>
                <w:sz w:val="20"/>
                <w:szCs w:val="20"/>
                <w:color w:val="auto"/>
              </w:rPr>
            </w:pPr>
            <w:r>
              <w:rPr>
                <w:rFonts w:ascii="Arial" w:cs="Arial" w:eastAsia="Arial" w:hAnsi="Arial"/>
                <w:sz w:val="16"/>
                <w:szCs w:val="16"/>
                <w:color w:val="auto"/>
              </w:rPr>
              <w:t>(154)</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4"/>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70</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-726440</wp:posOffset>
            </wp:positionV>
            <wp:extent cx="71151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-143510</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20" w:space="720"/>
            <w:col w:w="7260"/>
          </w:cols>
          <w:pgMar w:left="340" w:top="1192"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Balances as of June 30, 2024</w:t>
            </w:r>
          </w:p>
        </w:tc>
        <w:tc>
          <w:tcPr>
            <w:tcW w:w="1120" w:type="dxa"/>
            <w:vAlign w:val="bottom"/>
          </w:tcPr>
          <w:p>
            <w:pPr>
              <w:ind w:left="780"/>
              <w:spacing w:after="0"/>
              <w:rPr>
                <w:sz w:val="20"/>
                <w:szCs w:val="20"/>
                <w:color w:val="auto"/>
              </w:rPr>
            </w:pPr>
            <w:r>
              <w:rPr>
                <w:rFonts w:ascii="Arial" w:cs="Arial" w:eastAsia="Arial" w:hAnsi="Arial"/>
                <w:sz w:val="16"/>
                <w:szCs w:val="16"/>
                <w:b w:val="1"/>
                <w:bCs w:val="1"/>
                <w:color w:val="auto"/>
              </w:rPr>
              <w:t>457</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5</w:t>
            </w:r>
          </w:p>
        </w:tc>
        <w:tc>
          <w:tcPr>
            <w:tcW w:w="6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6,540</w:t>
            </w:r>
          </w:p>
        </w:tc>
        <w:tc>
          <w:tcPr>
            <w:tcW w:w="4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2,101 $</w:t>
            </w: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(845) $</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7,817</w:t>
            </w:r>
          </w:p>
        </w:tc>
        <w:tc>
          <w:tcPr>
            <w:tcW w:w="0" w:type="dxa"/>
            <w:vAlign w:val="bottom"/>
          </w:tcPr>
          <w:p>
            <w:pPr>
              <w:spacing w:after="0"/>
              <w:rPr>
                <w:sz w:val="1"/>
                <w:szCs w:val="1"/>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3060" w:type="dxa"/>
            <w:vAlign w:val="bottom"/>
          </w:tcPr>
          <w:p>
            <w:pPr>
              <w:spacing w:after="0"/>
              <w:rPr>
                <w:sz w:val="24"/>
                <w:szCs w:val="24"/>
                <w:color w:val="auto"/>
              </w:rPr>
            </w:pPr>
          </w:p>
        </w:tc>
        <w:tc>
          <w:tcPr>
            <w:tcW w:w="1660" w:type="dxa"/>
            <w:vAlign w:val="bottom"/>
            <w:tcBorders>
              <w:bottom w:val="single" w:sz="8" w:color="454545"/>
            </w:tcBorders>
            <w:gridSpan w:val="2"/>
          </w:tcPr>
          <w:p>
            <w:pPr>
              <w:ind w:left="400"/>
              <w:spacing w:after="0"/>
              <w:rPr>
                <w:sz w:val="20"/>
                <w:szCs w:val="20"/>
                <w:color w:val="auto"/>
              </w:rPr>
            </w:pPr>
            <w:r>
              <w:rPr>
                <w:rFonts w:ascii="Arial" w:cs="Arial" w:eastAsia="Arial" w:hAnsi="Arial"/>
                <w:sz w:val="16"/>
                <w:szCs w:val="16"/>
                <w:b w:val="1"/>
                <w:bCs w:val="1"/>
                <w:color w:val="454545"/>
              </w:rPr>
              <w:t>Common stock</w:t>
            </w:r>
          </w:p>
        </w:tc>
        <w:tc>
          <w:tcPr>
            <w:tcW w:w="340" w:type="dxa"/>
            <w:vAlign w:val="bottom"/>
            <w:tcBorders>
              <w:bottom w:val="single" w:sz="8" w:color="454545"/>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454545"/>
                <w:w w:val="99"/>
              </w:rPr>
              <w:t>Accumulated</w:t>
            </w:r>
          </w:p>
        </w:tc>
        <w:tc>
          <w:tcPr>
            <w:tcW w:w="100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454545"/>
                <w:w w:val="98"/>
              </w:rPr>
              <w:t>Equity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454545"/>
              </w:rPr>
              <w:t>Common</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454545"/>
              </w:rPr>
              <w:t>Additional</w:t>
            </w:r>
          </w:p>
        </w:tc>
        <w:tc>
          <w:tcPr>
            <w:tcW w:w="46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Net parent</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80" w:type="dxa"/>
            <w:vAlign w:val="bottom"/>
          </w:tcPr>
          <w:p>
            <w:pPr>
              <w:spacing w:after="0"/>
              <w:rPr>
                <w:sz w:val="16"/>
                <w:szCs w:val="16"/>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12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shares</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w w:val="99"/>
              </w:rPr>
              <w:t>paid-in</w:t>
            </w:r>
          </w:p>
        </w:tc>
        <w:tc>
          <w:tcPr>
            <w:tcW w:w="960" w:type="dxa"/>
            <w:vAlign w:val="bottom"/>
            <w:gridSpan w:val="2"/>
          </w:tcPr>
          <w:p>
            <w:pPr>
              <w:ind w:left="220"/>
              <w:spacing w:after="0" w:line="175" w:lineRule="exact"/>
              <w:rPr>
                <w:sz w:val="20"/>
                <w:szCs w:val="20"/>
                <w:color w:val="auto"/>
              </w:rPr>
            </w:pPr>
            <w:r>
              <w:rPr>
                <w:rFonts w:ascii="Arial" w:cs="Arial" w:eastAsia="Arial" w:hAnsi="Arial"/>
                <w:sz w:val="16"/>
                <w:szCs w:val="16"/>
                <w:b w:val="1"/>
                <w:bCs w:val="1"/>
                <w:color w:val="454545"/>
              </w:rPr>
              <w:t>Retained</w:t>
            </w:r>
          </w:p>
        </w:tc>
        <w:tc>
          <w:tcPr>
            <w:tcW w:w="960" w:type="dxa"/>
            <w:vAlign w:val="bottom"/>
            <w:vMerge w:val="continue"/>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12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outstanding</w:t>
            </w:r>
          </w:p>
        </w:tc>
        <w:tc>
          <w:tcPr>
            <w:tcW w:w="1020" w:type="dxa"/>
            <w:vAlign w:val="bottom"/>
            <w:tcBorders>
              <w:bottom w:val="single" w:sz="8" w:color="6022A6"/>
            </w:tcBorders>
            <w:gridSpan w:val="3"/>
          </w:tcPr>
          <w:p>
            <w:pPr>
              <w:ind w:left="20"/>
              <w:spacing w:after="0"/>
              <w:rPr>
                <w:sz w:val="20"/>
                <w:szCs w:val="20"/>
                <w:color w:val="auto"/>
              </w:rPr>
            </w:pPr>
            <w:r>
              <w:rPr>
                <w:rFonts w:ascii="Arial" w:cs="Arial" w:eastAsia="Arial" w:hAnsi="Arial"/>
                <w:sz w:val="16"/>
                <w:szCs w:val="16"/>
                <w:b w:val="1"/>
                <w:bCs w:val="1"/>
                <w:color w:val="454545"/>
              </w:rPr>
              <w:t>Par value</w:t>
            </w:r>
          </w:p>
        </w:tc>
        <w:tc>
          <w:tcPr>
            <w:tcW w:w="64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capital</w:t>
            </w:r>
          </w:p>
        </w:tc>
        <w:tc>
          <w:tcPr>
            <w:tcW w:w="960" w:type="dxa"/>
            <w:vAlign w:val="bottom"/>
            <w:tcBorders>
              <w:bottom w:val="single" w:sz="8" w:color="6022A6"/>
            </w:tcBorders>
            <w:gridSpan w:val="2"/>
          </w:tcPr>
          <w:p>
            <w:pPr>
              <w:ind w:left="220"/>
              <w:spacing w:after="0"/>
              <w:rPr>
                <w:sz w:val="20"/>
                <w:szCs w:val="20"/>
                <w:color w:val="auto"/>
              </w:rPr>
            </w:pPr>
            <w:r>
              <w:rPr>
                <w:rFonts w:ascii="Arial" w:cs="Arial" w:eastAsia="Arial" w:hAnsi="Arial"/>
                <w:sz w:val="16"/>
                <w:szCs w:val="16"/>
                <w:b w:val="1"/>
                <w:bCs w:val="1"/>
                <w:color w:val="454545"/>
              </w:rPr>
              <w:t>earnings</w:t>
            </w:r>
          </w:p>
        </w:tc>
        <w:tc>
          <w:tcPr>
            <w:tcW w:w="96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w w:val="99"/>
              </w:rPr>
              <w:t>investment</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00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interests</w:t>
            </w:r>
          </w:p>
        </w:tc>
        <w:tc>
          <w:tcPr>
            <w:tcW w:w="240" w:type="dxa"/>
            <w:vAlign w:val="bottom"/>
            <w:tcBorders>
              <w:bottom w:val="single" w:sz="8" w:color="6022A6"/>
            </w:tcBorders>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72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0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1120" w:type="dxa"/>
            <w:vAlign w:val="bottom"/>
            <w:shd w:val="clear" w:color="auto" w:fill="E4E4E4"/>
          </w:tcPr>
          <w:p>
            <w:pPr>
              <w:ind w:left="760"/>
              <w:spacing w:after="0"/>
              <w:rPr>
                <w:sz w:val="20"/>
                <w:szCs w:val="20"/>
                <w:color w:val="auto"/>
              </w:rPr>
            </w:pPr>
            <w:r>
              <w:rPr>
                <w:rFonts w:ascii="Arial" w:cs="Arial" w:eastAsia="Arial" w:hAnsi="Arial"/>
                <w:sz w:val="16"/>
                <w:szCs w:val="16"/>
                <w:b w:val="1"/>
                <w:bCs w:val="1"/>
                <w:color w:val="auto"/>
              </w:rPr>
              <w:t>— $</w:t>
            </w:r>
          </w:p>
        </w:tc>
        <w:tc>
          <w:tcPr>
            <w:tcW w:w="540" w:type="dxa"/>
            <w:vAlign w:val="bottom"/>
            <w:shd w:val="clear" w:color="auto" w:fill="E4E4E4"/>
          </w:tcPr>
          <w:p>
            <w:pPr>
              <w:spacing w:after="0"/>
              <w:rPr>
                <w:sz w:val="20"/>
                <w:szCs w:val="20"/>
                <w:color w:val="auto"/>
              </w:rPr>
            </w:pPr>
          </w:p>
        </w:tc>
        <w:tc>
          <w:tcPr>
            <w:tcW w:w="48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1140" w:type="dxa"/>
            <w:vAlign w:val="bottom"/>
            <w:gridSpan w:val="2"/>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shd w:val="clear" w:color="auto" w:fill="E4E4E4"/>
          </w:tcPr>
          <w:p>
            <w:pPr>
              <w:ind w:left="260"/>
              <w:spacing w:after="0"/>
              <w:rPr>
                <w:sz w:val="20"/>
                <w:szCs w:val="20"/>
                <w:color w:val="auto"/>
              </w:rPr>
            </w:pPr>
            <w:r>
              <w:rPr>
                <w:rFonts w:ascii="Arial" w:cs="Arial" w:eastAsia="Arial" w:hAnsi="Arial"/>
                <w:sz w:val="16"/>
                <w:szCs w:val="16"/>
                <w:b w:val="1"/>
                <w:bCs w:val="1"/>
                <w:color w:val="auto"/>
              </w:rPr>
              <w:t>— $   11,235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1000" w:type="dxa"/>
            <w:vAlign w:val="bottom"/>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3060" w:type="dxa"/>
            <w:vAlign w:val="bottom"/>
            <w:shd w:val="clear" w:color="auto" w:fill="E4E4E4"/>
          </w:tcPr>
          <w:p>
            <w:pPr>
              <w:spacing w:after="0" w:line="20" w:lineRule="exact"/>
              <w:rPr>
                <w:sz w:val="1"/>
                <w:szCs w:val="1"/>
                <w:color w:val="auto"/>
              </w:rPr>
            </w:pPr>
          </w:p>
        </w:tc>
        <w:tc>
          <w:tcPr>
            <w:tcW w:w="1120" w:type="dxa"/>
            <w:vAlign w:val="bottom"/>
            <w:shd w:val="clear" w:color="auto" w:fill="E4E4E4"/>
          </w:tcPr>
          <w:p>
            <w:pPr>
              <w:spacing w:after="0" w:line="20" w:lineRule="exact"/>
              <w:rPr>
                <w:sz w:val="1"/>
                <w:szCs w:val="1"/>
                <w:color w:val="auto"/>
              </w:rPr>
            </w:pPr>
          </w:p>
        </w:tc>
        <w:tc>
          <w:tcPr>
            <w:tcW w:w="540" w:type="dxa"/>
            <w:vAlign w:val="bottom"/>
            <w:shd w:val="clear" w:color="auto" w:fill="E4E4E4"/>
          </w:tcPr>
          <w:p>
            <w:pPr>
              <w:spacing w:after="0" w:line="20" w:lineRule="exact"/>
              <w:rPr>
                <w:sz w:val="1"/>
                <w:szCs w:val="1"/>
                <w:color w:val="auto"/>
              </w:rPr>
            </w:pPr>
          </w:p>
        </w:tc>
        <w:tc>
          <w:tcPr>
            <w:tcW w:w="34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40" w:type="dxa"/>
            <w:vAlign w:val="bottom"/>
            <w:shd w:val="clear" w:color="auto" w:fill="E4E4E4"/>
          </w:tcPr>
          <w:p>
            <w:pPr>
              <w:spacing w:after="0" w:line="20" w:lineRule="exact"/>
              <w:rPr>
                <w:sz w:val="1"/>
                <w:szCs w:val="1"/>
                <w:color w:val="auto"/>
              </w:rPr>
            </w:pPr>
          </w:p>
        </w:tc>
        <w:tc>
          <w:tcPr>
            <w:tcW w:w="500" w:type="dxa"/>
            <w:vAlign w:val="bottom"/>
            <w:shd w:val="clear" w:color="auto" w:fill="E4E4E4"/>
          </w:tcPr>
          <w:p>
            <w:pPr>
              <w:spacing w:after="0" w:line="20" w:lineRule="exact"/>
              <w:rPr>
                <w:sz w:val="1"/>
                <w:szCs w:val="1"/>
                <w:color w:val="auto"/>
              </w:rPr>
            </w:pPr>
          </w:p>
        </w:tc>
        <w:tc>
          <w:tcPr>
            <w:tcW w:w="460" w:type="dxa"/>
            <w:vAlign w:val="bottom"/>
            <w:shd w:val="clear" w:color="auto" w:fill="E4E4E4"/>
          </w:tcPr>
          <w:p>
            <w:pPr>
              <w:spacing w:after="0" w:line="20" w:lineRule="exact"/>
              <w:rPr>
                <w:sz w:val="1"/>
                <w:szCs w:val="1"/>
                <w:color w:val="auto"/>
              </w:rPr>
            </w:pPr>
          </w:p>
        </w:tc>
        <w:tc>
          <w:tcPr>
            <w:tcW w:w="9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00"/>
          </w:cols>
          <w:pgMar w:left="340" w:top="1192" w:right="359" w:bottom="1440" w:gutter="0" w:footer="0" w:header="0"/>
          <w:type w:val="continuous"/>
        </w:sectPr>
      </w:pPr>
    </w:p>
    <w:p>
      <w:pPr>
        <w:ind w:left="20"/>
        <w:spacing w:after="0" w:line="299" w:lineRule="auto"/>
        <w:rPr>
          <w:sz w:val="20"/>
          <w:szCs w:val="20"/>
          <w:color w:val="auto"/>
        </w:rPr>
      </w:pPr>
      <w:r>
        <w:rPr>
          <w:rFonts w:ascii="Arial" w:cs="Arial" w:eastAsia="Arial" w:hAnsi="Arial"/>
          <w:sz w:val="16"/>
          <w:szCs w:val="16"/>
          <w:color w:val="auto"/>
        </w:rPr>
        <w:t>Net transfers from GE, including Spin-Off-related adjustments</w:t>
      </w:r>
    </w:p>
    <w:p>
      <w:pPr>
        <w:spacing w:after="0" w:line="1" w:lineRule="exact"/>
        <w:rPr>
          <w:sz w:val="20"/>
          <w:szCs w:val="20"/>
          <w:color w:val="auto"/>
        </w:rPr>
      </w:pPr>
    </w:p>
    <w:p>
      <w:pPr>
        <w:ind w:left="20" w:right="80"/>
        <w:spacing w:after="0" w:line="28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8" w:lineRule="exact"/>
        <w:rPr>
          <w:sz w:val="20"/>
          <w:szCs w:val="20"/>
          <w:color w:val="auto"/>
        </w:rPr>
      </w:pPr>
    </w:p>
    <w:p>
      <w:pPr>
        <w:jc w:val="both"/>
        <w:ind w:left="20" w:right="80"/>
        <w:spacing w:after="0" w:line="284" w:lineRule="auto"/>
        <w:rPr>
          <w:sz w:val="20"/>
          <w:szCs w:val="20"/>
          <w:color w:val="auto"/>
        </w:rPr>
      </w:pPr>
      <w:r>
        <w:rPr>
          <w:rFonts w:ascii="Arial" w:cs="Arial" w:eastAsia="Arial" w:hAnsi="Arial"/>
          <w:sz w:val="16"/>
          <w:szCs w:val="16"/>
          <w:color w:val="auto"/>
        </w:rPr>
        <w:t>Issuance of common stock in connection with employee stock plans, net of shares withheld for employee taxes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(4,842)</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2,000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567"/>
        </w:trPr>
        <w:tc>
          <w:tcPr>
            <w:tcW w:w="700" w:type="dxa"/>
            <w:vAlign w:val="bottom"/>
          </w:tcPr>
          <w:p>
            <w:pPr>
              <w:jc w:val="right"/>
              <w:ind w:right="339"/>
              <w:spacing w:after="0"/>
              <w:rPr>
                <w:sz w:val="20"/>
                <w:szCs w:val="20"/>
                <w:color w:val="auto"/>
              </w:rPr>
            </w:pPr>
            <w:r>
              <w:rPr>
                <w:rFonts w:ascii="Arial" w:cs="Arial" w:eastAsia="Arial" w:hAnsi="Arial"/>
                <w:sz w:val="16"/>
                <w:szCs w:val="16"/>
                <w:color w:val="auto"/>
                <w:w w:val="97"/>
              </w:rPr>
              <w:t>454</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6,388</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(6,393)</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ind w:left="520"/>
              <w:spacing w:after="0"/>
              <w:rPr>
                <w:sz w:val="20"/>
                <w:szCs w:val="20"/>
                <w:color w:val="auto"/>
              </w:rPr>
            </w:pPr>
            <w:r>
              <w:rPr>
                <w:rFonts w:ascii="Arial" w:cs="Arial" w:eastAsia="Arial" w:hAnsi="Arial"/>
                <w:sz w:val="16"/>
                <w:szCs w:val="16"/>
                <w:color w:val="auto"/>
              </w:rPr>
              <w:t>—</w:t>
            </w:r>
          </w:p>
        </w:tc>
      </w:tr>
      <w:tr>
        <w:trPr>
          <w:trHeight w:val="661"/>
        </w:trPr>
        <w:tc>
          <w:tcPr>
            <w:tcW w:w="70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11</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ind w:left="500"/>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-692785</wp:posOffset>
            </wp:positionV>
            <wp:extent cx="711517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42037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146685</wp:posOffset>
            </wp:positionV>
            <wp:extent cx="71151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020" w:space="680"/>
            <w:col w:w="7500"/>
          </w:cols>
          <w:pgMar w:left="340" w:top="1192"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260"/>
        <w:spacing w:after="0" w:line="299" w:lineRule="auto"/>
        <w:rPr>
          <w:sz w:val="20"/>
          <w:szCs w:val="20"/>
          <w:color w:val="auto"/>
        </w:rPr>
      </w:pPr>
      <w:r>
        <w:rPr>
          <w:rFonts w:ascii="Arial" w:cs="Arial" w:eastAsia="Arial" w:hAnsi="Arial"/>
          <w:sz w:val="16"/>
          <w:szCs w:val="16"/>
          <w:color w:val="auto"/>
        </w:rPr>
        <w:t>Dividends declared ($0.06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7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20" w:right="440"/>
        <w:spacing w:after="0" w:line="284"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790</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(52)</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52</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66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(187)</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-1146810</wp:posOffset>
            </wp:positionV>
            <wp:extent cx="711517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-563880</wp:posOffset>
            </wp:positionV>
            <wp:extent cx="711517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18415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p>
      <w:pPr>
        <w:ind w:left="20"/>
        <w:spacing w:after="0"/>
        <w:tabs>
          <w:tab w:leader="none" w:pos="3680" w:val="left"/>
          <w:tab w:leader="none" w:pos="4860" w:val="left"/>
          <w:tab w:leader="none" w:pos="5460" w:val="left"/>
          <w:tab w:leader="none" w:pos="6480" w:val="left"/>
          <w:tab w:leader="none" w:pos="7520" w:val="left"/>
          <w:tab w:leader="none" w:pos="8800" w:val="left"/>
          <w:tab w:leader="none" w:pos="10060" w:val="left"/>
          <w:tab w:leader="none" w:pos="10720" w:val="left"/>
        </w:tabs>
        <w:rPr>
          <w:sz w:val="20"/>
          <w:szCs w:val="20"/>
          <w:color w:val="auto"/>
        </w:rPr>
      </w:pPr>
      <w:r>
        <w:rPr>
          <w:rFonts w:ascii="Arial" w:cs="Arial" w:eastAsia="Arial" w:hAnsi="Arial"/>
          <w:sz w:val="16"/>
          <w:szCs w:val="16"/>
          <w:b w:val="1"/>
          <w:bCs w:val="1"/>
          <w:color w:val="auto"/>
        </w:rPr>
        <w:t>Balances as of June 30, 2023</w:t>
      </w:r>
      <w:r>
        <w:rPr>
          <w:sz w:val="20"/>
          <w:szCs w:val="20"/>
          <w:color w:val="auto"/>
        </w:rPr>
        <w:tab/>
      </w:r>
      <w:r>
        <w:rPr>
          <w:rFonts w:ascii="Arial" w:cs="Arial" w:eastAsia="Arial" w:hAnsi="Arial"/>
          <w:sz w:val="16"/>
          <w:szCs w:val="16"/>
          <w:b w:val="1"/>
          <w:bCs w:val="1"/>
          <w:color w:val="auto"/>
        </w:rPr>
        <w:t>455 $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6,451 $</w:t>
      </w:r>
      <w:r>
        <w:rPr>
          <w:sz w:val="20"/>
          <w:szCs w:val="20"/>
          <w:color w:val="auto"/>
        </w:rPr>
        <w:tab/>
      </w:r>
      <w:r>
        <w:rPr>
          <w:rFonts w:ascii="Arial" w:cs="Arial" w:eastAsia="Arial" w:hAnsi="Arial"/>
          <w:sz w:val="16"/>
          <w:szCs w:val="16"/>
          <w:b w:val="1"/>
          <w:bCs w:val="1"/>
          <w:color w:val="auto"/>
        </w:rPr>
        <w:t>576 $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70 $</w:t>
      </w:r>
      <w:r>
        <w:rPr>
          <w:sz w:val="20"/>
          <w:szCs w:val="20"/>
          <w:color w:val="auto"/>
        </w:rPr>
        <w:tab/>
      </w:r>
      <w:r>
        <w:rPr>
          <w:rFonts w:ascii="Arial" w:cs="Arial" w:eastAsia="Arial" w:hAnsi="Arial"/>
          <w:sz w:val="16"/>
          <w:szCs w:val="16"/>
          <w:b w:val="1"/>
          <w:bCs w:val="1"/>
          <w:color w:val="auto"/>
        </w:rPr>
        <w:t>12 $</w:t>
      </w:r>
      <w:r>
        <w:rPr>
          <w:sz w:val="20"/>
          <w:szCs w:val="20"/>
          <w:color w:val="auto"/>
        </w:rPr>
        <w:tab/>
      </w:r>
      <w:r>
        <w:rPr>
          <w:rFonts w:ascii="Arial" w:cs="Arial" w:eastAsia="Arial" w:hAnsi="Arial"/>
          <w:sz w:val="15"/>
          <w:szCs w:val="15"/>
          <w:b w:val="1"/>
          <w:bCs w:val="1"/>
          <w:color w:val="auto"/>
        </w:rPr>
        <w:t>7,114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40" w:top="11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84"/>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80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50"/>
        </w:trPr>
        <w:tc>
          <w:tcPr>
            <w:tcW w:w="80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00" w:type="dxa"/>
            <w:vAlign w:val="bottom"/>
            <w:tcBorders>
              <w:bottom w:val="single" w:sz="8" w:color="6022A6"/>
            </w:tcBorders>
          </w:tcPr>
          <w:p>
            <w:pPr>
              <w:spacing w:after="0"/>
              <w:rPr>
                <w:sz w:val="21"/>
                <w:szCs w:val="21"/>
                <w:color w:val="auto"/>
              </w:rPr>
            </w:pPr>
          </w:p>
        </w:tc>
        <w:tc>
          <w:tcPr>
            <w:tcW w:w="138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360" w:type="dxa"/>
            <w:vAlign w:val="bottom"/>
            <w:tcBorders>
              <w:bottom w:val="single" w:sz="8" w:color="6022A6"/>
            </w:tcBorders>
          </w:tcPr>
          <w:p>
            <w:pPr>
              <w:spacing w:after="0"/>
              <w:rPr>
                <w:sz w:val="21"/>
                <w:szCs w:val="21"/>
                <w:color w:val="auto"/>
              </w:rPr>
            </w:pPr>
          </w:p>
        </w:tc>
        <w:tc>
          <w:tcPr>
            <w:tcW w:w="12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2023</w:t>
            </w:r>
          </w:p>
        </w:tc>
      </w:tr>
      <w:tr>
        <w:trPr>
          <w:trHeight w:val="230"/>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823</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816</w:t>
            </w:r>
          </w:p>
        </w:tc>
      </w:tr>
      <w:tr>
        <w:trPr>
          <w:trHeight w:val="227"/>
        </w:trPr>
        <w:tc>
          <w:tcPr>
            <w:tcW w:w="80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Gain on fair value remeasurement of contingent consideration</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7"/>
        </w:trPr>
        <w:tc>
          <w:tcPr>
            <w:tcW w:w="8040" w:type="dxa"/>
            <w:vAlign w:val="bottom"/>
          </w:tcPr>
          <w:p>
            <w:pPr>
              <w:ind w:left="120"/>
              <w:spacing w:after="0"/>
              <w:rPr>
                <w:sz w:val="20"/>
                <w:szCs w:val="20"/>
                <w:color w:val="auto"/>
              </w:rPr>
            </w:pPr>
            <w:r>
              <w:rPr>
                <w:rFonts w:ascii="Arial" w:cs="Arial" w:eastAsia="Arial" w:hAnsi="Arial"/>
                <w:sz w:val="16"/>
                <w:szCs w:val="16"/>
                <w:color w:val="auto"/>
              </w:rPr>
              <w:t>Net periodic postretirement benefit plan (income) expense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Postretirement plan contributions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(180)</w:t>
            </w: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7"/>
        </w:trPr>
        <w:tc>
          <w:tcPr>
            <w:tcW w:w="804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from related parties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28"/>
        </w:trPr>
        <w:tc>
          <w:tcPr>
            <w:tcW w:w="804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27"/>
        </w:trPr>
        <w:tc>
          <w:tcPr>
            <w:tcW w:w="80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to related parties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804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operating activities -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20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300</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401</w:t>
            </w: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investing activities -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w:t>
            </w:r>
          </w:p>
        </w:tc>
        <w:tc>
          <w:tcPr>
            <w:tcW w:w="20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(537)</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(350)</w:t>
            </w: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Redemption of noncontrolling interests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Net transfers (to) from GE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financing activities - net</w:t>
            </w:r>
          </w:p>
        </w:tc>
        <w:tc>
          <w:tcPr>
            <w:tcW w:w="200" w:type="dxa"/>
            <w:vAlign w:val="bottom"/>
            <w:tcBorders>
              <w:bottom w:val="single" w:sz="8" w:color="E4E4E4"/>
            </w:tcBorders>
            <w:shd w:val="clear" w:color="auto" w:fill="E4E4E4"/>
          </w:tcPr>
          <w:p>
            <w:pPr>
              <w:spacing w:after="0"/>
              <w:rPr>
                <w:sz w:val="22"/>
                <w:szCs w:val="22"/>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financing activities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20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(488)</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494</w:t>
            </w: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1"/>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00" w:type="dxa"/>
            <w:vAlign w:val="bottom"/>
            <w:tcBorders>
              <w:bottom w:val="single" w:sz="8" w:color="E4E4E4"/>
            </w:tcBorders>
            <w:shd w:val="clear" w:color="auto" w:fill="E4E4E4"/>
          </w:tcPr>
          <w:p>
            <w:pPr>
              <w:spacing w:after="0"/>
              <w:rPr>
                <w:sz w:val="22"/>
                <w:szCs w:val="22"/>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2,506</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1,451</w:t>
            </w:r>
          </w:p>
        </w:tc>
      </w:tr>
      <w:tr>
        <w:trPr>
          <w:trHeight w:val="221"/>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as of June 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w:t>
            </w: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8040" w:type="dxa"/>
            <w:vAlign w:val="bottom"/>
            <w:shd w:val="clear" w:color="auto" w:fill="E4E4E4"/>
          </w:tcPr>
          <w:p>
            <w:pPr>
              <w:spacing w:after="0"/>
              <w:rPr>
                <w:sz w:val="12"/>
                <w:szCs w:val="12"/>
                <w:color w:val="auto"/>
              </w:rPr>
            </w:pPr>
          </w:p>
        </w:tc>
        <w:tc>
          <w:tcPr>
            <w:tcW w:w="200" w:type="dxa"/>
            <w:vAlign w:val="bottom"/>
            <w:shd w:val="clear" w:color="auto" w:fill="E4E4E4"/>
          </w:tcPr>
          <w:p>
            <w:pPr>
              <w:spacing w:after="0"/>
              <w:rPr>
                <w:sz w:val="12"/>
                <w:szCs w:val="12"/>
                <w:color w:val="auto"/>
              </w:rPr>
            </w:pPr>
          </w:p>
        </w:tc>
        <w:tc>
          <w:tcPr>
            <w:tcW w:w="1380" w:type="dxa"/>
            <w:vAlign w:val="bottom"/>
            <w:shd w:val="clear" w:color="auto" w:fill="E4E4E4"/>
          </w:tcPr>
          <w:p>
            <w:pPr>
              <w:spacing w:after="0"/>
              <w:rPr>
                <w:sz w:val="12"/>
                <w:szCs w:val="12"/>
                <w:color w:val="auto"/>
              </w:rPr>
            </w:pPr>
          </w:p>
        </w:tc>
        <w:tc>
          <w:tcPr>
            <w:tcW w:w="360" w:type="dxa"/>
            <w:vAlign w:val="bottom"/>
            <w:shd w:val="clear" w:color="auto" w:fill="E4E4E4"/>
          </w:tcPr>
          <w:p>
            <w:pPr>
              <w:spacing w:after="0"/>
              <w:rPr>
                <w:sz w:val="12"/>
                <w:szCs w:val="12"/>
                <w:color w:val="auto"/>
              </w:rPr>
            </w:pPr>
          </w:p>
        </w:tc>
        <w:tc>
          <w:tcPr>
            <w:tcW w:w="1220" w:type="dxa"/>
            <w:vAlign w:val="bottom"/>
            <w:shd w:val="clear" w:color="auto" w:fill="E4E4E4"/>
          </w:tcPr>
          <w:p>
            <w:pPr>
              <w:spacing w:after="0"/>
              <w:rPr>
                <w:sz w:val="12"/>
                <w:szCs w:val="12"/>
                <w:color w:val="auto"/>
              </w:rPr>
            </w:pPr>
          </w:p>
        </w:tc>
      </w:tr>
      <w:tr>
        <w:trPr>
          <w:trHeight w:val="23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paid during the year for interest</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(274)</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r>
      <w:tr>
        <w:trPr>
          <w:trHeight w:val="23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76</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8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40" w:top="11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GE HealthCare Technologies Inc. and its subsidiaries (“GE HealthCare,” the “Company,” “our,” “us,” or “we”) is a leading global medical technology, pharmaceutical diagnostics, and digital solutions innovator.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w:t>
      </w:r>
    </w:p>
    <w:p>
      <w:pPr>
        <w:spacing w:after="0" w:line="19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On January 3, 2023, the General Electric Company, which now operates as GE Aerospace, (“GE”) completed the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On April 2, 2024, GE completed the separation of its GE Vernova business into an independent publicly traded company. As of June 30, 2024, GE’s beneficial ownership was approximately 6.7% of the Company’s outstanding common stock.</w:t>
      </w:r>
    </w:p>
    <w:p>
      <w:pPr>
        <w:spacing w:after="0" w:line="217"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$2,840 million. These items substantially consisted of the transfer of: (1) certain pension plan liabilities and assets, (2) certain deferred income taxes, (3) deferred compensation liabilities, and (4) employee termination obligations.</w:t>
      </w:r>
    </w:p>
    <w:p>
      <w:pPr>
        <w:spacing w:after="0" w:line="21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17, “Related Parties and Transition Services Agreement” for more information on these agreements and related transactions.</w:t>
      </w:r>
    </w:p>
    <w:p>
      <w:pPr>
        <w:spacing w:after="0" w:line="19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condensed consolidated financial statements (the “financial statements”)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and six months ended June 30, 2024 and 2023 are not necessarily indicative of the results that may be expected for the fiscal year as a whole. The December 31, 2023 period presented on the Condensed Consolidated Statement of Financial Position was derived from audited financial statements, but does not include all disclosures required by U.S. GAAP. The following tables are presented in millions of U.S. dollars unless otherwise stated. Certain columns and rows throughout this document may not sum due to the use of rounded numbers. Percentages presented are calculated from the underlying whole-dollar amounts.</w:t>
      </w:r>
    </w:p>
    <w:p>
      <w:pPr>
        <w:spacing w:after="0" w:line="224"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Certain prior year amounts in the financial statements and notes thereto have been reclassified to conform to the current year presentation, which provides additional detail to readers of the financial statements. Amounts related to current compensation and benefit obligations that were previously reported within the All other current liabilities and All other operating activities lines on the Condensed Consolidated Statements of Financial Position and Statements of Cash Flows, respectively, have been reclassified to separate lines on the respective financial statements.</w:t>
      </w:r>
    </w:p>
    <w:p>
      <w:pPr>
        <w:spacing w:after="0" w:line="20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financial statements and notes should be read in conjunction with the Company’s audited consolidated and combined financial statements and notes included in our Annual Report on Form 10-K for the fiscal year ended December 31,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6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No. 2023-07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ASU 2023-07 requires annual and interim disclosures that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on-demand service parts, extended warranties, training, and other service-type offerings. The Company recognizes revenue from contracts with customers when the customer obtains control of the underlying products or services.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16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40" w:type="dxa"/>
            <w:vAlign w:val="bottom"/>
          </w:tcPr>
          <w:p>
            <w:pPr>
              <w:spacing w:after="0"/>
              <w:rPr>
                <w:sz w:val="19"/>
                <w:szCs w:val="19"/>
                <w:color w:val="auto"/>
              </w:rPr>
            </w:pPr>
          </w:p>
        </w:tc>
        <w:tc>
          <w:tcPr>
            <w:tcW w:w="33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259"/>
              <w:spacing w:after="0"/>
              <w:rPr>
                <w:sz w:val="20"/>
                <w:szCs w:val="20"/>
                <w:color w:val="auto"/>
              </w:rPr>
            </w:pPr>
            <w:r>
              <w:rPr>
                <w:rFonts w:ascii="Arial" w:cs="Arial" w:eastAsia="Arial" w:hAnsi="Arial"/>
                <w:sz w:val="16"/>
                <w:szCs w:val="16"/>
                <w:b w:val="1"/>
                <w:bCs w:val="1"/>
                <w:color w:val="454545"/>
              </w:rPr>
              <w:t>June 30, 2024</w:t>
            </w:r>
          </w:p>
        </w:tc>
        <w:tc>
          <w:tcPr>
            <w:tcW w:w="18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611</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r>
      <w:tr>
        <w:trPr>
          <w:trHeight w:val="228"/>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367</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9"/>
        </w:trPr>
        <w:tc>
          <w:tcPr>
            <w:tcW w:w="7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40" w:type="dxa"/>
            <w:vAlign w:val="bottom"/>
            <w:tcBorders>
              <w:bottom w:val="single" w:sz="8" w:color="E4E4E4"/>
            </w:tcBorders>
            <w:shd w:val="clear" w:color="auto" w:fill="E4E4E4"/>
          </w:tcPr>
          <w:p>
            <w:pPr>
              <w:spacing w:after="0"/>
              <w:rPr>
                <w:sz w:val="20"/>
                <w:szCs w:val="20"/>
                <w:color w:val="auto"/>
              </w:rPr>
            </w:pP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977</w:t>
            </w:r>
          </w:p>
        </w:tc>
        <w:tc>
          <w:tcPr>
            <w:tcW w:w="18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r>
      <w:tr>
        <w:trPr>
          <w:trHeight w:val="256"/>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E4E4E4"/>
          </w:tcPr>
          <w:p>
            <w:pPr>
              <w:spacing w:after="0"/>
              <w:rPr>
                <w:sz w:val="22"/>
                <w:szCs w:val="22"/>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shd w:val="clear" w:color="auto" w:fill="E4E4E4"/>
          </w:tcPr>
          <w:p>
            <w:pPr>
              <w:spacing w:after="0"/>
              <w:rPr>
                <w:sz w:val="22"/>
                <w:szCs w:val="22"/>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1,155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680" w:hanging="252"/>
        <w:spacing w:after="0" w:line="304"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remaining performance obligations (“RPO”) are expected to be satisfied with our customers.</w:t>
      </w:r>
    </w:p>
    <w:p>
      <w:pPr>
        <w:spacing w:after="0" w:line="21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As of June 30, 2024 and December 31, 2023, contract liabilities were approximately $2,562 million and $2,623 million, respectively, of which the non-current portion of $685 million and $705 million, respectively, was recognized in All other non-current liabilities in the Condensed Consolidated Statements of Financial Position. Contract liabilities decreased $61 million in 2024 primarily due to a decrease in customer advances. Revenue recognized related to the contract liabilities balance at the beginning of the year was approximately $1,116 million and $1,105 million for the six months ended June 30, 2024 and 2023,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June 30, 2024, the aggregate amount of the contracted revenues allocated to our unsatisfied performance obligations was $14,531 million. We expect to recognize revenue as we satisfy our RPO as follows: a) product-related RPO of $4,648 million of which 98% is expected to be recognized within two years, and the remaining thereafter; and b) services-related RPO of $9,883 million of which 64% and 93% are expected to be recognized within two years and five years, respectively, and the remaining thereafter.</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SEGMENT INFORMATION</w:t>
      </w:r>
    </w:p>
    <w:p>
      <w:pPr>
        <w:spacing w:after="0" w:line="257"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As of June 30, 2024, GE HealthCare’s operations were organized and managed through four reportable segments: Imaging, Ultrasound,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the “Business” section of our Annual Report on Form 10-K for the fiscal year ended December 31, 2023.</w:t>
      </w:r>
    </w:p>
    <w:p>
      <w:pPr>
        <w:spacing w:after="0" w:line="2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performance of these segments was principally measured based on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80" w:type="dxa"/>
            <w:vAlign w:val="bottom"/>
          </w:tcPr>
          <w:p>
            <w:pPr>
              <w:spacing w:after="0"/>
              <w:rPr>
                <w:sz w:val="19"/>
                <w:szCs w:val="19"/>
                <w:color w:val="auto"/>
              </w:rPr>
            </w:pPr>
          </w:p>
        </w:tc>
        <w:tc>
          <w:tcPr>
            <w:tcW w:w="3220" w:type="dxa"/>
            <w:vAlign w:val="bottom"/>
            <w:gridSpan w:val="4"/>
          </w:tcPr>
          <w:p>
            <w:pPr>
              <w:ind w:left="80"/>
              <w:spacing w:after="0"/>
              <w:rPr>
                <w:sz w:val="20"/>
                <w:szCs w:val="20"/>
                <w:color w:val="auto"/>
              </w:rPr>
            </w:pPr>
            <w:r>
              <w:rPr>
                <w:rFonts w:ascii="Arial" w:cs="Arial" w:eastAsia="Arial" w:hAnsi="Arial"/>
                <w:sz w:val="16"/>
                <w:szCs w:val="16"/>
                <w:b w:val="1"/>
                <w:bCs w:val="1"/>
                <w:color w:val="454545"/>
              </w:rPr>
              <w:t>For the three months ended June 30</w:t>
            </w:r>
          </w:p>
        </w:tc>
        <w:tc>
          <w:tcPr>
            <w:tcW w:w="220" w:type="dxa"/>
            <w:vAlign w:val="bottom"/>
          </w:tcPr>
          <w:p>
            <w:pPr>
              <w:spacing w:after="0"/>
              <w:rPr>
                <w:sz w:val="19"/>
                <w:szCs w:val="19"/>
                <w:color w:val="auto"/>
              </w:rPr>
            </w:pPr>
          </w:p>
        </w:tc>
        <w:tc>
          <w:tcPr>
            <w:tcW w:w="310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5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09"/>
        </w:trPr>
        <w:tc>
          <w:tcPr>
            <w:tcW w:w="452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80" w:type="dxa"/>
            <w:vAlign w:val="bottom"/>
            <w:shd w:val="clear" w:color="auto" w:fill="E4E4E4"/>
          </w:tcPr>
          <w:p>
            <w:pPr>
              <w:spacing w:after="0"/>
              <w:rPr>
                <w:sz w:val="18"/>
                <w:szCs w:val="18"/>
                <w:color w:val="auto"/>
              </w:rPr>
            </w:pPr>
          </w:p>
        </w:tc>
        <w:tc>
          <w:tcPr>
            <w:tcW w:w="146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42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28"/>
        </w:trPr>
        <w:tc>
          <w:tcPr>
            <w:tcW w:w="4520" w:type="dxa"/>
            <w:vAlign w:val="bottom"/>
          </w:tcPr>
          <w:p>
            <w:pPr>
              <w:ind w:left="200"/>
              <w:spacing w:after="0"/>
              <w:rPr>
                <w:sz w:val="20"/>
                <w:szCs w:val="20"/>
                <w:color w:val="auto"/>
              </w:rPr>
            </w:pPr>
            <w:r>
              <w:rPr>
                <w:rFonts w:ascii="Arial" w:cs="Arial" w:eastAsia="Arial" w:hAnsi="Arial"/>
                <w:sz w:val="16"/>
                <w:szCs w:val="16"/>
                <w:color w:val="auto"/>
              </w:rPr>
              <w:t>Radiology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2,171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2,227</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4,233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4,315</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452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Interventional Guidance</w:t>
            </w:r>
          </w:p>
        </w:tc>
        <w:tc>
          <w:tcPr>
            <w:tcW w:w="18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425</w:t>
            </w:r>
          </w:p>
        </w:tc>
        <w:tc>
          <w:tcPr>
            <w:tcW w:w="40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393</w:t>
            </w: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829</w:t>
            </w:r>
          </w:p>
        </w:tc>
        <w:tc>
          <w:tcPr>
            <w:tcW w:w="40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801</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Imaging</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2,596</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2,620</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5,062</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5,116</w:t>
            </w:r>
          </w:p>
        </w:tc>
      </w:tr>
      <w:tr>
        <w:trPr>
          <w:trHeight w:val="21"/>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Ultrasound</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823</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839</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1,647</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1,698</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PCS: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Monitoring Solutions</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538</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1,065</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1,115</w:t>
            </w:r>
          </w:p>
        </w:tc>
      </w:tr>
      <w:tr>
        <w:trPr>
          <w:trHeight w:val="227"/>
        </w:trPr>
        <w:tc>
          <w:tcPr>
            <w:tcW w:w="4520" w:type="dxa"/>
            <w:vAlign w:val="bottom"/>
          </w:tcPr>
          <w:p>
            <w:pPr>
              <w:ind w:left="260"/>
              <w:spacing w:after="0"/>
              <w:rPr>
                <w:sz w:val="20"/>
                <w:szCs w:val="20"/>
                <w:color w:val="auto"/>
              </w:rPr>
            </w:pPr>
            <w:r>
              <w:rPr>
                <w:rFonts w:ascii="Arial" w:cs="Arial" w:eastAsia="Arial" w:hAnsi="Arial"/>
                <w:sz w:val="16"/>
                <w:szCs w:val="16"/>
                <w:color w:val="auto"/>
              </w:rPr>
              <w:t>Life Support Solutions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9"/>
        </w:trPr>
        <w:tc>
          <w:tcPr>
            <w:tcW w:w="4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772</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770</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1,519</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1,551</w:t>
            </w:r>
          </w:p>
        </w:tc>
      </w:tr>
      <w:tr>
        <w:trPr>
          <w:trHeight w:val="235"/>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1,238</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1,126</w:t>
            </w:r>
          </w:p>
        </w:tc>
      </w:tr>
      <w:tr>
        <w:trPr>
          <w:trHeight w:val="21"/>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6"/>
        </w:trPr>
        <w:tc>
          <w:tcPr>
            <w:tcW w:w="45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shd w:val="clear" w:color="auto" w:fill="E4E4E4"/>
          </w:tcPr>
          <w:p>
            <w:pPr>
              <w:spacing w:after="0"/>
              <w:rPr>
                <w:sz w:val="22"/>
                <w:szCs w:val="22"/>
                <w:color w:val="auto"/>
              </w:rPr>
            </w:pPr>
          </w:p>
        </w:tc>
        <w:tc>
          <w:tcPr>
            <w:tcW w:w="1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40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c>
          <w:tcPr>
            <w:tcW w:w="40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4,839</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4,817</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9,489</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9,524</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60" w:hanging="252"/>
        <w:spacing w:after="0" w:line="286"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80" w:type="dxa"/>
            <w:vAlign w:val="bottom"/>
          </w:tcPr>
          <w:p>
            <w:pPr>
              <w:spacing w:after="0"/>
              <w:rPr>
                <w:sz w:val="19"/>
                <w:szCs w:val="19"/>
                <w:color w:val="auto"/>
              </w:rPr>
            </w:pPr>
          </w:p>
        </w:tc>
        <w:tc>
          <w:tcPr>
            <w:tcW w:w="3220" w:type="dxa"/>
            <w:vAlign w:val="bottom"/>
            <w:gridSpan w:val="4"/>
          </w:tcPr>
          <w:p>
            <w:pPr>
              <w:ind w:left="80"/>
              <w:spacing w:after="0"/>
              <w:rPr>
                <w:sz w:val="20"/>
                <w:szCs w:val="20"/>
                <w:color w:val="auto"/>
              </w:rPr>
            </w:pPr>
            <w:r>
              <w:rPr>
                <w:rFonts w:ascii="Arial" w:cs="Arial" w:eastAsia="Arial" w:hAnsi="Arial"/>
                <w:sz w:val="16"/>
                <w:szCs w:val="16"/>
                <w:b w:val="1"/>
                <w:bCs w:val="1"/>
                <w:color w:val="454545"/>
              </w:rPr>
              <w:t>For the three months ended June 30</w:t>
            </w:r>
          </w:p>
        </w:tc>
        <w:tc>
          <w:tcPr>
            <w:tcW w:w="220" w:type="dxa"/>
            <w:vAlign w:val="bottom"/>
          </w:tcPr>
          <w:p>
            <w:pPr>
              <w:spacing w:after="0"/>
              <w:rPr>
                <w:sz w:val="19"/>
                <w:szCs w:val="19"/>
                <w:color w:val="auto"/>
              </w:rPr>
            </w:pPr>
          </w:p>
        </w:tc>
        <w:tc>
          <w:tcPr>
            <w:tcW w:w="310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5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Segment EBIT</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r>
      <w:tr>
        <w:trPr>
          <w:trHeight w:val="228"/>
        </w:trPr>
        <w:tc>
          <w:tcPr>
            <w:tcW w:w="4520" w:type="dxa"/>
            <w:vAlign w:val="bottom"/>
          </w:tcPr>
          <w:p>
            <w:pPr>
              <w:ind w:left="140"/>
              <w:spacing w:after="0"/>
              <w:rPr>
                <w:sz w:val="20"/>
                <w:szCs w:val="20"/>
                <w:color w:val="auto"/>
              </w:rPr>
            </w:pPr>
            <w:r>
              <w:rPr>
                <w:rFonts w:ascii="Arial" w:cs="Arial" w:eastAsia="Arial" w:hAnsi="Arial"/>
                <w:sz w:val="16"/>
                <w:szCs w:val="16"/>
                <w:color w:val="auto"/>
              </w:rPr>
              <w:t>Imaging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286</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Ultrasound</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360</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r>
      <w:tr>
        <w:trPr>
          <w:trHeight w:val="228"/>
        </w:trPr>
        <w:tc>
          <w:tcPr>
            <w:tcW w:w="4520" w:type="dxa"/>
            <w:vAlign w:val="bottom"/>
          </w:tcPr>
          <w:p>
            <w:pPr>
              <w:ind w:left="140"/>
              <w:spacing w:after="0"/>
              <w:rPr>
                <w:sz w:val="20"/>
                <w:szCs w:val="20"/>
                <w:color w:val="auto"/>
              </w:rPr>
            </w:pPr>
            <w:r>
              <w:rPr>
                <w:rFonts w:ascii="Arial" w:cs="Arial" w:eastAsia="Arial" w:hAnsi="Arial"/>
                <w:sz w:val="16"/>
                <w:szCs w:val="16"/>
                <w:color w:val="auto"/>
              </w:rPr>
              <w:t>PCS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378</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307</w:t>
            </w:r>
          </w:p>
        </w:tc>
      </w:tr>
      <w:tr>
        <w:trPr>
          <w:trHeight w:val="25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52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742</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711</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1,423</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1,375</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1"/>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8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204</w:t>
            </w: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1,116</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640" w:hanging="252"/>
        <w:spacing w:after="0" w:line="304"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HFS and certain other business activities which do not meet the definition of an operating segment.</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2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454545"/>
              </w:rPr>
              <w:t>June 30, 2024</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3,174</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3,339</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2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9"/>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129</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2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272</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r>
      <w:tr>
        <w:trPr>
          <w:trHeight w:val="21"/>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3,343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3,525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66"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$126 million and $144 million as of June 30, 2024 and December 31, 2023,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5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454545"/>
              </w:rPr>
              <w:t>June 30, 2024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5"/>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56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5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9"/>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5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1"/>
        </w:trPr>
        <w:tc>
          <w:tcPr>
            <w:tcW w:w="7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(1)</w:t>
            </w:r>
          </w:p>
        </w:tc>
        <w:tc>
          <w:tcPr>
            <w:tcW w:w="1560" w:type="dxa"/>
            <w:vAlign w:val="bottom"/>
            <w:tcBorders>
              <w:top w:val="single" w:sz="8" w:color="auto"/>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Long-term receivables are recognized within All other non-current assets in the Condensed Consolidated Statements of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454545"/>
              </w:rPr>
              <w:t>June 30, 2024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56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(1)</w:t>
            </w:r>
          </w:p>
        </w:tc>
        <w:tc>
          <w:tcPr>
            <w:tcW w:w="15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5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(1)</w:t>
            </w:r>
          </w:p>
        </w:tc>
        <w:tc>
          <w:tcPr>
            <w:tcW w:w="1560" w:type="dxa"/>
            <w:vAlign w:val="bottom"/>
            <w:tcBorders>
              <w:top w:val="single" w:sz="8" w:color="auto"/>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r>
    </w:tbl>
    <w:p>
      <w:pPr>
        <w:spacing w:after="0" w:line="80" w:lineRule="exact"/>
        <w:rPr>
          <w:sz w:val="20"/>
          <w:szCs w:val="20"/>
          <w:color w:val="auto"/>
        </w:rPr>
      </w:pPr>
    </w:p>
    <w:p>
      <w:pPr>
        <w:ind w:left="260" w:right="480" w:hanging="252"/>
        <w:spacing w:after="0" w:line="286"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19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June 30, 2024, 4%, 4%, and 4% of financing receivables were over 30 days past due, over 90 days past due, and on nonaccrual, respectively, with the majority of nonaccrual financing receivables secured by collateral. As of December 31, 2023, 5%, 5%, and 6%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Operating lease liabilities recognized within All other current liabilities and All other non-current liabilities in the Condensed Consolidated Statements of Financial Position were $380 million and $383 million as of June 30, 2024 and December 31, 2023, respectively. The total lease expense related to our operating lease portfolio was $59 million and $57 million for the three months ended June 30, 2024 and 2023, respectively, and $119 million and $113 million for the six months ended June 30, 2024 and 2023, respectively.</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MIM Software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2024, the Company acquired 100% of the stock of MIM Software Inc. (“MIM Software”) for approximately $259 million, net of cash acquired,</w:t>
      </w:r>
    </w:p>
    <w:p>
      <w:pPr>
        <w:spacing w:after="0" w:line="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$13 million of potential earn-out payments, and up to $23 million of other contingent payments based on service requirements. The acquisition was funded with cash on hand. This transaction was accounted for as a business combination. The preliminary purchase price allocation resulted in goodwill of $195 million, customer-related intangible assets of $52 million, developed technology intangible assets of $48 million, net deferred tax liabilities of $19 million, and other net assets of $7 million. The goodwill associated with the acquired business, recorded within the Imaging segment, is non-deductible for tax purposes and is attributed to expected synergies and commercial benefits from use of the MIM Software technology in our existing GE HealthCare portfolio. MIM Software is a global provider of medical imaging analysis and artificial intelligence (“AI”) solutions for the practice of radiation oncology, molecular radiotherapy, diagnostic imaging, and urology at imaging centers, hospitals, specialty clinics, and research organizations worldwide.</w:t>
      </w:r>
    </w:p>
    <w:p>
      <w:pPr>
        <w:spacing w:after="0" w:line="20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Revenue and earnings of MIM Software included in the Company’s financial statements since the acquisition date are not material to our consolidated revenue and earnings. If the acquisition of MIM Software had taken place as of the beginning of 2023, consolidated revenues and earnings would not have been significantly different from reported amounts.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Caption Health</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of future holdback payment, and potential earn-out payments valued at $13 million based primarily on various milestones and sales targets. This transaction was accounted for as a business combination. The preliminary purchase price allocation resulted in goodwill of $94 million, intangible assets of $60 million, and deferred tax liabilities of $3 million. The purchase price allocation for Caption Health was finalized in the first quarter of 2024 without material adjustments. The goodwill associated with the acquired business is non-deductible for tax purposes and is reported in the Ultrasound segment. Caption Health is an AI company whose technology expands access to AI-guided ultrasound screening for novice users.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1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71"/>
        </w:trPr>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454545"/>
              </w:rPr>
              <w:t>Balance as of</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454545"/>
              </w:rPr>
              <w:t>Foreign exchange and</w:t>
            </w:r>
          </w:p>
        </w:tc>
        <w:tc>
          <w:tcPr>
            <w:tcW w:w="180" w:type="dxa"/>
            <w:vAlign w:val="bottom"/>
          </w:tcPr>
          <w:p>
            <w:pPr>
              <w:spacing w:after="0"/>
              <w:rPr>
                <w:sz w:val="24"/>
                <w:szCs w:val="24"/>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454545"/>
              </w:rPr>
              <w:t>Balance as of June</w:t>
            </w:r>
          </w:p>
        </w:tc>
      </w:tr>
      <w:tr>
        <w:trPr>
          <w:trHeight w:val="223"/>
        </w:trPr>
        <w:tc>
          <w:tcPr>
            <w:tcW w:w="2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454545"/>
              </w:rPr>
              <w:t>December 31, 2023</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454545"/>
              </w:rPr>
              <w:t>Acquisitions</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454545"/>
              </w:rPr>
              <w:t>other</w:t>
            </w:r>
          </w:p>
        </w:tc>
        <w:tc>
          <w:tcPr>
            <w:tcW w:w="180" w:type="dxa"/>
            <w:vAlign w:val="bottom"/>
          </w:tcPr>
          <w:p>
            <w:pPr>
              <w:spacing w:after="0"/>
              <w:rPr>
                <w:sz w:val="19"/>
                <w:szCs w:val="19"/>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454545"/>
              </w:rPr>
              <w:t>30, 2024</w:t>
            </w:r>
          </w:p>
        </w:tc>
      </w:tr>
      <w:tr>
        <w:trPr>
          <w:trHeight w:val="21"/>
        </w:trPr>
        <w:tc>
          <w:tcPr>
            <w:tcW w:w="254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30"/>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4,431</w:t>
            </w:r>
          </w:p>
        </w:tc>
        <w:tc>
          <w:tcPr>
            <w:tcW w:w="148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97"/>
              </w:rPr>
              <w:t>195</w:t>
            </w:r>
          </w:p>
        </w:tc>
        <w:tc>
          <w:tcPr>
            <w:tcW w:w="4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4,620</w:t>
            </w: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Ultrasound</w:t>
            </w:r>
          </w:p>
        </w:tc>
        <w:tc>
          <w:tcPr>
            <w:tcW w:w="1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3,933</w:t>
            </w:r>
          </w:p>
        </w:tc>
        <w:tc>
          <w:tcPr>
            <w:tcW w:w="14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3,926</w:t>
            </w:r>
          </w:p>
        </w:tc>
      </w:tr>
      <w:tr>
        <w:trPr>
          <w:trHeight w:val="29"/>
        </w:trPr>
        <w:tc>
          <w:tcPr>
            <w:tcW w:w="2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52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2,038</w:t>
            </w:r>
          </w:p>
        </w:tc>
        <w:tc>
          <w:tcPr>
            <w:tcW w:w="14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2,036</w:t>
            </w: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PDx</w:t>
            </w:r>
          </w:p>
        </w:tc>
        <w:tc>
          <w:tcPr>
            <w:tcW w:w="1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2,534</w:t>
            </w:r>
          </w:p>
        </w:tc>
        <w:tc>
          <w:tcPr>
            <w:tcW w:w="14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2,533</w:t>
            </w:r>
          </w:p>
        </w:tc>
      </w:tr>
      <w:tr>
        <w:trPr>
          <w:trHeight w:val="29"/>
        </w:trPr>
        <w:tc>
          <w:tcPr>
            <w:tcW w:w="2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Goodwill</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12,936</w:t>
            </w:r>
          </w:p>
        </w:tc>
        <w:tc>
          <w:tcPr>
            <w:tcW w:w="148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97"/>
              </w:rPr>
              <w:t>195</w:t>
            </w:r>
          </w:p>
        </w:tc>
        <w:tc>
          <w:tcPr>
            <w:tcW w:w="4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13,116</w:t>
            </w:r>
          </w:p>
        </w:tc>
      </w:tr>
      <w:tr>
        <w:trPr>
          <w:trHeight w:val="20"/>
        </w:trPr>
        <w:tc>
          <w:tcPr>
            <w:tcW w:w="2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30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ASSETS.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Intangible assets decreased during the six months ended June 30, 2024, primarily as a result of amortization, partially offset by additions related to the acquisition of MIM Software. Substantially all of our intangible assets are subject to amortization. Amortization expense was $81 million and $93 million for the three months ended June 30, 2024 and 2023, respectively, and $160 million and $189 million for the six months ended June 30, 2024 and 2023,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Company’s borrowings include $8,250 million aggregate principal amount of senior unsecured notes in six series with maturity dates ranging from 2024 through 2052 (collectively, the “Notes”). Refer to the table below for further information about the Notes.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1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 maturing on January 3, 2028;</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maturing on December 11, 2024; and</w:t>
      </w:r>
    </w:p>
    <w:p>
      <w:pPr>
        <w:spacing w:after="0" w:line="72"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maturing on January 2, 2026 (the “Term Loan Facility” and, together with the five-year revolving credit facility and the 364-day revolving credit facility, the “Credit Facilities”).</w:t>
      </w:r>
    </w:p>
    <w:p>
      <w:pPr>
        <w:spacing w:after="0" w:line="183"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as of June 30, 2024 or December 31, 2023.</w:t>
      </w:r>
    </w:p>
    <w:p>
      <w:pPr>
        <w:spacing w:after="0" w:line="168"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As of June 30, 2024, we have repaid a total of $1,000 million of the Term Loan Facility, $150 million of which was paid in the current year. We had no principal debt repayments on the Notes for the six months ended June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1760" w:type="dxa"/>
            <w:vAlign w:val="bottom"/>
          </w:tcPr>
          <w:p>
            <w:pPr>
              <w:spacing w:after="0"/>
              <w:rPr>
                <w:sz w:val="19"/>
                <w:szCs w:val="19"/>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454545"/>
              </w:rPr>
              <w:t>June 30, 2024</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176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1760" w:type="dxa"/>
            <w:vAlign w:val="bottom"/>
            <w:tcBorders>
              <w:bottom w:val="single" w:sz="8" w:color="E4E4E4"/>
            </w:tcBorders>
            <w:shd w:val="clear" w:color="auto" w:fill="E4E4E4"/>
          </w:tcPr>
          <w:p>
            <w:pPr>
              <w:jc w:val="right"/>
              <w:ind w:right="15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1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17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1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5.905% senior notes due November 22, 2032</w:t>
            </w:r>
          </w:p>
        </w:tc>
        <w:tc>
          <w:tcPr>
            <w:tcW w:w="17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1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17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17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9"/>
        </w:trPr>
        <w:tc>
          <w:tcPr>
            <w:tcW w:w="6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176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9,297</w:t>
            </w:r>
          </w:p>
        </w:tc>
        <w:tc>
          <w:tcPr>
            <w:tcW w:w="32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9,452</w:t>
            </w:r>
          </w:p>
        </w:tc>
      </w:tr>
      <w:tr>
        <w:trPr>
          <w:trHeight w:val="221"/>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17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1"/>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176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32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17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9,240</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9,442</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1760" w:type="dxa"/>
            <w:vAlign w:val="bottom"/>
            <w:tcBorders>
              <w:bottom w:val="single" w:sz="8" w:color="auto"/>
            </w:tcBorders>
            <w:shd w:val="clear" w:color="auto" w:fill="E4E4E4"/>
          </w:tcPr>
          <w:p>
            <w:pPr>
              <w:spacing w:after="0"/>
              <w:rPr>
                <w:sz w:val="21"/>
                <w:szCs w:val="21"/>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1,007</w:t>
            </w:r>
          </w:p>
        </w:tc>
        <w:tc>
          <w:tcPr>
            <w:tcW w:w="320" w:type="dxa"/>
            <w:vAlign w:val="bottom"/>
            <w:tcBorders>
              <w:bottom w:val="single" w:sz="8" w:color="auto"/>
            </w:tcBorders>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1,006</w:t>
            </w:r>
          </w:p>
        </w:tc>
      </w:tr>
      <w:tr>
        <w:trPr>
          <w:trHeight w:val="22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1760" w:type="dxa"/>
            <w:vAlign w:val="bottom"/>
          </w:tcPr>
          <w:p>
            <w:pPr>
              <w:jc w:val="right"/>
              <w:ind w:right="15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8,233</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8,436</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40" w:hanging="252"/>
        <w:spacing w:after="0" w:line="268" w:lineRule="auto"/>
        <w:tabs>
          <w:tab w:leader="none" w:pos="26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 xml:space="preserve">Short-term borrowings </w:t>
      </w:r>
      <w:r>
        <w:rPr>
          <w:rFonts w:ascii="Arial" w:cs="Arial" w:eastAsia="Arial" w:hAnsi="Arial"/>
          <w:sz w:val="16"/>
          <w:szCs w:val="16"/>
          <w:color w:val="000000"/>
        </w:rPr>
        <w:t>as of June 30, 2024 and December 31, 2023 i</w:t>
      </w:r>
      <w:r>
        <w:rPr>
          <w:rFonts w:ascii="Arial" w:cs="Arial" w:eastAsia="Arial" w:hAnsi="Arial"/>
          <w:sz w:val="16"/>
          <w:szCs w:val="16"/>
          <w:color w:val="231F20"/>
        </w:rPr>
        <w:t xml:space="preserve">ncludes </w:t>
      </w:r>
      <w:r>
        <w:rPr>
          <w:rFonts w:ascii="Arial" w:cs="Arial" w:eastAsia="Arial" w:hAnsi="Arial"/>
          <w:sz w:val="16"/>
          <w:szCs w:val="16"/>
          <w:color w:val="000000"/>
        </w:rPr>
        <w:t>$1,003 million and $1,002 million, respectively,</w:t>
      </w:r>
      <w:r>
        <w:rPr>
          <w:rFonts w:ascii="Arial" w:cs="Arial" w:eastAsia="Arial" w:hAnsi="Arial"/>
          <w:sz w:val="16"/>
          <w:szCs w:val="16"/>
          <w:color w:val="231F20"/>
        </w:rPr>
        <w:t xml:space="preserve"> related to the current portion of our long-term borrowings, net of unamortized debt issuance costs and discounts.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6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As of June 30, 2024 and December 31, 2023, the Company had bank guarantees and surety bonds of approximately $812 million and $751 million, respectively, related to certain commercial contracts. Additionally, we have issued approximately $28 million and $39 million of guarantees as of June 30, 2024 and December 31, 2023, respectively, primarily related to residual value and credit guarantees on equipment sold to third-party finance companies. Our Condensed Consolidated Statements of Financial Position reflect a liability of $4 million as of June 30, 2024 and December 31, 2023 related to these guarantees. For credit-related guarantees, we estimate our expected credit losses related to off-balance sheet credit exposure consistent with the method used to estimate the allowance for credit losses on financial assets held at amortized cost. See Note 13, “Commitments, Guarantees, Product Warranties, and Other Loss Contingencies” for further information on guarantee arrangements with 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Principal Pension Plans, Other Pension Plans, and Other Postretirement Plans (“OPEB Plans”). Please refer to Note 10, “Postretirement Benefit Plans” in our Annual Report on Form 10-K for the fiscal year ended December 31, 2023 for further information. On January 1, 2024, we transitioned from legacy GE multiple-employer OPEB plans to GE HealthCare sponsored single-employer OPEB plans. This change did not have an impact on our results of operations or financial position. Pension plans with pension assets or obligations less than $50 million are not included in the results below.</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20" w:type="dxa"/>
            <w:vAlign w:val="bottom"/>
            <w:gridSpan w:val="8"/>
          </w:tcPr>
          <w:p>
            <w:pPr>
              <w:jc w:val="center"/>
              <w:ind w:left="619"/>
              <w:spacing w:after="0"/>
              <w:rPr>
                <w:sz w:val="20"/>
                <w:szCs w:val="20"/>
                <w:color w:val="auto"/>
              </w:rPr>
            </w:pPr>
            <w:r>
              <w:rPr>
                <w:rFonts w:ascii="Arial" w:cs="Arial" w:eastAsia="Arial" w:hAnsi="Arial"/>
                <w:sz w:val="16"/>
                <w:szCs w:val="16"/>
                <w:b w:val="1"/>
                <w:bCs w:val="1"/>
                <w:color w:val="454545"/>
              </w:rPr>
              <w:t>For the three months ended June 30</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2520" w:type="dxa"/>
            <w:vAlign w:val="bottom"/>
            <w:tcBorders>
              <w:bottom w:val="single" w:sz="8" w:color="454545"/>
            </w:tcBorders>
            <w:gridSpan w:val="4"/>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300" w:type="dxa"/>
            <w:vAlign w:val="bottom"/>
            <w:tcBorders>
              <w:bottom w:val="single" w:sz="8" w:color="454545"/>
            </w:tcBorders>
            <w:gridSpan w:val="4"/>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gridSpan w:val="2"/>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25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454545"/>
              </w:rPr>
              <w:t>Principal Pension Plans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tcPr>
          <w:p>
            <w:pPr>
              <w:ind w:left="180"/>
              <w:spacing w:after="0"/>
              <w:rPr>
                <w:sz w:val="20"/>
                <w:szCs w:val="20"/>
                <w:color w:val="auto"/>
              </w:rPr>
            </w:pPr>
            <w:r>
              <w:rPr>
                <w:rFonts w:ascii="Arial" w:cs="Arial" w:eastAsia="Arial" w:hAnsi="Arial"/>
                <w:sz w:val="16"/>
                <w:szCs w:val="16"/>
                <w:b w:val="1"/>
                <w:bCs w:val="1"/>
                <w:color w:val="454545"/>
              </w:rPr>
              <w:t>Other Pension Plans</w:t>
            </w:r>
          </w:p>
        </w:tc>
        <w:tc>
          <w:tcPr>
            <w:tcW w:w="280" w:type="dxa"/>
            <w:vAlign w:val="bottom"/>
          </w:tcPr>
          <w:p>
            <w:pPr>
              <w:spacing w:after="0"/>
              <w:rPr>
                <w:sz w:val="19"/>
                <w:szCs w:val="19"/>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OPEB</w:t>
            </w:r>
          </w:p>
        </w:tc>
        <w:tc>
          <w:tcPr>
            <w:tcW w:w="92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r>
      <w:tr>
        <w:trPr>
          <w:trHeight w:val="21"/>
        </w:trPr>
        <w:tc>
          <w:tcPr>
            <w:tcW w:w="35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6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(284)</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(293)</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35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84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Non-operating</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3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w:t>
            </w:r>
          </w:p>
        </w:tc>
        <w:tc>
          <w:tcPr>
            <w:tcW w:w="36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r>
      <w:tr>
        <w:trPr>
          <w:trHeight w:val="593"/>
        </w:trPr>
        <w:tc>
          <w:tcPr>
            <w:tcW w:w="3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gridSpan w:val="6"/>
          </w:tcPr>
          <w:p>
            <w:pPr>
              <w:jc w:val="center"/>
              <w:spacing w:after="0"/>
              <w:rPr>
                <w:sz w:val="20"/>
                <w:szCs w:val="20"/>
                <w:color w:val="auto"/>
              </w:rPr>
            </w:pPr>
            <w:r>
              <w:rPr>
                <w:rFonts w:ascii="Arial" w:cs="Arial" w:eastAsia="Arial" w:hAnsi="Arial"/>
                <w:sz w:val="16"/>
                <w:szCs w:val="16"/>
                <w:b w:val="1"/>
                <w:bCs w:val="1"/>
                <w:color w:val="454545"/>
              </w:rPr>
              <w:t>For the six months ended June 30</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1"/>
        </w:trPr>
        <w:tc>
          <w:tcPr>
            <w:tcW w:w="3540" w:type="dxa"/>
            <w:vAlign w:val="bottom"/>
          </w:tcPr>
          <w:p>
            <w:pPr>
              <w:spacing w:after="0" w:line="20" w:lineRule="exact"/>
              <w:rPr>
                <w:sz w:val="1"/>
                <w:szCs w:val="1"/>
                <w:color w:val="auto"/>
              </w:rPr>
            </w:pPr>
          </w:p>
        </w:tc>
        <w:tc>
          <w:tcPr>
            <w:tcW w:w="2520" w:type="dxa"/>
            <w:vAlign w:val="bottom"/>
            <w:tcBorders>
              <w:bottom w:val="single" w:sz="8" w:color="454545"/>
            </w:tcBorders>
            <w:gridSpan w:val="4"/>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300" w:type="dxa"/>
            <w:vAlign w:val="bottom"/>
            <w:tcBorders>
              <w:bottom w:val="single" w:sz="8" w:color="454545"/>
            </w:tcBorders>
            <w:gridSpan w:val="4"/>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3"/>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25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454545"/>
              </w:rPr>
              <w:t>Principal Pension Plans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tcPr>
          <w:p>
            <w:pPr>
              <w:ind w:left="180"/>
              <w:spacing w:after="0"/>
              <w:rPr>
                <w:sz w:val="20"/>
                <w:szCs w:val="20"/>
                <w:color w:val="auto"/>
              </w:rPr>
            </w:pPr>
            <w:r>
              <w:rPr>
                <w:rFonts w:ascii="Arial" w:cs="Arial" w:eastAsia="Arial" w:hAnsi="Arial"/>
                <w:sz w:val="16"/>
                <w:szCs w:val="16"/>
                <w:b w:val="1"/>
                <w:bCs w:val="1"/>
                <w:color w:val="454545"/>
              </w:rPr>
              <w:t>Other Pension Plans</w:t>
            </w:r>
          </w:p>
        </w:tc>
        <w:tc>
          <w:tcPr>
            <w:tcW w:w="280" w:type="dxa"/>
            <w:vAlign w:val="bottom"/>
          </w:tcPr>
          <w:p>
            <w:pPr>
              <w:spacing w:after="0"/>
              <w:rPr>
                <w:sz w:val="19"/>
                <w:szCs w:val="19"/>
                <w:color w:val="auto"/>
              </w:rPr>
            </w:pPr>
          </w:p>
        </w:tc>
        <w:tc>
          <w:tcPr>
            <w:tcW w:w="22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354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r>
      <w:tr>
        <w:trPr>
          <w:trHeight w:val="21"/>
        </w:trPr>
        <w:tc>
          <w:tcPr>
            <w:tcW w:w="35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gridSpan w:val="2"/>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w:t>
            </w:r>
          </w:p>
        </w:tc>
        <w:tc>
          <w:tcPr>
            <w:tcW w:w="36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454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(567)</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(586)</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35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84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Non-operating</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w:t>
            </w:r>
          </w:p>
        </w:tc>
        <w:tc>
          <w:tcPr>
            <w:tcW w:w="3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(157)</w:t>
            </w:r>
          </w:p>
        </w:tc>
        <w:tc>
          <w:tcPr>
            <w:tcW w:w="36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r>
      <w:tr>
        <w:trPr>
          <w:trHeight w:val="20"/>
        </w:trPr>
        <w:tc>
          <w:tcPr>
            <w:tcW w:w="3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the six months ended June 30, 2024, the Company made cash benefit payments totaling $59 million to its Principal Pension Plans, $40 million to its Other Pension Plans, and $71 million to its OPEB Plans. In 2024, the Company expects to make total cash contributions of approximately $336 million to these plans. The Company does not have a required minimum funding contribution for its U.S.-based GE HealthCare Pension Plan in 2024. Future contributions will depend on market conditions, interest rates, and other factors.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$40 million and $33 million for the three months ended June 30, 2024 and 2023, respectively, and $73 million and $66 million for the six months ended June 30, 2024 and 2023,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7"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Our effective income tax rate was 24.7% and 24.0% for the three months ended June 30, 2024 and 2023, respectively, and 24.5% and 26.9% for the six months ended June 30, 2024 and 2023, respectively. The tax rate for the three and six months ended June 30, 2024 and 2023 is higher than the U.S. statutory rate primarily due to the cost of global activities, including the U.S. taxation on international operations, withholding taxes, and state taxes.</w:t>
      </w:r>
    </w:p>
    <w:p>
      <w:pPr>
        <w:spacing w:after="0" w:line="19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Post Spin-Off, the Company’s previously undistributed earnings of our foreign subsidiaries are no longer indefinitely reinvested in non-U.S. businesses due to current U.S. funding needs. Therefore, in the first quarter of 2023, an incremental deferred tax liability of $30 million was recorded for withholding and other foreign taxes due upon future distribution of earnings. In addition, the Company is providing for withholding and other foreign taxes due upon future distribution of current period earnings.</w:t>
      </w:r>
    </w:p>
    <w:p>
      <w:pPr>
        <w:spacing w:after="0" w:line="20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Company is currently being audited in a number of jurisdictions for tax years 2004-2022, including China, Germany, Norway, the United Kingdom,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ACCUMULATED OTHER COMPREHENSIVE INCOME (LOSS) – NET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(“AOCI”) by component, net of income taxes,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454545"/>
              </w:rPr>
              <w:t>For the three months ended June 30, 2024</w:t>
            </w:r>
          </w:p>
        </w:tc>
        <w:tc>
          <w:tcPr>
            <w:tcW w:w="12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(1,781)</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997</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(787)</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$(6), $—, and $(2)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$10, and $—</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6"/>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93"/>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454545"/>
              </w:rPr>
              <w:t>For the three months ended June 30, 2023</w:t>
            </w:r>
          </w:p>
        </w:tc>
        <w:tc>
          <w:tcPr>
            <w:tcW w:w="12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(1,760)</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1,865</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$28, $(11), and $(2)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$17, and $(1)</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(1,757)</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1,847</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gridSpan w:val="5"/>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80"/>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gridSpan w:val="5"/>
          </w:tcPr>
          <w:p>
            <w:pPr>
              <w:spacing w:after="0"/>
              <w:rPr>
                <w:sz w:val="20"/>
                <w:szCs w:val="20"/>
                <w:color w:val="auto"/>
              </w:rPr>
            </w:pPr>
            <w:r>
              <w:rPr>
                <w:rFonts w:ascii="Arial" w:cs="Arial" w:eastAsia="Arial" w:hAnsi="Arial"/>
                <w:sz w:val="16"/>
                <w:szCs w:val="16"/>
                <w:b w:val="1"/>
                <w:bCs w:val="1"/>
                <w:color w:val="454545"/>
              </w:rPr>
              <w:t>For the six months ended June 30, 2024</w:t>
            </w:r>
          </w:p>
        </w:tc>
        <w:tc>
          <w:tcPr>
            <w:tcW w:w="12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$(14), $(1), and $(7)</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$22, and $—</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(73)</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gridSpan w:val="5"/>
          </w:tcPr>
          <w:p>
            <w:pPr>
              <w:spacing w:after="0"/>
              <w:rPr>
                <w:sz w:val="20"/>
                <w:szCs w:val="20"/>
                <w:color w:val="auto"/>
              </w:rPr>
            </w:pPr>
            <w:r>
              <w:rPr>
                <w:rFonts w:ascii="Arial" w:cs="Arial" w:eastAsia="Arial" w:hAnsi="Arial"/>
                <w:sz w:val="16"/>
                <w:szCs w:val="16"/>
                <w:b w:val="1"/>
                <w:bCs w:val="1"/>
                <w:color w:val="454545"/>
              </w:rPr>
              <w:t>For the six months ended June 30, 2023</w:t>
            </w:r>
          </w:p>
        </w:tc>
        <w:tc>
          <w:tcPr>
            <w:tcW w:w="12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$17, $(9), and $2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$33, and $6</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(106)</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(127)</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related adjustments – net of taxes of $—, $(509), and $—</w:t>
            </w:r>
          </w:p>
        </w:tc>
        <w:tc>
          <w:tcPr>
            <w:tcW w:w="16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6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(1,757)</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1,847</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r>
      <w:tr>
        <w:trPr>
          <w:trHeight w:val="20"/>
        </w:trPr>
        <w:tc>
          <w:tcPr>
            <w:tcW w:w="5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jc w:val="both"/>
        <w:ind w:left="260" w:right="140" w:hanging="252"/>
        <w:spacing w:after="0" w:line="257"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in Other comprehensive income (loss) (“OCI”) during the three and six months ended June 30, 2024 and 2023 included net gains (losses) relating to net investment hedges, as further discussed in Note 12, “Financial Instruments and Fair Value Measurements.”</w:t>
      </w:r>
    </w:p>
    <w:p>
      <w:pPr>
        <w:spacing w:after="0" w:line="1" w:lineRule="exact"/>
        <w:rPr>
          <w:rFonts w:ascii="Arial" w:cs="Arial" w:eastAsia="Arial" w:hAnsi="Arial"/>
          <w:sz w:val="16"/>
          <w:szCs w:val="16"/>
          <w:color w:val="auto"/>
        </w:rPr>
      </w:pPr>
    </w:p>
    <w:p>
      <w:pPr>
        <w:ind w:left="260" w:right="80" w:hanging="252"/>
        <w:spacing w:after="0" w:line="270"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June 30, 2024, we expect to reclassify $7 million of pre-tax net deferred gains associated with designated cash flow hedges to earnings in the next 12 months, contemporaneously with the impact on earnings of the related hedged transactions.</w:t>
      </w:r>
    </w:p>
    <w:p>
      <w:pPr>
        <w:spacing w:after="0" w:line="203"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cash flows associated with derivatives designated as cash flow hedges are recorded in All other operating activities in the Condensed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June 30, 2024, these contracts were designated as hedges of our net investment in foreign operations, primarily in Euro and Chinese Renminbi currencies.</w:t>
      </w:r>
    </w:p>
    <w:p>
      <w:pPr>
        <w:spacing w:after="0" w:line="20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cash flows associated with derivatives designated as net investment hedges are recorded in All other investing activities in the Condensed Consolidated Statements of Cash Flows. Cash flows from the periodic interest settlements on the cross-currency swaps are recorded in All other operating activities in the Condensed Consolidated Statements of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1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pacing w:after="0" w:line="131"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191"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Cash flows for the periodic interest settlements on the interest rate swaps are recorded in All other operating activities in the Condensed Consolidated Statements of Cash Flows.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the foreign currency rate risk and equity price risk. We also identify and record foreign currency-related features in our purchase or sales contracts where the currency is not the local or functional currency of any substantive party to the contract and record them as embedded derivatives.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spacing w:after="0" w:line="213"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The cash flows associated with derivatives not designated but used as economic hedges are recorded, based on the nature of the underlying hedged transaction, in All other operating activities and All other investing activities in the Condensed Consolidated Statements of Cash Flows. The cash flows related to embedded derivatives are included in All other operating activities in the Condensed Consolidated Statements of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June 30, 2024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gridSpan w:val="2"/>
          </w:tcPr>
          <w:p>
            <w:pPr>
              <w:spacing w:after="0" w:line="20" w:lineRule="exact"/>
              <w:rPr>
                <w:sz w:val="1"/>
                <w:szCs w:val="1"/>
                <w:color w:val="auto"/>
              </w:rPr>
            </w:pPr>
          </w:p>
        </w:tc>
        <w:tc>
          <w:tcPr>
            <w:tcW w:w="100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60" w:type="dxa"/>
            <w:vAlign w:val="bottom"/>
          </w:tcPr>
          <w:p>
            <w:pPr>
              <w:jc w:val="center"/>
              <w:ind w:right="119"/>
              <w:spacing w:after="0"/>
              <w:rPr>
                <w:sz w:val="20"/>
                <w:szCs w:val="20"/>
                <w:color w:val="auto"/>
              </w:rPr>
            </w:pPr>
            <w:r>
              <w:rPr>
                <w:rFonts w:ascii="Arial" w:cs="Arial" w:eastAsia="Arial" w:hAnsi="Arial"/>
                <w:sz w:val="16"/>
                <w:szCs w:val="16"/>
                <w:b w:val="1"/>
                <w:bCs w:val="1"/>
                <w:color w:val="454545"/>
              </w:rPr>
              <w:t>Assets</w:t>
            </w:r>
          </w:p>
        </w:tc>
        <w:tc>
          <w:tcPr>
            <w:tcW w:w="1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1,411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1,411</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2,149</w:t>
            </w:r>
          </w:p>
        </w:tc>
        <w:tc>
          <w:tcPr>
            <w:tcW w:w="220" w:type="dxa"/>
            <w:vAlign w:val="bottom"/>
            <w:shd w:val="clear" w:color="auto" w:fill="E4E4E4"/>
          </w:tcPr>
          <w:p>
            <w:pPr>
              <w:spacing w:after="0"/>
              <w:rPr>
                <w:sz w:val="21"/>
                <w:szCs w:val="21"/>
                <w:color w:val="auto"/>
              </w:rPr>
            </w:pPr>
          </w:p>
        </w:tc>
        <w:tc>
          <w:tcPr>
            <w:tcW w:w="86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2,209</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204</w:t>
            </w: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1,859</w:t>
            </w:r>
          </w:p>
        </w:tc>
        <w:tc>
          <w:tcPr>
            <w:tcW w:w="2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4,008</w:t>
            </w:r>
          </w:p>
        </w:tc>
        <w:tc>
          <w:tcPr>
            <w:tcW w:w="22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160</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1,700</w:t>
            </w:r>
          </w:p>
        </w:tc>
        <w:tc>
          <w:tcPr>
            <w:tcW w:w="22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4,108</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4,517</w:t>
            </w:r>
          </w:p>
        </w:tc>
        <w:tc>
          <w:tcPr>
            <w:tcW w:w="2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11,636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9,591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269</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256"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Accrued interest was immaterial for the periods presented and is excluded from fair value. These amounts are recognized within All other current assets and All other current liabilities in the Condensed Consolidated Statements of Financial Position.</w:t>
      </w:r>
    </w:p>
    <w:p>
      <w:pPr>
        <w:spacing w:after="0" w:line="1" w:lineRule="exact"/>
        <w:rPr>
          <w:rFonts w:ascii="Arial" w:cs="Arial" w:eastAsia="Arial" w:hAnsi="Arial"/>
          <w:sz w:val="16"/>
          <w:szCs w:val="16"/>
          <w:color w:val="auto"/>
        </w:rPr>
      </w:pPr>
    </w:p>
    <w:p>
      <w:pPr>
        <w:ind w:left="260" w:right="260" w:hanging="252"/>
        <w:spacing w:after="0" w:line="283"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 As of December 31, 2023, Other derivatives also included commodity contracts.</w:t>
      </w:r>
    </w:p>
    <w:p>
      <w:pPr>
        <w:spacing w:after="0" w:line="185"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ind w:left="1000"/>
              <w:spacing w:after="0"/>
              <w:rPr>
                <w:sz w:val="20"/>
                <w:szCs w:val="20"/>
                <w:color w:val="auto"/>
              </w:rPr>
            </w:pPr>
            <w:r>
              <w:rPr>
                <w:rFonts w:ascii="Arial" w:cs="Arial" w:eastAsia="Arial" w:hAnsi="Arial"/>
                <w:sz w:val="16"/>
                <w:szCs w:val="16"/>
                <w:b w:val="1"/>
                <w:bCs w:val="1"/>
                <w:color w:val="454545"/>
              </w:rPr>
              <w:t>June 30, 2024</w:t>
            </w:r>
          </w:p>
        </w:tc>
        <w:tc>
          <w:tcPr>
            <w:tcW w:w="12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454545"/>
              </w:rPr>
              <w:t>adjustment included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454545"/>
              </w:rPr>
              <w:t>Cumulative basis</w:t>
            </w: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454545"/>
              </w:rPr>
              <w:t>in the carrying</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adjustment included</w:t>
            </w:r>
          </w:p>
        </w:tc>
      </w:tr>
      <w:tr>
        <w:trPr>
          <w:trHeight w:val="240"/>
        </w:trPr>
        <w:tc>
          <w:tcPr>
            <w:tcW w:w="4580" w:type="dxa"/>
            <w:vAlign w:val="bottom"/>
            <w:tcBorders>
              <w:bottom w:val="single" w:sz="8" w:color="6022A6"/>
            </w:tcBorders>
          </w:tcPr>
          <w:p>
            <w:pPr>
              <w:spacing w:after="0"/>
              <w:rPr>
                <w:sz w:val="20"/>
                <w:szCs w:val="20"/>
                <w:color w:val="auto"/>
              </w:rPr>
            </w:pPr>
          </w:p>
        </w:tc>
        <w:tc>
          <w:tcPr>
            <w:tcW w:w="120" w:type="dxa"/>
            <w:vAlign w:val="bottom"/>
            <w:tcBorders>
              <w:bottom w:val="single" w:sz="8" w:color="6022A6"/>
            </w:tcBorders>
          </w:tcPr>
          <w:p>
            <w:pPr>
              <w:spacing w:after="0"/>
              <w:rPr>
                <w:sz w:val="20"/>
                <w:szCs w:val="20"/>
                <w:color w:val="auto"/>
              </w:rPr>
            </w:pPr>
          </w:p>
        </w:tc>
        <w:tc>
          <w:tcPr>
            <w:tcW w:w="136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Borders>
              <w:bottom w:val="single" w:sz="8" w:color="6022A6"/>
            </w:tcBorders>
          </w:tcPr>
          <w:p>
            <w:pPr>
              <w:spacing w:after="0"/>
              <w:rPr>
                <w:sz w:val="20"/>
                <w:szCs w:val="20"/>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022A6"/>
            </w:tcBorders>
          </w:tcPr>
          <w:p>
            <w:pPr>
              <w:spacing w:after="0"/>
              <w:rPr>
                <w:sz w:val="20"/>
                <w:szCs w:val="20"/>
                <w:color w:val="auto"/>
              </w:rPr>
            </w:pPr>
          </w:p>
        </w:tc>
        <w:tc>
          <w:tcPr>
            <w:tcW w:w="13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1,669</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Condensed Consolidated Statements of Financial Position and in the table above.</w:t>
      </w:r>
    </w:p>
    <w:p>
      <w:pPr>
        <w:spacing w:after="0" w:line="19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June 30, 2024 and December 31, 2023, the potential effect of rights of offset associated with the derivative contracts would be an offset to both assets and liabilities by $41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3"/>
        </w:trPr>
        <w:tc>
          <w:tcPr>
            <w:tcW w:w="724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4080" w:type="dxa"/>
            <w:vAlign w:val="bottom"/>
          </w:tcPr>
          <w:p>
            <w:pPr>
              <w:spacing w:after="0"/>
              <w:rPr>
                <w:sz w:val="21"/>
                <w:szCs w:val="21"/>
                <w:color w:val="auto"/>
              </w:rPr>
            </w:pPr>
          </w:p>
        </w:tc>
        <w:tc>
          <w:tcPr>
            <w:tcW w:w="31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080" w:type="dxa"/>
            <w:vAlign w:val="bottom"/>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4080" w:type="dxa"/>
            <w:vAlign w:val="bottom"/>
          </w:tcPr>
          <w:p>
            <w:pPr>
              <w:spacing w:after="0"/>
              <w:rPr>
                <w:sz w:val="19"/>
                <w:szCs w:val="19"/>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2024</w:t>
            </w:r>
          </w:p>
        </w:tc>
        <w:tc>
          <w:tcPr>
            <w:tcW w:w="188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28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E4E4E4"/>
            </w:tcBorders>
            <w:shd w:val="clear" w:color="auto" w:fill="E4E4E4"/>
          </w:tcPr>
          <w:p>
            <w:pPr>
              <w:ind w:left="220"/>
              <w:spacing w:after="0"/>
              <w:rPr>
                <w:sz w:val="20"/>
                <w:szCs w:val="20"/>
                <w:color w:val="auto"/>
              </w:rPr>
            </w:pPr>
            <w:r>
              <w:rPr>
                <w:rFonts w:ascii="Arial" w:cs="Arial" w:eastAsia="Arial" w:hAnsi="Arial"/>
                <w:sz w:val="16"/>
                <w:szCs w:val="16"/>
                <w:color w:val="auto"/>
              </w:rPr>
              <w:t>11 $</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5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27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(36)</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454545"/>
              </w:rPr>
              <w:t>For the three months ended June 30, 2024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000" w:type="dxa"/>
            <w:vAlign w:val="bottom"/>
          </w:tcPr>
          <w:p>
            <w:pPr>
              <w:jc w:val="center"/>
              <w:ind w:left="15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1000" w:type="dxa"/>
            <w:vAlign w:val="bottom"/>
          </w:tcPr>
          <w:p>
            <w:pPr>
              <w:jc w:val="center"/>
              <w:ind w:left="19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left="179"/>
              <w:spacing w:after="0"/>
              <w:rPr>
                <w:sz w:val="20"/>
                <w:szCs w:val="20"/>
                <w:color w:val="auto"/>
              </w:rPr>
            </w:pPr>
            <w:r>
              <w:rPr>
                <w:rFonts w:ascii="Arial" w:cs="Arial" w:eastAsia="Arial" w:hAnsi="Arial"/>
                <w:sz w:val="16"/>
                <w:szCs w:val="16"/>
                <w:b w:val="1"/>
                <w:bCs w:val="1"/>
                <w:color w:val="454545"/>
              </w:rPr>
              <w:t>products</w:t>
            </w:r>
          </w:p>
        </w:tc>
        <w:tc>
          <w:tcPr>
            <w:tcW w:w="24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center"/>
              <w:ind w:left="259"/>
              <w:spacing w:after="0"/>
              <w:rPr>
                <w:sz w:val="20"/>
                <w:szCs w:val="20"/>
                <w:color w:val="auto"/>
              </w:rPr>
            </w:pPr>
            <w:r>
              <w:rPr>
                <w:rFonts w:ascii="Arial" w:cs="Arial" w:eastAsia="Arial" w:hAnsi="Arial"/>
                <w:sz w:val="16"/>
                <w:szCs w:val="16"/>
                <w:b w:val="1"/>
                <w:bCs w:val="1"/>
                <w:color w:val="454545"/>
                <w:w w:val="99"/>
              </w:rPr>
              <w:t>SG&amp;A</w:t>
            </w:r>
          </w:p>
        </w:tc>
        <w:tc>
          <w:tcPr>
            <w:tcW w:w="1820" w:type="dxa"/>
            <w:vAlign w:val="bottom"/>
            <w:tcBorders>
              <w:bottom w:val="single" w:sz="8" w:color="6022A6"/>
            </w:tcBorders>
            <w:gridSpan w:val="2"/>
          </w:tcPr>
          <w:p>
            <w:pPr>
              <w:jc w:val="center"/>
              <w:ind w:left="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gridSpan w:val="2"/>
            <w:shd w:val="clear" w:color="auto" w:fill="E4E4E4"/>
          </w:tcPr>
          <w:p>
            <w:pPr>
              <w:jc w:val="right"/>
              <w:ind w:right="719"/>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10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0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spacing w:after="0"/>
              <w:rPr>
                <w:sz w:val="21"/>
                <w:szCs w:val="21"/>
                <w:color w:val="auto"/>
              </w:rPr>
            </w:pPr>
          </w:p>
        </w:tc>
        <w:tc>
          <w:tcPr>
            <w:tcW w:w="46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(4)</w:t>
            </w:r>
          </w:p>
        </w:tc>
        <w:tc>
          <w:tcPr>
            <w:tcW w:w="10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1"/>
                <w:szCs w:val="21"/>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10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0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10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0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92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580"/>
        </w:trPr>
        <w:tc>
          <w:tcPr>
            <w:tcW w:w="49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gridSpan w:val="5"/>
          </w:tcPr>
          <w:p>
            <w:pPr>
              <w:jc w:val="center"/>
              <w:ind w:right="159"/>
              <w:spacing w:after="0"/>
              <w:rPr>
                <w:sz w:val="20"/>
                <w:szCs w:val="20"/>
                <w:color w:val="auto"/>
              </w:rPr>
            </w:pPr>
            <w:r>
              <w:rPr>
                <w:rFonts w:ascii="Arial" w:cs="Arial" w:eastAsia="Arial" w:hAnsi="Arial"/>
                <w:sz w:val="16"/>
                <w:szCs w:val="16"/>
                <w:b w:val="1"/>
                <w:bCs w:val="1"/>
                <w:color w:val="454545"/>
              </w:rPr>
              <w:t>For the three months ended June 30, 2023</w:t>
            </w: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000" w:type="dxa"/>
            <w:vAlign w:val="bottom"/>
          </w:tcPr>
          <w:p>
            <w:pPr>
              <w:jc w:val="center"/>
              <w:ind w:left="15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1000" w:type="dxa"/>
            <w:vAlign w:val="bottom"/>
          </w:tcPr>
          <w:p>
            <w:pPr>
              <w:jc w:val="center"/>
              <w:ind w:left="19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left="179"/>
              <w:spacing w:after="0"/>
              <w:rPr>
                <w:sz w:val="20"/>
                <w:szCs w:val="20"/>
                <w:color w:val="auto"/>
              </w:rPr>
            </w:pPr>
            <w:r>
              <w:rPr>
                <w:rFonts w:ascii="Arial" w:cs="Arial" w:eastAsia="Arial" w:hAnsi="Arial"/>
                <w:sz w:val="16"/>
                <w:szCs w:val="16"/>
                <w:b w:val="1"/>
                <w:bCs w:val="1"/>
                <w:color w:val="454545"/>
              </w:rPr>
              <w:t>products</w:t>
            </w:r>
          </w:p>
        </w:tc>
        <w:tc>
          <w:tcPr>
            <w:tcW w:w="24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center"/>
              <w:ind w:left="259"/>
              <w:spacing w:after="0"/>
              <w:rPr>
                <w:sz w:val="20"/>
                <w:szCs w:val="20"/>
                <w:color w:val="auto"/>
              </w:rPr>
            </w:pPr>
            <w:r>
              <w:rPr>
                <w:rFonts w:ascii="Arial" w:cs="Arial" w:eastAsia="Arial" w:hAnsi="Arial"/>
                <w:sz w:val="16"/>
                <w:szCs w:val="16"/>
                <w:b w:val="1"/>
                <w:bCs w:val="1"/>
                <w:color w:val="454545"/>
                <w:w w:val="99"/>
              </w:rPr>
              <w:t>SG&amp;A</w:t>
            </w:r>
          </w:p>
        </w:tc>
        <w:tc>
          <w:tcPr>
            <w:tcW w:w="1820" w:type="dxa"/>
            <w:vAlign w:val="bottom"/>
            <w:tcBorders>
              <w:bottom w:val="single" w:sz="8" w:color="6022A6"/>
            </w:tcBorders>
            <w:gridSpan w:val="2"/>
          </w:tcPr>
          <w:p>
            <w:pPr>
              <w:jc w:val="center"/>
              <w:ind w:left="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10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10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20"/>
                <w:szCs w:val="20"/>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100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spacing w:after="0"/>
              <w:rPr>
                <w:sz w:val="21"/>
                <w:szCs w:val="21"/>
                <w:color w:val="auto"/>
              </w:rPr>
            </w:pPr>
          </w:p>
        </w:tc>
        <w:tc>
          <w:tcPr>
            <w:tcW w:w="46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9</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10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0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10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18</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
        </w:trPr>
        <w:tc>
          <w:tcPr>
            <w:tcW w:w="4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5"/>
          </w:tcPr>
          <w:p>
            <w:pPr>
              <w:ind w:left="360"/>
              <w:spacing w:after="0"/>
              <w:rPr>
                <w:sz w:val="20"/>
                <w:szCs w:val="20"/>
                <w:color w:val="auto"/>
              </w:rPr>
            </w:pPr>
            <w:r>
              <w:rPr>
                <w:rFonts w:ascii="Arial" w:cs="Arial" w:eastAsia="Arial" w:hAnsi="Arial"/>
                <w:sz w:val="16"/>
                <w:szCs w:val="16"/>
                <w:b w:val="1"/>
                <w:bCs w:val="1"/>
                <w:color w:val="454545"/>
              </w:rPr>
              <w:t>For the six months ended June 30, 2024</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ind w:left="360"/>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ind w:left="320"/>
              <w:spacing w:after="0"/>
              <w:rPr>
                <w:sz w:val="20"/>
                <w:szCs w:val="20"/>
                <w:color w:val="auto"/>
              </w:rPr>
            </w:pPr>
            <w:r>
              <w:rPr>
                <w:rFonts w:ascii="Arial" w:cs="Arial" w:eastAsia="Arial" w:hAnsi="Arial"/>
                <w:sz w:val="16"/>
                <w:szCs w:val="16"/>
                <w:b w:val="1"/>
                <w:bCs w:val="1"/>
                <w:color w:val="454545"/>
              </w:rPr>
              <w:t>services</w:t>
            </w:r>
          </w:p>
        </w:tc>
        <w:tc>
          <w:tcPr>
            <w:tcW w:w="26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SG&amp;A</w:t>
            </w:r>
          </w:p>
        </w:tc>
        <w:tc>
          <w:tcPr>
            <w:tcW w:w="1820" w:type="dxa"/>
            <w:vAlign w:val="bottom"/>
            <w:tcBorders>
              <w:bottom w:val="single" w:sz="8" w:color="6022A6"/>
            </w:tcBorders>
            <w:gridSpan w:val="2"/>
          </w:tcPr>
          <w:p>
            <w:pPr>
              <w:jc w:val="center"/>
              <w:ind w:left="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4E4E4"/>
            </w:tcBorders>
            <w:gridSpan w:val="2"/>
            <w:shd w:val="clear" w:color="auto" w:fill="E4E4E4"/>
          </w:tcPr>
          <w:p>
            <w:pPr>
              <w:jc w:val="right"/>
              <w:ind w:right="799"/>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E4E4E4"/>
            </w:tcBorders>
            <w:gridSpan w:val="2"/>
            <w:shd w:val="clear" w:color="auto" w:fill="E4E4E4"/>
          </w:tcPr>
          <w:p>
            <w:pPr>
              <w:jc w:val="right"/>
              <w:ind w:right="719"/>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17</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spacing w:after="0"/>
              <w:rPr>
                <w:sz w:val="21"/>
                <w:szCs w:val="21"/>
                <w:color w:val="auto"/>
              </w:rPr>
            </w:pPr>
          </w:p>
        </w:tc>
        <w:tc>
          <w:tcPr>
            <w:tcW w:w="46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21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(4)</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1"/>
                <w:szCs w:val="21"/>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(66)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52</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0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92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5</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r>
      <w:tr>
        <w:trPr>
          <w:trHeight w:val="580"/>
        </w:trPr>
        <w:tc>
          <w:tcPr>
            <w:tcW w:w="49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gridSpan w:val="5"/>
          </w:tcPr>
          <w:p>
            <w:pPr>
              <w:ind w:left="360"/>
              <w:spacing w:after="0"/>
              <w:rPr>
                <w:sz w:val="20"/>
                <w:szCs w:val="20"/>
                <w:color w:val="auto"/>
              </w:rPr>
            </w:pPr>
            <w:r>
              <w:rPr>
                <w:rFonts w:ascii="Arial" w:cs="Arial" w:eastAsia="Arial" w:hAnsi="Arial"/>
                <w:sz w:val="16"/>
                <w:szCs w:val="16"/>
                <w:b w:val="1"/>
                <w:bCs w:val="1"/>
                <w:color w:val="454545"/>
              </w:rPr>
              <w:t>For the six months ended June 30, 2023</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ind w:left="360"/>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ind w:left="320"/>
              <w:spacing w:after="0"/>
              <w:rPr>
                <w:sz w:val="20"/>
                <w:szCs w:val="20"/>
                <w:color w:val="auto"/>
              </w:rPr>
            </w:pPr>
            <w:r>
              <w:rPr>
                <w:rFonts w:ascii="Arial" w:cs="Arial" w:eastAsia="Arial" w:hAnsi="Arial"/>
                <w:sz w:val="16"/>
                <w:szCs w:val="16"/>
                <w:b w:val="1"/>
                <w:bCs w:val="1"/>
                <w:color w:val="454545"/>
              </w:rPr>
              <w:t>services</w:t>
            </w:r>
          </w:p>
        </w:tc>
        <w:tc>
          <w:tcPr>
            <w:tcW w:w="26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SG&amp;A</w:t>
            </w:r>
          </w:p>
        </w:tc>
        <w:tc>
          <w:tcPr>
            <w:tcW w:w="1820" w:type="dxa"/>
            <w:vAlign w:val="bottom"/>
            <w:tcBorders>
              <w:bottom w:val="single" w:sz="8" w:color="6022A6"/>
            </w:tcBorders>
            <w:gridSpan w:val="2"/>
          </w:tcPr>
          <w:p>
            <w:pPr>
              <w:jc w:val="center"/>
              <w:ind w:left="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00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17</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9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20"/>
                <w:szCs w:val="20"/>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spacing w:after="0"/>
              <w:rPr>
                <w:sz w:val="21"/>
                <w:szCs w:val="21"/>
                <w:color w:val="auto"/>
              </w:rPr>
            </w:pPr>
          </w:p>
        </w:tc>
        <w:tc>
          <w:tcPr>
            <w:tcW w:w="46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17</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10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9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33</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40" w:hanging="252"/>
        <w:spacing w:after="0" w:line="256"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three and six months ended June 30, 2024 and 2023.</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derivatives are primarily comprised of embedded derivatives and derivatives related to equity contracts.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pacing w:after="0" w:line="18" w:lineRule="exact"/>
        <w:rPr>
          <w:rFonts w:ascii="Arial" w:cs="Arial" w:eastAsia="Arial" w:hAnsi="Arial"/>
          <w:sz w:val="16"/>
          <w:szCs w:val="16"/>
          <w:color w:val="auto"/>
        </w:rPr>
      </w:pPr>
    </w:p>
    <w:p>
      <w:pPr>
        <w:ind w:left="260" w:right="680" w:hanging="252"/>
        <w:spacing w:after="0" w:line="288"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includes $(7) million and $(13) million of interest expense on interest rate derivatives for the three and six months ended June 30, 2024,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As of June 30, 2024</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2023</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26</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31</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237</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264</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44</w:t>
            </w: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9"/>
        </w:trPr>
        <w:tc>
          <w:tcPr>
            <w:tcW w:w="3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7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741"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As of June 30, 2024 and December 31, 2023, Cash, cash equivalents and restricted cash of $2,015 million and $2,504 million, respectively, included money market funds of $215 million and $200 million, and other cash equivalents of $695 million and $1,023 million, respectively. The carrying values of the other cash equivalents approximate fair value due to their short maturities and are valued using Level 1 or Level 2 inputs.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w:t>
      </w:r>
    </w:p>
    <w:p>
      <w:pPr>
        <w:spacing w:after="0" w:line="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deferred compensation liabilities as of June 30, 2024 and December 31, 2023 are comprised of market-based obligations indexed to the S&amp;P 500 index fund and GE HealthCare stock in Level 1, and mutual funds in Level 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contingent consideration liabilities as of June 30, 2024 and December 31, 2023 were recorded in connection with business acquisitions. The contingent consideration is recorded at fair value based on estimates of future cash flows associated with the acquired businesses. To the extent that the valuation of these liabilities is based on inputs that are less observable or not observable in the market, the determination of fair value requires more judgment. Accordingly, the fair value of contingent consideration is classified within Level 3 of the fair value hierarchy.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six months ended June 30, 2024 and 2023.</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estimated fair value of borrowings as of June 30, 2024 and December 31, 2023 was $9,609 million and $9,959 million, respectively, compared to a carrying value (which includes a reduction for unamortized debt issuance costs and discounts and cumulative basis adjustment) of $9,240 million and $9,442 million, respectively. The fair value of our borrowings includes accrued interest and is determined based on observable and quoted prices and spreads of comparable debt and benchmark securities and is considered Level 2 in the fair value hierarchy. See Note 8, “Borrowings” for further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67" w:lineRule="exact"/>
        <w:rPr>
          <w:sz w:val="20"/>
          <w:szCs w:val="20"/>
          <w:color w:val="auto"/>
        </w:rPr>
      </w:pPr>
    </w:p>
    <w:p>
      <w:pPr>
        <w:ind w:right="760"/>
        <w:spacing w:after="0" w:line="304"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Following the Spin-Off, which was completed pursuant to a Separation and Distribution Agreement (the “Separation and Distribution Agreement”), the Company had remaining performance guarantees on behalf of GE. Under the Separation and Distribution Agreement, GE was obligated to use reasonable best efforts to replace the Company as the guarantor or terminate all such performance guarantees. Until such termination or replacement, in the event of non-fulfillment of contractual obligations by the relevant obligors, the Company could have been obligated to make payments under the applicable instruments for which GE was obligated to reimburse and indemnify the Company. As of December 31, 2023, the Company’s maximum aggregate exposure, subject to GE reimbursement, was approximately $114 million. In the second quarter of 2024, these remaining performance guarantees were all terminated or replaced.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16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33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For the six months ended June 30</w:t>
            </w:r>
          </w:p>
        </w:tc>
        <w:tc>
          <w:tcPr>
            <w:tcW w:w="520" w:type="dxa"/>
            <w:vAlign w:val="bottom"/>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2024</w:t>
            </w:r>
          </w:p>
        </w:tc>
        <w:tc>
          <w:tcPr>
            <w:tcW w:w="580" w:type="dxa"/>
            <w:vAlign w:val="bottom"/>
          </w:tcPr>
          <w:p>
            <w:pPr>
              <w:spacing w:after="0"/>
              <w:rPr>
                <w:sz w:val="19"/>
                <w:szCs w:val="19"/>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19"/>
                <w:szCs w:val="19"/>
                <w:color w:val="auto"/>
              </w:rPr>
            </w:pPr>
          </w:p>
        </w:tc>
      </w:tr>
      <w:tr>
        <w:trPr>
          <w:trHeight w:val="21"/>
        </w:trPr>
        <w:tc>
          <w:tcPr>
            <w:tcW w:w="73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142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9"/>
        </w:trPr>
        <w:tc>
          <w:tcPr>
            <w:tcW w:w="7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w:t>
            </w:r>
          </w:p>
        </w:tc>
        <w:tc>
          <w:tcPr>
            <w:tcW w:w="14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w:t>
            </w:r>
          </w:p>
        </w:tc>
      </w:tr>
      <w:tr>
        <w:trPr>
          <w:trHeight w:val="227"/>
        </w:trPr>
        <w:tc>
          <w:tcPr>
            <w:tcW w:w="738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172</w:t>
            </w:r>
          </w:p>
        </w:tc>
        <w:tc>
          <w:tcPr>
            <w:tcW w:w="142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190</w:t>
            </w:r>
          </w:p>
        </w:tc>
      </w:tr>
      <w:tr>
        <w:trPr>
          <w:trHeight w:val="20"/>
        </w:trPr>
        <w:tc>
          <w:tcPr>
            <w:tcW w:w="7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Statements of Financial Position.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6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2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in light of </w:t>
      </w:r>
      <w:r>
        <w:rPr>
          <w:rFonts w:ascii="Arial" w:cs="Arial" w:eastAsia="Arial" w:hAnsi="Arial"/>
          <w:sz w:val="16"/>
          <w:szCs w:val="16"/>
          <w:i w:val="1"/>
          <w:iCs w:val="1"/>
          <w:color w:val="auto"/>
        </w:rPr>
        <w:t>Twitter, Inc. v. Taamneh</w:t>
      </w:r>
      <w:r>
        <w:rPr>
          <w:rFonts w:ascii="Arial" w:cs="Arial" w:eastAsia="Arial" w:hAnsi="Arial"/>
          <w:sz w:val="16"/>
          <w:szCs w:val="16"/>
          <w:color w:val="auto"/>
        </w:rPr>
        <w:t>, a separate case decided by the Supreme Court in May 2023. The proceedings in the District Court are currently inactive.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AND OTHER ACTIVITIES – NET</w:t>
      </w:r>
    </w:p>
    <w:p>
      <w:pPr>
        <w:spacing w:after="0" w:line="257"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and other charges (gains) primarily include facility exit costs, employee-related termination benefits associated with workforce reductions, asset write-downs, and cease-use costs. For segment reporting, restructuring and other activities are not allocated.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June 30, 2024 are included in the table below.</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Restructuring and Other Activities</w:t>
            </w:r>
          </w:p>
        </w:tc>
        <w:tc>
          <w:tcPr>
            <w:tcW w:w="240" w:type="dxa"/>
            <w:vAlign w:val="bottom"/>
          </w:tcPr>
          <w:p>
            <w:pPr>
              <w:spacing w:after="0"/>
              <w:rPr>
                <w:sz w:val="19"/>
                <w:szCs w:val="19"/>
                <w:color w:val="auto"/>
              </w:rPr>
            </w:pPr>
          </w:p>
        </w:tc>
        <w:tc>
          <w:tcPr>
            <w:tcW w:w="3380" w:type="dxa"/>
            <w:vAlign w:val="bottom"/>
            <w:gridSpan w:val="4"/>
          </w:tcPr>
          <w:p>
            <w:pPr>
              <w:ind w:left="140"/>
              <w:spacing w:after="0"/>
              <w:rPr>
                <w:sz w:val="20"/>
                <w:szCs w:val="20"/>
                <w:color w:val="auto"/>
              </w:rPr>
            </w:pPr>
            <w:r>
              <w:rPr>
                <w:rFonts w:ascii="Arial" w:cs="Arial" w:eastAsia="Arial" w:hAnsi="Arial"/>
                <w:sz w:val="16"/>
                <w:szCs w:val="16"/>
                <w:b w:val="1"/>
                <w:bCs w:val="1"/>
                <w:color w:val="454545"/>
              </w:rPr>
              <w:t>For the three months ended June 30</w:t>
            </w:r>
          </w:p>
        </w:tc>
        <w:tc>
          <w:tcPr>
            <w:tcW w:w="280" w:type="dxa"/>
            <w:vAlign w:val="bottom"/>
          </w:tcPr>
          <w:p>
            <w:pPr>
              <w:spacing w:after="0"/>
              <w:rPr>
                <w:sz w:val="19"/>
                <w:szCs w:val="19"/>
                <w:color w:val="auto"/>
              </w:rPr>
            </w:pPr>
          </w:p>
        </w:tc>
        <w:tc>
          <w:tcPr>
            <w:tcW w:w="326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0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2023</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5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2"/>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240" w:type="dxa"/>
            <w:vAlign w:val="bottom"/>
            <w:tcBorders>
              <w:bottom w:val="single" w:sz="8" w:color="E4E4E4"/>
            </w:tcBorders>
            <w:shd w:val="clear" w:color="auto" w:fill="E4E4E4"/>
          </w:tcPr>
          <w:p>
            <w:pPr>
              <w:spacing w:after="0"/>
              <w:rPr>
                <w:sz w:val="22"/>
                <w:szCs w:val="22"/>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and other activities – net</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These restructuring initiatives are expected to result in additional expenses of approximately $16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pacing w:after="0" w:line="19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Condensed Consolidated Statements of Financial Position and totaled $76 million and $68 million as of June 30, 2024 and December 31, 2023,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common stockholders.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20"/>
                <w:szCs w:val="20"/>
                <w:color w:val="auto"/>
              </w:rPr>
            </w:pPr>
          </w:p>
        </w:tc>
        <w:tc>
          <w:tcPr>
            <w:tcW w:w="27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4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4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1"/>
        </w:trPr>
        <w:tc>
          <w:tcPr>
            <w:tcW w:w="54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9"/>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1"/>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9"/>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1"/>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9"/>
        </w:trPr>
        <w:tc>
          <w:tcPr>
            <w:tcW w:w="5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9"/>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9"/>
        </w:trPr>
        <w:tc>
          <w:tcPr>
            <w:tcW w:w="5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0.94</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0.92</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1.76</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9"/>
        </w:trPr>
        <w:tc>
          <w:tcPr>
            <w:tcW w:w="5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1"/>
                <w:szCs w:val="21"/>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auto"/>
            </w:tcBorders>
            <w:shd w:val="clear" w:color="auto" w:fill="E4E4E4"/>
          </w:tcPr>
          <w:p>
            <w:pPr>
              <w:spacing w:after="0"/>
              <w:rPr>
                <w:sz w:val="21"/>
                <w:szCs w:val="21"/>
                <w:color w:val="auto"/>
              </w:rPr>
            </w:pPr>
          </w:p>
        </w:tc>
        <w:tc>
          <w:tcPr>
            <w:tcW w:w="120" w:type="dxa"/>
            <w:vAlign w:val="bottom"/>
            <w:tcBorders>
              <w:bottom w:val="single" w:sz="8" w:color="auto"/>
            </w:tcBorders>
            <w:shd w:val="clear" w:color="auto" w:fill="E4E4E4"/>
          </w:tcPr>
          <w:p>
            <w:pPr>
              <w:spacing w:after="0"/>
              <w:rPr>
                <w:sz w:val="21"/>
                <w:szCs w:val="21"/>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1"/>
                <w:szCs w:val="21"/>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15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5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June 30, 2024</w:t>
            </w:r>
          </w:p>
        </w:tc>
        <w:tc>
          <w:tcPr>
            <w:tcW w:w="440" w:type="dxa"/>
            <w:vAlign w:val="bottom"/>
            <w:tcBorders>
              <w:bottom w:val="single" w:sz="8" w:color="6022A6"/>
            </w:tcBorders>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p>
        </w:tc>
        <w:tc>
          <w:tcPr>
            <w:tcW w:w="1520" w:type="dxa"/>
            <w:vAlign w:val="bottom"/>
            <w:tcBorders>
              <w:bottom w:val="single" w:sz="8" w:color="E4E4E4"/>
            </w:tcBorders>
            <w:shd w:val="clear" w:color="auto" w:fill="E4E4E4"/>
          </w:tcPr>
          <w:p>
            <w:pPr>
              <w:jc w:val="right"/>
              <w:ind w:right="13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4"/>
              </w:rPr>
              <w:t>1,997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2,494</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52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49"/>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520" w:type="dxa"/>
            <w:vAlign w:val="bottom"/>
            <w:tcBorders>
              <w:bottom w:val="single" w:sz="8" w:color="E4E4E4"/>
            </w:tcBorders>
            <w:shd w:val="clear" w:color="auto" w:fill="E4E4E4"/>
          </w:tcPr>
          <w:p>
            <w:pPr>
              <w:spacing w:after="0"/>
              <w:rPr>
                <w:sz w:val="21"/>
                <w:szCs w:val="21"/>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4"/>
              </w:rPr>
              <w:t>2,015</w:t>
            </w:r>
          </w:p>
        </w:tc>
        <w:tc>
          <w:tcPr>
            <w:tcW w:w="22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2,504</w:t>
            </w:r>
          </w:p>
        </w:tc>
      </w:tr>
      <w:tr>
        <w:trPr>
          <w:trHeight w:val="250"/>
        </w:trPr>
        <w:tc>
          <w:tcPr>
            <w:tcW w:w="73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(1)</w:t>
            </w:r>
          </w:p>
        </w:tc>
        <w:tc>
          <w:tcPr>
            <w:tcW w:w="15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52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1520" w:type="dxa"/>
            <w:vAlign w:val="bottom"/>
            <w:tcBorders>
              <w:bottom w:val="single" w:sz="8" w:color="E4E4E4"/>
            </w:tcBorders>
            <w:shd w:val="clear" w:color="auto" w:fill="E4E4E4"/>
          </w:tcPr>
          <w:p>
            <w:pPr>
              <w:jc w:val="right"/>
              <w:ind w:right="13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4"/>
              </w:rPr>
              <w:t>2,018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2,506</w:t>
            </w:r>
          </w:p>
        </w:tc>
      </w:tr>
      <w:tr>
        <w:trPr>
          <w:trHeight w:val="20"/>
        </w:trPr>
        <w:tc>
          <w:tcPr>
            <w:tcW w:w="7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Long-term restricted cash is recognized within All other non-current assets in the Condensed Consolidated Statements of Financial Position.</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28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28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June 30, 2024</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9"/>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(1)</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w:t>
            </w:r>
          </w:p>
        </w:tc>
      </w:tr>
    </w:tbl>
    <w:p>
      <w:pPr>
        <w:spacing w:after="0" w:line="80" w:lineRule="exact"/>
        <w:rPr>
          <w:sz w:val="20"/>
          <w:szCs w:val="20"/>
          <w:color w:val="auto"/>
        </w:rPr>
      </w:pPr>
    </w:p>
    <w:p>
      <w:pPr>
        <w:ind w:left="260" w:right="220" w:hanging="252"/>
        <w:spacing w:after="0" w:line="286"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454545"/>
              </w:rPr>
              <w:t>June 30, 2024</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Original cost</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5,207</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5,208</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(3,108)</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(3,064)</w:t>
            </w:r>
          </w:p>
        </w:tc>
      </w:tr>
      <w:tr>
        <w:trPr>
          <w:trHeight w:val="29"/>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p>
        </w:tc>
        <w:tc>
          <w:tcPr>
            <w:tcW w:w="28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356</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2,458</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9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Assets</w:t>
            </w:r>
          </w:p>
        </w:tc>
        <w:tc>
          <w:tcPr>
            <w:tcW w:w="2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80" w:type="dxa"/>
            <w:vAlign w:val="bottom"/>
            <w:tcBorders>
              <w:bottom w:val="single" w:sz="8" w:color="6400A0"/>
            </w:tcBorders>
          </w:tcPr>
          <w:p>
            <w:pPr>
              <w:spacing w:after="0"/>
              <w:rPr>
                <w:sz w:val="19"/>
                <w:szCs w:val="19"/>
                <w:color w:val="auto"/>
              </w:rPr>
            </w:pPr>
          </w:p>
        </w:tc>
        <w:tc>
          <w:tcPr>
            <w:tcW w:w="170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June 30, 2024</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4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389</w:t>
            </w:r>
          </w:p>
        </w:tc>
      </w:tr>
      <w:tr>
        <w:trPr>
          <w:trHeight w:val="208"/>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Prepaid pension asset</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Equity method and other investments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1,913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1,881</w:t>
            </w:r>
          </w:p>
        </w:tc>
      </w:tr>
      <w:tr>
        <w:trPr>
          <w:trHeight w:val="20"/>
        </w:trPr>
        <w:tc>
          <w:tcPr>
            <w:tcW w:w="7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 Other primarily consists of tax receivables.</w:t>
      </w:r>
    </w:p>
    <w:p>
      <w:pPr>
        <w:spacing w:after="0" w:line="21" w:lineRule="exact"/>
        <w:rPr>
          <w:rFonts w:ascii="Arial" w:cs="Arial" w:eastAsia="Arial" w:hAnsi="Arial"/>
          <w:sz w:val="16"/>
          <w:szCs w:val="16"/>
          <w:color w:val="auto"/>
        </w:rPr>
      </w:pPr>
    </w:p>
    <w:p>
      <w:pPr>
        <w:ind w:left="260" w:right="460" w:hanging="252"/>
        <w:spacing w:after="0" w:line="283"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Non-current Other primarily consists of indemnity assets associated with separation agreements with GE, capitalized cloud computing software, tax receivables, and derivative instruments.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Liabilities</w:t>
            </w:r>
          </w:p>
        </w:tc>
        <w:tc>
          <w:tcPr>
            <w:tcW w:w="3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30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June 30, 2024</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freight and utilities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E4E4E4"/>
          </w:tcPr>
          <w:p>
            <w:pPr>
              <w:spacing w:after="0"/>
              <w:rPr>
                <w:sz w:val="21"/>
                <w:szCs w:val="21"/>
                <w:color w:val="auto"/>
              </w:rPr>
            </w:pP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1,348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1,493</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1,877</w:t>
            </w:r>
          </w:p>
        </w:tc>
      </w:tr>
      <w:tr>
        <w:trPr>
          <w:trHeight w:val="20"/>
        </w:trPr>
        <w:tc>
          <w:tcPr>
            <w:tcW w:w="7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860" w:hanging="252"/>
        <w:spacing w:after="0" w:line="256"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accrued costs, dividends payable to stockholders, and contingent consideration liabilities.</w:t>
      </w:r>
    </w:p>
    <w:p>
      <w:pPr>
        <w:spacing w:after="0" w:line="14" w:lineRule="exact"/>
        <w:rPr>
          <w:rFonts w:ascii="Arial" w:cs="Arial" w:eastAsia="Arial" w:hAnsi="Arial"/>
          <w:sz w:val="16"/>
          <w:szCs w:val="16"/>
          <w:color w:val="auto"/>
        </w:rPr>
      </w:pPr>
    </w:p>
    <w:p>
      <w:pPr>
        <w:ind w:left="260" w:right="680" w:hanging="252"/>
        <w:spacing w:after="0" w:line="270"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Non-current Other primarily consists of miscellaneous accrued costs, contingent consideration liabilities, and indemnity liabilities associated with separation agreements with GE.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6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programs, payment terms normally range from 30 to 180 days, depending on the underlying supplier agreements.</w:t>
      </w:r>
    </w:p>
    <w:p>
      <w:pPr>
        <w:spacing w:after="0" w:line="20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June 30, 2024 and December 31, 2023 were $393 million and $365 million, respectively, of confirmed supplier invoices that are outstanding and subject to third-party programs.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six months ended June 30, 2024 and 2023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380" w:type="dxa"/>
            <w:vAlign w:val="bottom"/>
          </w:tcPr>
          <w:p>
            <w:pPr>
              <w:spacing w:after="0"/>
              <w:rPr>
                <w:sz w:val="19"/>
                <w:szCs w:val="19"/>
                <w:color w:val="auto"/>
              </w:rPr>
            </w:pPr>
          </w:p>
        </w:tc>
        <w:tc>
          <w:tcPr>
            <w:tcW w:w="354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732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380" w:type="dxa"/>
            <w:vAlign w:val="bottom"/>
            <w:tcBorders>
              <w:bottom w:val="single" w:sz="8" w:color="6022A6"/>
            </w:tcBorders>
          </w:tcPr>
          <w:p>
            <w:pPr>
              <w:spacing w:after="0"/>
              <w:rPr>
                <w:sz w:val="19"/>
                <w:szCs w:val="19"/>
                <w:color w:val="auto"/>
              </w:rPr>
            </w:pPr>
          </w:p>
        </w:tc>
        <w:tc>
          <w:tcPr>
            <w:tcW w:w="1620" w:type="dxa"/>
            <w:vAlign w:val="bottom"/>
            <w:tcBorders>
              <w:bottom w:val="single" w:sz="8" w:color="6022A6"/>
            </w:tcBorders>
          </w:tcPr>
          <w:p>
            <w:pPr>
              <w:jc w:val="right"/>
              <w:ind w:right="739"/>
              <w:spacing w:after="0"/>
              <w:rPr>
                <w:sz w:val="20"/>
                <w:szCs w:val="20"/>
                <w:color w:val="auto"/>
              </w:rPr>
            </w:pPr>
            <w:r>
              <w:rPr>
                <w:rFonts w:ascii="Arial" w:cs="Arial" w:eastAsia="Arial" w:hAnsi="Arial"/>
                <w:sz w:val="16"/>
                <w:szCs w:val="16"/>
                <w:b w:val="1"/>
                <w:bCs w:val="1"/>
                <w:color w:val="454545"/>
              </w:rPr>
              <w:t>2024</w:t>
            </w:r>
          </w:p>
        </w:tc>
        <w:tc>
          <w:tcPr>
            <w:tcW w:w="440" w:type="dxa"/>
            <w:vAlign w:val="bottom"/>
            <w:tcBorders>
              <w:bottom w:val="single" w:sz="8" w:color="6022A6"/>
            </w:tcBorders>
          </w:tcPr>
          <w:p>
            <w:pPr>
              <w:spacing w:after="0"/>
              <w:rPr>
                <w:sz w:val="19"/>
                <w:szCs w:val="19"/>
                <w:color w:val="auto"/>
              </w:rPr>
            </w:pPr>
          </w:p>
        </w:tc>
        <w:tc>
          <w:tcPr>
            <w:tcW w:w="1480" w:type="dxa"/>
            <w:vAlign w:val="bottom"/>
            <w:tcBorders>
              <w:bottom w:val="single" w:sz="8" w:color="6022A6"/>
            </w:tcBorders>
          </w:tcPr>
          <w:p>
            <w:pPr>
              <w:jc w:val="right"/>
              <w:ind w:right="699"/>
              <w:spacing w:after="0"/>
              <w:rPr>
                <w:sz w:val="20"/>
                <w:szCs w:val="20"/>
                <w:color w:val="auto"/>
              </w:rPr>
            </w:pPr>
            <w:r>
              <w:rPr>
                <w:rFonts w:ascii="Arial" w:cs="Arial" w:eastAsia="Arial" w:hAnsi="Arial"/>
                <w:sz w:val="16"/>
                <w:szCs w:val="16"/>
                <w:b w:val="1"/>
                <w:bCs w:val="1"/>
                <w:color w:val="454545"/>
              </w:rPr>
              <w:t>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7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380" w:type="dxa"/>
            <w:vAlign w:val="bottom"/>
            <w:shd w:val="clear" w:color="auto" w:fill="E4E4E4"/>
          </w:tcPr>
          <w:p>
            <w:pPr>
              <w:spacing w:after="0"/>
              <w:rPr>
                <w:sz w:val="22"/>
                <w:szCs w:val="22"/>
                <w:color w:val="auto"/>
              </w:rPr>
            </w:pPr>
          </w:p>
        </w:tc>
        <w:tc>
          <w:tcPr>
            <w:tcW w:w="16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4E4E4"/>
          </w:tcPr>
          <w:p>
            <w:pPr>
              <w:spacing w:after="0"/>
              <w:rPr>
                <w:sz w:val="22"/>
                <w:szCs w:val="22"/>
                <w:color w:val="auto"/>
              </w:rPr>
            </w:pPr>
          </w:p>
        </w:tc>
        <w:tc>
          <w:tcPr>
            <w:tcW w:w="14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5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 and other</w:t>
            </w:r>
            <w:r>
              <w:rPr>
                <w:rFonts w:ascii="Arial" w:cs="Arial" w:eastAsia="Arial" w:hAnsi="Arial"/>
                <w:sz w:val="21"/>
                <w:szCs w:val="21"/>
                <w:color w:val="auto"/>
                <w:vertAlign w:val="superscript"/>
              </w:rPr>
              <w:t>(2)</w:t>
            </w: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r>
      <w:tr>
        <w:trPr>
          <w:trHeight w:val="20"/>
        </w:trPr>
        <w:tc>
          <w:tcPr>
            <w:tcW w:w="7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80" w:hanging="252"/>
        <w:spacing w:after="0" w:line="256"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As a result, these redeemable noncontrolling interests were remeasured to their current redemption value. The remeasurement was accounted for as a deemed preferred stock dividend of redeemable noncontrolling interest and recorded as an adjustment to Retained earnings in the Condensed Consolidated Statements of Financial Position.</w:t>
      </w:r>
    </w:p>
    <w:p>
      <w:pPr>
        <w:ind w:left="260" w:right="420" w:hanging="252"/>
        <w:spacing w:after="0" w:line="283"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redemption amount of $211 million was paid in the second quarter of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220" w:type="dxa"/>
            <w:vAlign w:val="bottom"/>
          </w:tcPr>
          <w:p>
            <w:pPr>
              <w:spacing w:after="0"/>
              <w:rPr>
                <w:sz w:val="20"/>
                <w:szCs w:val="20"/>
                <w:color w:val="auto"/>
              </w:rPr>
            </w:pPr>
          </w:p>
        </w:tc>
        <w:tc>
          <w:tcPr>
            <w:tcW w:w="3220" w:type="dxa"/>
            <w:vAlign w:val="bottom"/>
            <w:gridSpan w:val="4"/>
          </w:tcPr>
          <w:p>
            <w:pPr>
              <w:ind w:left="120"/>
              <w:spacing w:after="0"/>
              <w:rPr>
                <w:sz w:val="20"/>
                <w:szCs w:val="20"/>
                <w:color w:val="auto"/>
              </w:rPr>
            </w:pPr>
            <w:r>
              <w:rPr>
                <w:rFonts w:ascii="Arial" w:cs="Arial" w:eastAsia="Arial" w:hAnsi="Arial"/>
                <w:sz w:val="16"/>
                <w:szCs w:val="16"/>
                <w:b w:val="1"/>
                <w:bCs w:val="1"/>
                <w:color w:val="454545"/>
              </w:rPr>
              <w:t>For the three months ended June 30</w:t>
            </w:r>
          </w:p>
        </w:tc>
        <w:tc>
          <w:tcPr>
            <w:tcW w:w="260" w:type="dxa"/>
            <w:vAlign w:val="bottom"/>
          </w:tcPr>
          <w:p>
            <w:pPr>
              <w:spacing w:after="0"/>
              <w:rPr>
                <w:sz w:val="20"/>
                <w:szCs w:val="20"/>
                <w:color w:val="auto"/>
              </w:rPr>
            </w:pPr>
          </w:p>
        </w:tc>
        <w:tc>
          <w:tcPr>
            <w:tcW w:w="310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44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0"/>
        </w:trPr>
        <w:tc>
          <w:tcPr>
            <w:tcW w:w="4440" w:type="dxa"/>
            <w:vAlign w:val="bottom"/>
            <w:tcBorders>
              <w:bottom w:val="single" w:sz="8" w:color="6022A6"/>
            </w:tcBorders>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46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38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80" w:type="dxa"/>
            <w:vAlign w:val="bottom"/>
            <w:tcBorders>
              <w:bottom w:val="single" w:sz="8" w:color="6022A6"/>
            </w:tcBorders>
          </w:tcPr>
          <w:p>
            <w:pPr>
              <w:spacing w:after="0"/>
              <w:rPr>
                <w:sz w:val="19"/>
                <w:szCs w:val="19"/>
                <w:color w:val="auto"/>
              </w:rPr>
            </w:pPr>
          </w:p>
        </w:tc>
        <w:tc>
          <w:tcPr>
            <w:tcW w:w="260" w:type="dxa"/>
            <w:vAlign w:val="bottom"/>
            <w:tcBorders>
              <w:bottom w:val="single" w:sz="8" w:color="6022A6"/>
            </w:tcBorders>
          </w:tcPr>
          <w:p>
            <w:pPr>
              <w:spacing w:after="0"/>
              <w:rPr>
                <w:sz w:val="19"/>
                <w:szCs w:val="19"/>
                <w:color w:val="auto"/>
              </w:rPr>
            </w:pPr>
          </w:p>
        </w:tc>
        <w:tc>
          <w:tcPr>
            <w:tcW w:w="1400" w:type="dxa"/>
            <w:vAlign w:val="bottom"/>
            <w:tcBorders>
              <w:bottom w:val="single" w:sz="8" w:color="6022A6"/>
            </w:tcBorders>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40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33"/>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gridSpan w:val="2"/>
            <w:shd w:val="clear" w:color="auto" w:fill="E4E4E4"/>
          </w:tcPr>
          <w:p>
            <w:pPr>
              <w:jc w:val="right"/>
              <w:ind w:right="179"/>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E4E4E4"/>
            </w:tcBorders>
            <w:shd w:val="clear" w:color="auto" w:fill="E4E4E4"/>
          </w:tcPr>
          <w:p>
            <w:pPr>
              <w:jc w:val="center"/>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220" w:type="dxa"/>
            <w:vAlign w:val="bottom"/>
          </w:tcPr>
          <w:p>
            <w:pPr>
              <w:spacing w:after="0"/>
              <w:rPr>
                <w:sz w:val="18"/>
                <w:szCs w:val="18"/>
                <w:color w:val="auto"/>
              </w:rPr>
            </w:pPr>
          </w:p>
        </w:tc>
        <w:tc>
          <w:tcPr>
            <w:tcW w:w="1460" w:type="dxa"/>
            <w:vAlign w:val="bottom"/>
          </w:tcPr>
          <w:p>
            <w:pPr>
              <w:jc w:val="center"/>
              <w:ind w:left="1159"/>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2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center"/>
              <w:ind w:left="1139"/>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159"/>
              <w:spacing w:after="0"/>
              <w:rPr>
                <w:sz w:val="20"/>
                <w:szCs w:val="20"/>
                <w:color w:val="auto"/>
              </w:rPr>
            </w:pPr>
            <w:r>
              <w:rPr>
                <w:rFonts w:ascii="Arial" w:cs="Arial" w:eastAsia="Arial" w:hAnsi="Arial"/>
                <w:sz w:val="16"/>
                <w:szCs w:val="16"/>
                <w:b w:val="1"/>
                <w:bCs w:val="1"/>
                <w:color w:val="auto"/>
              </w:rPr>
              <w:t>1</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400" w:type="dxa"/>
            <w:vAlign w:val="bottom"/>
            <w:tcBorders>
              <w:bottom w:val="single" w:sz="8" w:color="E4E4E4"/>
            </w:tcBorders>
            <w:shd w:val="clear" w:color="auto" w:fill="E4E4E4"/>
          </w:tcPr>
          <w:p>
            <w:pPr>
              <w:jc w:val="center"/>
              <w:ind w:right="1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r>
      <w:tr>
        <w:trPr>
          <w:trHeight w:val="20"/>
        </w:trPr>
        <w:tc>
          <w:tcPr>
            <w:tcW w:w="4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560" w:hanging="252"/>
        <w:spacing w:after="0" w:line="286"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items, net primarily consists of lease income and licensing and royalty income for the three and six months ended June 30, 2024, and lease income, gains and losses related to derivatives, and licensing and royalty income for the three and six months ended June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 AND TRANSITION SERVICES AGREEMENT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 and GE, including the Transition Services Agreement (“TSA”). These agreements were structured in anticipation of GE’s transaction to separate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GE Vernova business as described in Note 1, “Organization and Basis of Presentation.” Under these agreements, we incurred $45 million, net,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$84 million, net, for the three months ended June 30, 2024 and 2023, respectively, and $98 million, net, and $192 million, net, for the six months ended June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 2024 and 2023, respectively. These amounts represent fees charged from GE and GE Vernova to the Company primarily for information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human resources, and research and development and is net of fees charged from the Company to GE and GE Vernova for facilities and other shared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services. For more information on these agreements, see Note 19, “Related Parties” in our Annual Report on Form 10-K for the fiscal year ended December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31, 2023.</w:t>
      </w: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Current amounts due from and to GE under the various agreements are recognized within Due from related parties or Due to related parties, as applicable, in the Condensed Consolidated Statements of Financial Position. Non-current amounts due from GE were $70 million and $81 million, and due to GE were $41 million and $33 million, as of June 30, 2024 and December 31, 2023, respectively. These amounts were recognized within All other non-current assets and All other non-current liabilities, respectively, in the Condensed Consolidated Statements of Financial Position and primarily relate to tax and other indemnities. Following its separation from GE, GE Vernova does not meet the definition of a related party; accordingly, amounts as of June 30, 2024 due to and from GE Vernova in accordance with the TSA are excluded from the Due from related parties and Due to related parties financial statement line items and non-current balances disclosed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7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Effective July 1, 2024, the Image Guided Therapies subsegment, previously part of the Imaging segment, was realigned to the Ultrasound segment to better match its clinical usage and realize stronger business and customer impact by providing the right image guidance in the right care setting. Following this realignment, the Company continues to have four reportable segments. Beginning with the Form 10-Q filing for the period ending September 30, 2024, any historical segment financial information presented will be recast to conform to the new reportable segments structure.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56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(“MD&amp;A”)</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1"/>
        </w:trPr>
        <w:tc>
          <w:tcPr>
            <w:tcW w:w="95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560" w:type="dxa"/>
            <w:vAlign w:val="bottom"/>
          </w:tcPr>
          <w:p>
            <w:pPr>
              <w:ind w:left="20"/>
              <w:spacing w:after="0" w:line="183" w:lineRule="exact"/>
              <w:rPr>
                <w:sz w:val="20"/>
                <w:szCs w:val="20"/>
                <w:color w:val="auto"/>
              </w:rPr>
            </w:pPr>
            <w:r>
              <w:rPr>
                <w:rFonts w:ascii="Arial" w:cs="Arial" w:eastAsia="Arial" w:hAnsi="Arial"/>
                <w:sz w:val="16"/>
                <w:szCs w:val="16"/>
                <w:color w:val="auto"/>
              </w:rPr>
              <w:t>Trends and Factors Impacting Our Performance</w:t>
            </w:r>
          </w:p>
        </w:tc>
        <w:tc>
          <w:tcPr>
            <w:tcW w:w="148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30</w:t>
            </w:r>
          </w:p>
        </w:tc>
        <w:tc>
          <w:tcPr>
            <w:tcW w:w="20" w:type="dxa"/>
            <w:vAlign w:val="bottom"/>
          </w:tcPr>
          <w:p>
            <w:pPr>
              <w:spacing w:after="0"/>
              <w:rPr>
                <w:sz w:val="15"/>
                <w:szCs w:val="15"/>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31</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31</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35</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36</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40</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41</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41</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financial statements and corresponding notes included elsewhere in this Quarterly Report on Form 10-Q. The following discussion and analysis provide information management believes to be relevant to understanding the financial condition and results of operations of GE HealthCare Technologies Inc. and its subsidiaries (“GE HealthCare,” the “Company,” “our,” “us,” or “we”) for the three and six months ended June 30, 2024 and 2023.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2023.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2023.</w:t>
      </w:r>
    </w:p>
    <w:p>
      <w:pPr>
        <w:spacing w:after="0" w:line="12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On January 3, 2023, the General Electric Company, which now operates as GE Aerospace, (“GE”) completed the spin-off of GE HealthCare Technologies Inc. (the “Spin-Off”). For further information regarding the Spin-Off, refer to Note 1, “Organization and Basis of Presentation.”</w:t>
      </w:r>
    </w:p>
    <w:p>
      <w:pPr>
        <w:spacing w:after="0" w:line="11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throughout this document may not sum due to the use of rounded numbers. Percentages presented are calculated from the underlying whole-dollar amounts.</w:t>
      </w:r>
    </w:p>
    <w:p>
      <w:pPr>
        <w:spacing w:after="0" w:line="13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As of June 30, 2024, GE HealthCare’s operations were organized and managed through four reportable segments: Imaging, Ultrasound, Patient Care Solutions (“PCS”), and Pharmaceutical Diagnostics (“PDx”) and we evaluated their operating performance using Segment revenues and Segment EBIT.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162"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2023.</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had $126 million and $153 million of assets in, or directly related to, Russia and Ukraine as of June 30, 2024 and December 31, 2023, respectively, none of which are subject to sanctions that impact the carrying value of the assets. We generated revenues of $161 million and $155 million from customers in these two countries for the six months ended June 30, 2024 and 2023, respectively. The potential inability to repatriate earnings from these two countries will not have a material impact on our ability to operate.</w:t>
      </w:r>
    </w:p>
    <w:p>
      <w:pPr>
        <w:spacing w:after="0" w:line="12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In May 2023, the U.S. Department of Commerce implemented expanded measures that required us to obtain a license for the export, re-export, or transfer of specified medical equipment and spare parts to customers in Russia. As of April 29, 2024, this requirement has been modified to permit us to export, re-export, or transfer medical equipment and spare parts that meet stated criteria under a License Exception, which is expected to eliminate the need for us to obtain individual U.S. licenses in most cases.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first two quarters of 2024 and the last three quarters of 2023 and will continue to do so as we confirm applicability of the new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The Board, together with management, will continue to assess whether developments related to the conflict have had, or are reasonably likely to have, a material impact on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 Market</w:t>
      </w:r>
    </w:p>
    <w:p>
      <w:pPr>
        <w:spacing w:after="0" w:line="1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continue to monitor developments in the market in China. An anti-corruption campaign directed at the healthcare sector, launched last year, is still ongoing. In addition, in March 2024, the government in China announced a new stimulus program (“2024 stimulus”) that includes the healthcare sector and will be implemented through China’s provinces. Both of these factors have contributed to delayed orders and sales in our China business, including in the first half of 2024. We expect the 2024 stimulus program will result in opportunities for our business in China in the longer term, but it has had a short-term impact as provinces develop and announce their plans and customers wait to understand the details of the 2024 stimulus before making purchasing decisions. We expect the effects of the anti-corruption campaign and the delay in China 2024 stimulus to continue to impact our orders and sales in the near term, although we are unable to predict the exact duration or magnitude of the impact. We expect both of these impacts to be temporary, and we believe the focus of government policy in China on expanding access to healthcare will benefit our business in China in the long term.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color w:val="auto"/>
        </w:rPr>
        <w:t>Tax Valuation Allowances</w:t>
      </w:r>
    </w:p>
    <w:p>
      <w:pPr>
        <w:spacing w:after="0" w:line="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Deferred income tax assets represent amounts available to reduce income taxes payable on taxable income in future years. We evaluate the recoverability of these future tax deductions and credits by evaluating all available positive and negative evidence. We have a valuation allowance against certain U.S. and foreign deferred tax assets and will release the valuation allowance when there is sufficient positive evidence to support a conclusion that it is more likely than not the deferred tax assets will be realized. Depending on our operating results in the future, we may release the valuation allowance associated with our Brazil deferred tax assets within the year. The timing and amount of the valuation allowance release could vary based on our assessment of all available evidence. Release of all, or a portion, of the valuation allowance would result in the recognition of certain deferred tax assets and may result in a decrease to income tax expense for the period in which the release is recorded.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Management reviews and analyzes several key performance measures including Total revenues, remaining performance obligations (“RPO”),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w:t>
            </w:r>
          </w:p>
        </w:tc>
        <w:tc>
          <w:tcPr>
            <w:tcW w:w="3000" w:type="dxa"/>
            <w:vAlign w:val="bottom"/>
            <w:gridSpan w:val="5"/>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19"/>
                <w:szCs w:val="19"/>
                <w:color w:val="auto"/>
              </w:rPr>
            </w:pPr>
          </w:p>
        </w:tc>
        <w:tc>
          <w:tcPr>
            <w:tcW w:w="28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2023</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r>
      <w:tr>
        <w:trPr>
          <w:trHeight w:val="230"/>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Sales of products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3,207</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3,213</w:t>
            </w: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6,253</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6,344</w:t>
            </w:r>
          </w:p>
        </w:tc>
      </w:tr>
      <w:tr>
        <w:trPr>
          <w:trHeight w:val="228"/>
        </w:trPr>
        <w:tc>
          <w:tcPr>
            <w:tcW w:w="5320" w:type="dxa"/>
            <w:vAlign w:val="bottom"/>
          </w:tcPr>
          <w:p>
            <w:pPr>
              <w:ind w:left="100"/>
              <w:spacing w:after="0"/>
              <w:rPr>
                <w:sz w:val="20"/>
                <w:szCs w:val="20"/>
                <w:color w:val="auto"/>
              </w:rPr>
            </w:pPr>
            <w:r>
              <w:rPr>
                <w:rFonts w:ascii="Arial" w:cs="Arial" w:eastAsia="Arial" w:hAnsi="Arial"/>
                <w:sz w:val="16"/>
                <w:szCs w:val="16"/>
                <w:color w:val="auto"/>
              </w:rPr>
              <w:t>Sales of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3,180</w:t>
            </w:r>
          </w:p>
        </w:tc>
      </w:tr>
      <w:tr>
        <w:trPr>
          <w:trHeight w:val="29"/>
        </w:trPr>
        <w:tc>
          <w:tcPr>
            <w:tcW w:w="5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36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4,817</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c>
          <w:tcPr>
            <w:tcW w:w="3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r>
      <w:tr>
        <w:trPr>
          <w:trHeight w:val="221"/>
        </w:trPr>
        <w:tc>
          <w:tcPr>
            <w:tcW w:w="53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Cost of products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2,045</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w:t>
            </w:r>
          </w:p>
        </w:tc>
      </w:tr>
      <w:tr>
        <w:trPr>
          <w:trHeight w:val="29"/>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Cost of services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792</w:t>
            </w:r>
          </w:p>
        </w:tc>
        <w:tc>
          <w:tcPr>
            <w:tcW w:w="36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1,574</w:t>
            </w:r>
          </w:p>
        </w:tc>
        <w:tc>
          <w:tcPr>
            <w:tcW w:w="36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1,572</w:t>
            </w:r>
          </w:p>
        </w:tc>
      </w:tr>
      <w:tr>
        <w:trPr>
          <w:trHeight w:val="229"/>
        </w:trPr>
        <w:tc>
          <w:tcPr>
            <w:tcW w:w="53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2,002</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3,904</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3,831</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1,067</w:t>
            </w:r>
          </w:p>
        </w:tc>
        <w:tc>
          <w:tcPr>
            <w:tcW w:w="36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2,105</w:t>
            </w:r>
          </w:p>
        </w:tc>
        <w:tc>
          <w:tcPr>
            <w:tcW w:w="3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2,134</w:t>
            </w:r>
          </w:p>
        </w:tc>
      </w:tr>
      <w:tr>
        <w:trPr>
          <w:trHeight w:val="228"/>
        </w:trPr>
        <w:tc>
          <w:tcPr>
            <w:tcW w:w="532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9"/>
        </w:trPr>
        <w:tc>
          <w:tcPr>
            <w:tcW w:w="5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1,395</w:t>
            </w:r>
          </w:p>
        </w:tc>
        <w:tc>
          <w:tcPr>
            <w:tcW w:w="36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1,370</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2,756</w:t>
            </w:r>
          </w:p>
        </w:tc>
        <w:tc>
          <w:tcPr>
            <w:tcW w:w="3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2,702</w:t>
            </w:r>
          </w:p>
        </w:tc>
      </w:tr>
      <w:tr>
        <w:trPr>
          <w:trHeight w:val="229"/>
        </w:trPr>
        <w:tc>
          <w:tcPr>
            <w:tcW w:w="53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1,148</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1,129</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Interest and other financial charges – net</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36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c>
          <w:tcPr>
            <w:tcW w:w="3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r>
      <w:tr>
        <w:trPr>
          <w:trHeight w:val="228"/>
        </w:trPr>
        <w:tc>
          <w:tcPr>
            <w:tcW w:w="5320" w:type="dxa"/>
            <w:vAlign w:val="bottom"/>
          </w:tcPr>
          <w:p>
            <w:pPr>
              <w:ind w:left="100"/>
              <w:spacing w:after="0"/>
              <w:rPr>
                <w:sz w:val="20"/>
                <w:szCs w:val="20"/>
                <w:color w:val="auto"/>
              </w:rPr>
            </w:pPr>
            <w:r>
              <w:rPr>
                <w:rFonts w:ascii="Arial" w:cs="Arial" w:eastAsia="Arial" w:hAnsi="Arial"/>
                <w:sz w:val="16"/>
                <w:szCs w:val="16"/>
                <w:color w:val="auto"/>
              </w:rPr>
              <w:t>Non-operating benefit (income)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9"/>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Other (income) expense – net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53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Income before income taxes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1,116</w:t>
            </w:r>
          </w:p>
        </w:tc>
      </w:tr>
      <w:tr>
        <w:trPr>
          <w:trHeight w:val="21"/>
        </w:trPr>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2"/>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36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36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r>
      <w:tr>
        <w:trPr>
          <w:trHeight w:val="229"/>
        </w:trPr>
        <w:tc>
          <w:tcPr>
            <w:tcW w:w="53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823</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5"/>
        </w:trPr>
        <w:tc>
          <w:tcPr>
            <w:tcW w:w="53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53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231F20"/>
              </w:rPr>
              <w:t>Net income attributable to GE HealthCare</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790</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TOTAL REVENUES AND RPO.</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513"/>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220" w:type="dxa"/>
            <w:vAlign w:val="bottom"/>
          </w:tcPr>
          <w:p>
            <w:pPr>
              <w:spacing w:after="0"/>
              <w:rPr>
                <w:sz w:val="24"/>
                <w:szCs w:val="24"/>
                <w:color w:val="auto"/>
              </w:rPr>
            </w:pPr>
          </w:p>
        </w:tc>
        <w:tc>
          <w:tcPr>
            <w:tcW w:w="4320" w:type="dxa"/>
            <w:vAlign w:val="bottom"/>
            <w:gridSpan w:val="6"/>
          </w:tcPr>
          <w:p>
            <w:pPr>
              <w:ind w:left="620"/>
              <w:spacing w:after="0"/>
              <w:rPr>
                <w:sz w:val="20"/>
                <w:szCs w:val="20"/>
                <w:color w:val="auto"/>
              </w:rPr>
            </w:pPr>
            <w:r>
              <w:rPr>
                <w:rFonts w:ascii="Arial" w:cs="Arial" w:eastAsia="Arial" w:hAnsi="Arial"/>
                <w:sz w:val="16"/>
                <w:szCs w:val="16"/>
                <w:b w:val="1"/>
                <w:bCs w:val="1"/>
                <w:color w:val="454545"/>
              </w:rPr>
              <w:t>For the three months ended June 30</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48"/>
        </w:trPr>
        <w:tc>
          <w:tcPr>
            <w:tcW w:w="2200" w:type="dxa"/>
            <w:vAlign w:val="bottom"/>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740" w:type="dxa"/>
            <w:vAlign w:val="bottom"/>
            <w:tcBorders>
              <w:bottom w:val="single" w:sz="8" w:color="454545"/>
            </w:tcBorders>
          </w:tcPr>
          <w:p>
            <w:pPr>
              <w:spacing w:after="0"/>
              <w:rPr>
                <w:sz w:val="4"/>
                <w:szCs w:val="4"/>
                <w:color w:val="auto"/>
              </w:rPr>
            </w:pPr>
          </w:p>
        </w:tc>
        <w:tc>
          <w:tcPr>
            <w:tcW w:w="24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920" w:type="dxa"/>
            <w:vAlign w:val="bottom"/>
            <w:tcBorders>
              <w:bottom w:val="single" w:sz="8" w:color="454545"/>
            </w:tcBorders>
          </w:tcPr>
          <w:p>
            <w:pPr>
              <w:spacing w:after="0"/>
              <w:rPr>
                <w:sz w:val="4"/>
                <w:szCs w:val="4"/>
                <w:color w:val="auto"/>
              </w:rPr>
            </w:pPr>
          </w:p>
        </w:tc>
        <w:tc>
          <w:tcPr>
            <w:tcW w:w="154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720" w:type="dxa"/>
            <w:vAlign w:val="bottom"/>
            <w:tcBorders>
              <w:bottom w:val="single" w:sz="8" w:color="454545"/>
            </w:tcBorders>
          </w:tcPr>
          <w:p>
            <w:pPr>
              <w:spacing w:after="0"/>
              <w:rPr>
                <w:sz w:val="4"/>
                <w:szCs w:val="4"/>
                <w:color w:val="auto"/>
              </w:rPr>
            </w:pPr>
          </w:p>
        </w:tc>
        <w:tc>
          <w:tcPr>
            <w:tcW w:w="28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920" w:type="dxa"/>
            <w:vAlign w:val="bottom"/>
            <w:tcBorders>
              <w:bottom w:val="single" w:sz="8" w:color="454545"/>
            </w:tcBorders>
          </w:tcPr>
          <w:p>
            <w:pPr>
              <w:spacing w:after="0"/>
              <w:rPr>
                <w:sz w:val="4"/>
                <w:szCs w:val="4"/>
                <w:color w:val="auto"/>
              </w:rPr>
            </w:pPr>
          </w:p>
        </w:tc>
        <w:tc>
          <w:tcPr>
            <w:tcW w:w="1560" w:type="dxa"/>
            <w:vAlign w:val="bottom"/>
            <w:tcBorders>
              <w:bottom w:val="single" w:sz="8" w:color="454545"/>
            </w:tcBorders>
          </w:tcPr>
          <w:p>
            <w:pPr>
              <w:spacing w:after="0"/>
              <w:rPr>
                <w:sz w:val="4"/>
                <w:szCs w:val="4"/>
                <w:color w:val="auto"/>
              </w:rPr>
            </w:pPr>
          </w:p>
        </w:tc>
      </w:tr>
      <w:tr>
        <w:trPr>
          <w:trHeight w:val="229"/>
        </w:trPr>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454545"/>
              </w:rPr>
              <w:t>% organic* change</w:t>
            </w:r>
          </w:p>
        </w:tc>
        <w:tc>
          <w:tcPr>
            <w:tcW w:w="22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454545"/>
              </w:rPr>
              <w:t>% organic* change</w:t>
            </w:r>
          </w:p>
        </w:tc>
      </w:tr>
      <w:tr>
        <w:trPr>
          <w:trHeight w:val="21"/>
        </w:trPr>
        <w:tc>
          <w:tcPr>
            <w:tcW w:w="22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r>
      <w:tr>
        <w:trPr>
          <w:trHeight w:val="230"/>
        </w:trPr>
        <w:tc>
          <w:tcPr>
            <w:tcW w:w="220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Segment revenues</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15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spacing w:after="0"/>
              <w:rPr>
                <w:sz w:val="20"/>
                <w:szCs w:val="20"/>
                <w:color w:val="auto"/>
              </w:rPr>
            </w:pPr>
          </w:p>
        </w:tc>
      </w:tr>
      <w:tr>
        <w:trPr>
          <w:trHeight w:val="268"/>
        </w:trPr>
        <w:tc>
          <w:tcPr>
            <w:tcW w:w="2200" w:type="dxa"/>
            <w:vAlign w:val="bottom"/>
          </w:tcPr>
          <w:p>
            <w:pPr>
              <w:ind w:left="300"/>
              <w:spacing w:after="0"/>
              <w:rPr>
                <w:sz w:val="20"/>
                <w:szCs w:val="20"/>
                <w:color w:val="auto"/>
              </w:rPr>
            </w:pPr>
            <w:r>
              <w:rPr>
                <w:rFonts w:ascii="Arial" w:cs="Arial" w:eastAsia="Arial" w:hAnsi="Arial"/>
                <w:sz w:val="16"/>
                <w:szCs w:val="16"/>
                <w:color w:val="auto"/>
              </w:rPr>
              <w:t>Imaging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2,596</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2,620</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5,116</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7"/>
        </w:trPr>
        <w:tc>
          <w:tcPr>
            <w:tcW w:w="22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22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823</w:t>
            </w:r>
          </w:p>
        </w:tc>
        <w:tc>
          <w:tcPr>
            <w:tcW w:w="24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839</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1,647</w:t>
            </w:r>
          </w:p>
        </w:tc>
        <w:tc>
          <w:tcPr>
            <w:tcW w:w="2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1,698</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68"/>
        </w:trPr>
        <w:tc>
          <w:tcPr>
            <w:tcW w:w="2200" w:type="dxa"/>
            <w:vAlign w:val="bottom"/>
          </w:tcPr>
          <w:p>
            <w:pPr>
              <w:ind w:left="300"/>
              <w:spacing w:after="0"/>
              <w:rPr>
                <w:sz w:val="20"/>
                <w:szCs w:val="20"/>
                <w:color w:val="auto"/>
              </w:rPr>
            </w:pPr>
            <w:r>
              <w:rPr>
                <w:rFonts w:ascii="Arial" w:cs="Arial" w:eastAsia="Arial" w:hAnsi="Arial"/>
                <w:sz w:val="16"/>
                <w:szCs w:val="16"/>
                <w:color w:val="auto"/>
              </w:rPr>
              <w:t>PCS</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772</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1,551</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7"/>
        </w:trPr>
        <w:tc>
          <w:tcPr>
            <w:tcW w:w="22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22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639</w:t>
            </w:r>
          </w:p>
        </w:tc>
        <w:tc>
          <w:tcPr>
            <w:tcW w:w="24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568</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1,238</w:t>
            </w:r>
          </w:p>
        </w:tc>
        <w:tc>
          <w:tcPr>
            <w:tcW w:w="2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1,126</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91"/>
        </w:trPr>
        <w:tc>
          <w:tcPr>
            <w:tcW w:w="2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77"/>
        </w:trPr>
        <w:tc>
          <w:tcPr>
            <w:tcW w:w="22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4,817</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c>
          <w:tcPr>
            <w:tcW w:w="2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9,524</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320" w:type="dxa"/>
            <w:vAlign w:val="bottom"/>
          </w:tcPr>
          <w:p>
            <w:pPr>
              <w:spacing w:after="0"/>
              <w:rPr>
                <w:sz w:val="21"/>
                <w:szCs w:val="21"/>
                <w:color w:val="auto"/>
              </w:rPr>
            </w:pPr>
          </w:p>
        </w:tc>
        <w:tc>
          <w:tcPr>
            <w:tcW w:w="3860" w:type="dxa"/>
            <w:vAlign w:val="bottom"/>
            <w:gridSpan w:val="5"/>
          </w:tcPr>
          <w:p>
            <w:pPr>
              <w:ind w:left="340"/>
              <w:spacing w:after="0"/>
              <w:rPr>
                <w:sz w:val="20"/>
                <w:szCs w:val="20"/>
                <w:color w:val="auto"/>
              </w:rPr>
            </w:pPr>
            <w:r>
              <w:rPr>
                <w:rFonts w:ascii="Arial" w:cs="Arial" w:eastAsia="Arial" w:hAnsi="Arial"/>
                <w:sz w:val="16"/>
                <w:szCs w:val="16"/>
                <w:b w:val="1"/>
                <w:bCs w:val="1"/>
                <w:color w:val="454545"/>
              </w:rPr>
              <w:t>For the three months ended June 30</w:t>
            </w:r>
          </w:p>
        </w:tc>
        <w:tc>
          <w:tcPr>
            <w:tcW w:w="320" w:type="dxa"/>
            <w:vAlign w:val="bottom"/>
          </w:tcPr>
          <w:p>
            <w:pPr>
              <w:spacing w:after="0"/>
              <w:rPr>
                <w:sz w:val="21"/>
                <w:szCs w:val="21"/>
                <w:color w:val="auto"/>
              </w:rPr>
            </w:pPr>
          </w:p>
        </w:tc>
        <w:tc>
          <w:tcPr>
            <w:tcW w:w="37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454545"/>
              </w:rPr>
              <w:t>% change</w:t>
            </w: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2023</w:t>
            </w: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29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United States and Canada</w:t>
            </w:r>
          </w:p>
        </w:tc>
        <w:tc>
          <w:tcPr>
            <w:tcW w:w="320" w:type="dxa"/>
            <w:vAlign w:val="bottom"/>
            <w:vMerge w:val="restart"/>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2,243</w:t>
            </w:r>
          </w:p>
        </w:tc>
        <w:tc>
          <w:tcPr>
            <w:tcW w:w="340" w:type="dxa"/>
            <w:vAlign w:val="bottom"/>
            <w:vMerge w:val="restart"/>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color w:val="auto"/>
              </w:rPr>
              <w:t>2,139</w:t>
            </w:r>
          </w:p>
        </w:tc>
        <w:tc>
          <w:tcPr>
            <w:tcW w:w="11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E4E4E4"/>
          </w:tcPr>
          <w:p>
            <w:pPr>
              <w:spacing w:after="0"/>
              <w:rPr>
                <w:sz w:val="18"/>
                <w:szCs w:val="18"/>
                <w:color w:val="auto"/>
              </w:rPr>
            </w:pPr>
          </w:p>
        </w:tc>
        <w:tc>
          <w:tcPr>
            <w:tcW w:w="320" w:type="dxa"/>
            <w:vAlign w:val="bottom"/>
            <w:vMerge w:val="restart"/>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4,336</w:t>
            </w:r>
          </w:p>
        </w:tc>
        <w:tc>
          <w:tcPr>
            <w:tcW w:w="360" w:type="dxa"/>
            <w:vAlign w:val="bottom"/>
            <w:vMerge w:val="restart"/>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color w:val="auto"/>
              </w:rPr>
              <w:t>4,222</w:t>
            </w:r>
          </w:p>
        </w:tc>
        <w:tc>
          <w:tcPr>
            <w:tcW w:w="11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20"/>
        </w:trPr>
        <w:tc>
          <w:tcPr>
            <w:tcW w:w="2960" w:type="dxa"/>
            <w:vAlign w:val="bottom"/>
            <w:vMerge w:val="restart"/>
            <w:shd w:val="clear" w:color="auto" w:fill="E4E4E4"/>
          </w:tcPr>
          <w:p>
            <w:pPr>
              <w:ind w:left="260"/>
              <w:spacing w:after="0"/>
              <w:rPr>
                <w:sz w:val="20"/>
                <w:szCs w:val="20"/>
                <w:color w:val="auto"/>
              </w:rPr>
            </w:pPr>
            <w:r>
              <w:rPr>
                <w:rFonts w:ascii="Arial" w:cs="Arial" w:eastAsia="Arial" w:hAnsi="Arial"/>
                <w:sz w:val="16"/>
                <w:szCs w:val="16"/>
                <w:color w:val="auto"/>
              </w:rPr>
              <w:t>(“USCAN”)</w:t>
            </w:r>
          </w:p>
        </w:tc>
        <w:tc>
          <w:tcPr>
            <w:tcW w:w="320" w:type="dxa"/>
            <w:vAlign w:val="bottom"/>
            <w:vMerge w:val="continue"/>
            <w:shd w:val="clear" w:color="auto" w:fill="E4E4E4"/>
          </w:tcPr>
          <w:p>
            <w:pPr>
              <w:spacing w:after="0"/>
              <w:rPr>
                <w:sz w:val="10"/>
                <w:szCs w:val="10"/>
                <w:color w:val="auto"/>
              </w:rPr>
            </w:pPr>
          </w:p>
        </w:tc>
        <w:tc>
          <w:tcPr>
            <w:tcW w:w="1080" w:type="dxa"/>
            <w:vAlign w:val="bottom"/>
            <w:vMerge w:val="continue"/>
            <w:shd w:val="clear" w:color="auto" w:fill="E4E4E4"/>
          </w:tcPr>
          <w:p>
            <w:pPr>
              <w:spacing w:after="0"/>
              <w:rPr>
                <w:sz w:val="10"/>
                <w:szCs w:val="10"/>
                <w:color w:val="auto"/>
              </w:rPr>
            </w:pPr>
          </w:p>
        </w:tc>
        <w:tc>
          <w:tcPr>
            <w:tcW w:w="340" w:type="dxa"/>
            <w:vAlign w:val="bottom"/>
            <w:vMerge w:val="continue"/>
            <w:shd w:val="clear" w:color="auto" w:fill="E4E4E4"/>
          </w:tcPr>
          <w:p>
            <w:pPr>
              <w:spacing w:after="0"/>
              <w:rPr>
                <w:sz w:val="10"/>
                <w:szCs w:val="10"/>
                <w:color w:val="auto"/>
              </w:rPr>
            </w:pPr>
          </w:p>
        </w:tc>
        <w:tc>
          <w:tcPr>
            <w:tcW w:w="1200" w:type="dxa"/>
            <w:vAlign w:val="bottom"/>
            <w:vMerge w:val="continue"/>
            <w:shd w:val="clear" w:color="auto" w:fill="E4E4E4"/>
          </w:tcPr>
          <w:p>
            <w:pPr>
              <w:spacing w:after="0"/>
              <w:rPr>
                <w:sz w:val="10"/>
                <w:szCs w:val="10"/>
                <w:color w:val="auto"/>
              </w:rPr>
            </w:pPr>
          </w:p>
        </w:tc>
        <w:tc>
          <w:tcPr>
            <w:tcW w:w="1160" w:type="dxa"/>
            <w:vAlign w:val="bottom"/>
            <w:vMerge w:val="continue"/>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320" w:type="dxa"/>
            <w:vAlign w:val="bottom"/>
            <w:vMerge w:val="continue"/>
            <w:shd w:val="clear" w:color="auto" w:fill="E4E4E4"/>
          </w:tcPr>
          <w:p>
            <w:pPr>
              <w:spacing w:after="0"/>
              <w:rPr>
                <w:sz w:val="10"/>
                <w:szCs w:val="10"/>
                <w:color w:val="auto"/>
              </w:rPr>
            </w:pPr>
          </w:p>
        </w:tc>
        <w:tc>
          <w:tcPr>
            <w:tcW w:w="1060" w:type="dxa"/>
            <w:vAlign w:val="bottom"/>
            <w:vMerge w:val="continue"/>
            <w:shd w:val="clear" w:color="auto" w:fill="E4E4E4"/>
          </w:tcPr>
          <w:p>
            <w:pPr>
              <w:spacing w:after="0"/>
              <w:rPr>
                <w:sz w:val="10"/>
                <w:szCs w:val="10"/>
                <w:color w:val="auto"/>
              </w:rPr>
            </w:pPr>
          </w:p>
        </w:tc>
        <w:tc>
          <w:tcPr>
            <w:tcW w:w="360" w:type="dxa"/>
            <w:vAlign w:val="bottom"/>
            <w:vMerge w:val="continue"/>
            <w:shd w:val="clear" w:color="auto" w:fill="E4E4E4"/>
          </w:tcPr>
          <w:p>
            <w:pPr>
              <w:spacing w:after="0"/>
              <w:rPr>
                <w:sz w:val="10"/>
                <w:szCs w:val="10"/>
                <w:color w:val="auto"/>
              </w:rPr>
            </w:pPr>
          </w:p>
        </w:tc>
        <w:tc>
          <w:tcPr>
            <w:tcW w:w="1200" w:type="dxa"/>
            <w:vAlign w:val="bottom"/>
            <w:vMerge w:val="continue"/>
            <w:shd w:val="clear" w:color="auto" w:fill="E4E4E4"/>
          </w:tcPr>
          <w:p>
            <w:pPr>
              <w:spacing w:after="0"/>
              <w:rPr>
                <w:sz w:val="10"/>
                <w:szCs w:val="10"/>
                <w:color w:val="auto"/>
              </w:rPr>
            </w:pPr>
          </w:p>
        </w:tc>
        <w:tc>
          <w:tcPr>
            <w:tcW w:w="1160" w:type="dxa"/>
            <w:vAlign w:val="bottom"/>
            <w:vMerge w:val="continue"/>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960" w:type="dxa"/>
            <w:vAlign w:val="bottom"/>
            <w:tcBorders>
              <w:bottom w:val="single" w:sz="8" w:color="E4E4E4"/>
            </w:tcBorders>
            <w:vMerge w:val="continue"/>
            <w:shd w:val="clear" w:color="auto" w:fill="E4E4E4"/>
          </w:tcPr>
          <w:p>
            <w:pPr>
              <w:spacing w:after="0"/>
              <w:rPr>
                <w:sz w:val="11"/>
                <w:szCs w:val="11"/>
                <w:color w:val="auto"/>
              </w:rPr>
            </w:pPr>
          </w:p>
        </w:tc>
        <w:tc>
          <w:tcPr>
            <w:tcW w:w="320" w:type="dxa"/>
            <w:vAlign w:val="bottom"/>
            <w:tcBorders>
              <w:bottom w:val="single" w:sz="8" w:color="E4E4E4"/>
            </w:tcBorders>
            <w:shd w:val="clear" w:color="auto" w:fill="E4E4E4"/>
          </w:tcPr>
          <w:p>
            <w:pPr>
              <w:spacing w:after="0"/>
              <w:rPr>
                <w:sz w:val="11"/>
                <w:szCs w:val="11"/>
                <w:color w:val="auto"/>
              </w:rPr>
            </w:pPr>
          </w:p>
        </w:tc>
        <w:tc>
          <w:tcPr>
            <w:tcW w:w="1080" w:type="dxa"/>
            <w:vAlign w:val="bottom"/>
            <w:tcBorders>
              <w:bottom w:val="single" w:sz="8" w:color="E4E4E4"/>
            </w:tcBorders>
            <w:shd w:val="clear" w:color="auto" w:fill="E4E4E4"/>
          </w:tcPr>
          <w:p>
            <w:pPr>
              <w:spacing w:after="0"/>
              <w:rPr>
                <w:sz w:val="11"/>
                <w:szCs w:val="11"/>
                <w:color w:val="auto"/>
              </w:rPr>
            </w:pPr>
          </w:p>
        </w:tc>
        <w:tc>
          <w:tcPr>
            <w:tcW w:w="340" w:type="dxa"/>
            <w:vAlign w:val="bottom"/>
            <w:tcBorders>
              <w:bottom w:val="single" w:sz="8" w:color="E4E4E4"/>
            </w:tcBorders>
            <w:shd w:val="clear" w:color="auto" w:fill="E4E4E4"/>
          </w:tcPr>
          <w:p>
            <w:pPr>
              <w:spacing w:after="0"/>
              <w:rPr>
                <w:sz w:val="11"/>
                <w:szCs w:val="11"/>
                <w:color w:val="auto"/>
              </w:rPr>
            </w:pPr>
          </w:p>
        </w:tc>
        <w:tc>
          <w:tcPr>
            <w:tcW w:w="1200" w:type="dxa"/>
            <w:vAlign w:val="bottom"/>
            <w:tcBorders>
              <w:bottom w:val="single" w:sz="8" w:color="E4E4E4"/>
            </w:tcBorders>
            <w:shd w:val="clear" w:color="auto" w:fill="E4E4E4"/>
          </w:tcPr>
          <w:p>
            <w:pPr>
              <w:spacing w:after="0"/>
              <w:rPr>
                <w:sz w:val="11"/>
                <w:szCs w:val="11"/>
                <w:color w:val="auto"/>
              </w:rPr>
            </w:pPr>
          </w:p>
        </w:tc>
        <w:tc>
          <w:tcPr>
            <w:tcW w:w="1160" w:type="dxa"/>
            <w:vAlign w:val="bottom"/>
            <w:tcBorders>
              <w:bottom w:val="single" w:sz="8" w:color="E4E4E4"/>
            </w:tcBorders>
            <w:shd w:val="clear" w:color="auto" w:fill="E4E4E4"/>
          </w:tcPr>
          <w:p>
            <w:pPr>
              <w:spacing w:after="0"/>
              <w:rPr>
                <w:sz w:val="11"/>
                <w:szCs w:val="11"/>
                <w:color w:val="auto"/>
              </w:rPr>
            </w:pPr>
          </w:p>
        </w:tc>
        <w:tc>
          <w:tcPr>
            <w:tcW w:w="80" w:type="dxa"/>
            <w:vAlign w:val="bottom"/>
            <w:tcBorders>
              <w:bottom w:val="single" w:sz="8" w:color="E4E4E4"/>
            </w:tcBorders>
            <w:shd w:val="clear" w:color="auto" w:fill="E4E4E4"/>
          </w:tcPr>
          <w:p>
            <w:pPr>
              <w:spacing w:after="0"/>
              <w:rPr>
                <w:sz w:val="11"/>
                <w:szCs w:val="11"/>
                <w:color w:val="auto"/>
              </w:rPr>
            </w:pPr>
          </w:p>
        </w:tc>
        <w:tc>
          <w:tcPr>
            <w:tcW w:w="320" w:type="dxa"/>
            <w:vAlign w:val="bottom"/>
            <w:tcBorders>
              <w:bottom w:val="single" w:sz="8" w:color="E4E4E4"/>
            </w:tcBorders>
            <w:shd w:val="clear" w:color="auto" w:fill="E4E4E4"/>
          </w:tcPr>
          <w:p>
            <w:pPr>
              <w:spacing w:after="0"/>
              <w:rPr>
                <w:sz w:val="11"/>
                <w:szCs w:val="11"/>
                <w:color w:val="auto"/>
              </w:rPr>
            </w:pPr>
          </w:p>
        </w:tc>
        <w:tc>
          <w:tcPr>
            <w:tcW w:w="1060" w:type="dxa"/>
            <w:vAlign w:val="bottom"/>
            <w:tcBorders>
              <w:bottom w:val="single" w:sz="8" w:color="E4E4E4"/>
            </w:tcBorders>
            <w:shd w:val="clear" w:color="auto" w:fill="E4E4E4"/>
          </w:tcPr>
          <w:p>
            <w:pPr>
              <w:spacing w:after="0"/>
              <w:rPr>
                <w:sz w:val="11"/>
                <w:szCs w:val="11"/>
                <w:color w:val="auto"/>
              </w:rPr>
            </w:pPr>
          </w:p>
        </w:tc>
        <w:tc>
          <w:tcPr>
            <w:tcW w:w="360" w:type="dxa"/>
            <w:vAlign w:val="bottom"/>
            <w:tcBorders>
              <w:bottom w:val="single" w:sz="8" w:color="E4E4E4"/>
            </w:tcBorders>
            <w:shd w:val="clear" w:color="auto" w:fill="E4E4E4"/>
          </w:tcPr>
          <w:p>
            <w:pPr>
              <w:spacing w:after="0"/>
              <w:rPr>
                <w:sz w:val="11"/>
                <w:szCs w:val="11"/>
                <w:color w:val="auto"/>
              </w:rPr>
            </w:pPr>
          </w:p>
        </w:tc>
        <w:tc>
          <w:tcPr>
            <w:tcW w:w="1200" w:type="dxa"/>
            <w:vAlign w:val="bottom"/>
            <w:tcBorders>
              <w:bottom w:val="single" w:sz="8" w:color="E4E4E4"/>
            </w:tcBorders>
            <w:shd w:val="clear" w:color="auto" w:fill="E4E4E4"/>
          </w:tcPr>
          <w:p>
            <w:pPr>
              <w:spacing w:after="0"/>
              <w:rPr>
                <w:sz w:val="11"/>
                <w:szCs w:val="11"/>
                <w:color w:val="auto"/>
              </w:rPr>
            </w:pPr>
          </w:p>
        </w:tc>
        <w:tc>
          <w:tcPr>
            <w:tcW w:w="1160" w:type="dxa"/>
            <w:vAlign w:val="bottom"/>
            <w:tcBorders>
              <w:bottom w:val="single" w:sz="8" w:color="E4E4E4"/>
            </w:tcBorders>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80"/>
              <w:spacing w:after="0"/>
              <w:rPr>
                <w:sz w:val="20"/>
                <w:szCs w:val="20"/>
                <w:color w:val="auto"/>
              </w:rPr>
            </w:pPr>
            <w:r>
              <w:rPr>
                <w:rFonts w:ascii="Arial" w:cs="Arial" w:eastAsia="Arial" w:hAnsi="Arial"/>
                <w:sz w:val="16"/>
                <w:szCs w:val="16"/>
                <w:color w:val="auto"/>
              </w:rPr>
              <w:t>Europe, the Middle East, and Africa</w:t>
            </w: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1,206</w:t>
            </w:r>
          </w:p>
        </w:tc>
        <w:tc>
          <w:tcPr>
            <w:tcW w:w="340" w:type="dxa"/>
            <w:vAlign w:val="bottom"/>
          </w:tcPr>
          <w:p>
            <w:pPr>
              <w:spacing w:after="0"/>
              <w:rPr>
                <w:sz w:val="18"/>
                <w:szCs w:val="18"/>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1,216</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2,380</w:t>
            </w:r>
          </w:p>
        </w:tc>
        <w:tc>
          <w:tcPr>
            <w:tcW w:w="360" w:type="dxa"/>
            <w:vAlign w:val="bottom"/>
          </w:tcPr>
          <w:p>
            <w:pPr>
              <w:spacing w:after="0"/>
              <w:rPr>
                <w:sz w:val="18"/>
                <w:szCs w:val="18"/>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2,384</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2960" w:type="dxa"/>
            <w:vAlign w:val="bottom"/>
            <w:vMerge w:val="restart"/>
          </w:tcPr>
          <w:p>
            <w:pPr>
              <w:ind w:left="260"/>
              <w:spacing w:after="0"/>
              <w:rPr>
                <w:sz w:val="20"/>
                <w:szCs w:val="20"/>
                <w:color w:val="auto"/>
              </w:rPr>
            </w:pPr>
            <w:r>
              <w:rPr>
                <w:rFonts w:ascii="Arial" w:cs="Arial" w:eastAsia="Arial" w:hAnsi="Arial"/>
                <w:sz w:val="16"/>
                <w:szCs w:val="16"/>
                <w:color w:val="auto"/>
              </w:rPr>
              <w:t>(“EMEA”)</w:t>
            </w:r>
          </w:p>
        </w:tc>
        <w:tc>
          <w:tcPr>
            <w:tcW w:w="3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China region</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583</w:t>
            </w:r>
          </w:p>
        </w:tc>
        <w:tc>
          <w:tcPr>
            <w:tcW w:w="34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714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1,180</w:t>
            </w:r>
          </w:p>
        </w:tc>
        <w:tc>
          <w:tcPr>
            <w:tcW w:w="3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1,386</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1"/>
        </w:trPr>
        <w:tc>
          <w:tcPr>
            <w:tcW w:w="296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807</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748</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1,592</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1,532</w:t>
            </w: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2"/>
        </w:trPr>
        <w:tc>
          <w:tcPr>
            <w:tcW w:w="2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4,817</w:t>
            </w:r>
          </w:p>
        </w:tc>
        <w:tc>
          <w:tcPr>
            <w:tcW w:w="124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9,524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June 30, 2024</w:t>
      </w:r>
    </w:p>
    <w:p>
      <w:pPr>
        <w:spacing w:after="0" w:line="165"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Total revenues were $4,839 million</w:t>
      </w:r>
      <w:r>
        <w:rPr>
          <w:rFonts w:ascii="Arial" w:cs="Arial" w:eastAsia="Arial" w:hAnsi="Arial"/>
          <w:sz w:val="16"/>
          <w:szCs w:val="16"/>
          <w:color w:val="231F20"/>
        </w:rPr>
        <w:t>,</w:t>
      </w:r>
      <w:r>
        <w:rPr>
          <w:rFonts w:ascii="Arial" w:cs="Arial" w:eastAsia="Arial" w:hAnsi="Arial"/>
          <w:sz w:val="16"/>
          <w:szCs w:val="16"/>
          <w:color w:val="auto"/>
        </w:rPr>
        <w:t xml:space="preserve"> approximately flat as reported </w:t>
      </w:r>
      <w:r>
        <w:rPr>
          <w:rFonts w:ascii="Arial" w:cs="Arial" w:eastAsia="Arial" w:hAnsi="Arial"/>
          <w:sz w:val="16"/>
          <w:szCs w:val="16"/>
          <w:color w:val="231F20"/>
        </w:rPr>
        <w:t>and</w:t>
      </w:r>
      <w:r>
        <w:rPr>
          <w:rFonts w:ascii="Arial" w:cs="Arial" w:eastAsia="Arial" w:hAnsi="Arial"/>
          <w:sz w:val="16"/>
          <w:szCs w:val="16"/>
          <w:color w:val="auto"/>
        </w:rPr>
        <w:t xml:space="preserve"> growing 1% </w:t>
      </w:r>
      <w:r>
        <w:rPr>
          <w:rFonts w:ascii="Arial" w:cs="Arial" w:eastAsia="Arial" w:hAnsi="Arial"/>
          <w:sz w:val="16"/>
          <w:szCs w:val="16"/>
          <w:color w:val="231F20"/>
        </w:rPr>
        <w:t>organically*. Sales of services</w:t>
      </w:r>
      <w:r>
        <w:rPr>
          <w:rFonts w:ascii="Arial" w:cs="Arial" w:eastAsia="Arial" w:hAnsi="Arial"/>
          <w:sz w:val="16"/>
          <w:szCs w:val="16"/>
          <w:color w:val="auto"/>
        </w:rPr>
        <w:t xml:space="preserve"> increased 2% or $28 million primarily due to increased pricing, partially offset by a decrease in Sales of products of </w:t>
      </w:r>
      <w:r>
        <w:rPr>
          <w:rFonts w:ascii="Arial" w:cs="Arial" w:eastAsia="Arial" w:hAnsi="Arial"/>
          <w:sz w:val="16"/>
          <w:szCs w:val="16"/>
          <w:color w:val="231F20"/>
        </w:rPr>
        <w:t>$</w:t>
      </w:r>
      <w:r>
        <w:rPr>
          <w:rFonts w:ascii="Arial" w:cs="Arial" w:eastAsia="Arial" w:hAnsi="Arial"/>
          <w:sz w:val="16"/>
          <w:szCs w:val="16"/>
          <w:color w:val="auto"/>
        </w:rPr>
        <w:t xml:space="preserve">6 </w:t>
      </w:r>
      <w:r>
        <w:rPr>
          <w:rFonts w:ascii="Arial" w:cs="Arial" w:eastAsia="Arial" w:hAnsi="Arial"/>
          <w:sz w:val="16"/>
          <w:szCs w:val="16"/>
          <w:color w:val="231F20"/>
        </w:rPr>
        <w:t>million following double digit reported product revenue growth in the prior year,</w:t>
      </w:r>
      <w:r>
        <w:rPr>
          <w:rFonts w:ascii="Arial" w:cs="Arial" w:eastAsia="Arial" w:hAnsi="Arial"/>
          <w:sz w:val="16"/>
          <w:szCs w:val="16"/>
          <w:color w:val="auto"/>
        </w:rPr>
        <w:t xml:space="preserve"> </w:t>
      </w:r>
      <w:r>
        <w:rPr>
          <w:rFonts w:ascii="Arial" w:cs="Arial" w:eastAsia="Arial" w:hAnsi="Arial"/>
          <w:sz w:val="16"/>
          <w:szCs w:val="16"/>
          <w:color w:val="231F20"/>
        </w:rPr>
        <w:t>which benefited from improved supply chain fulfillment.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40" w:hanging="328"/>
        <w:spacing w:after="0" w:line="275"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Imaging segment revenues were $2,596 million, decreasing 1% or $24 million following high single digit Organic revenue growth* in the prior year, which benefited from improved supply chain fulfillment, and current year sales impacted by lower volume in China and unfavorable foreign currency impacts;</w:t>
      </w:r>
    </w:p>
    <w:p>
      <w:pPr>
        <w:spacing w:after="0" w:line="42" w:lineRule="exact"/>
        <w:rPr>
          <w:rFonts w:ascii="Arial" w:cs="Arial" w:eastAsia="Arial" w:hAnsi="Arial"/>
          <w:sz w:val="16"/>
          <w:szCs w:val="16"/>
          <w:color w:val="231F20"/>
        </w:rPr>
      </w:pPr>
    </w:p>
    <w:p>
      <w:pPr>
        <w:ind w:left="660" w:right="540" w:hanging="328"/>
        <w:spacing w:after="0" w:line="286"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Ultrasound segment revenues were $823 million, decreasing 2% or $16 million primarily due to lower sales volume in China and unfavorable foreign currency impacts;</w:t>
      </w:r>
    </w:p>
    <w:p>
      <w:pPr>
        <w:spacing w:after="0" w:line="47" w:lineRule="exact"/>
        <w:rPr>
          <w:rFonts w:ascii="Arial" w:cs="Arial" w:eastAsia="Arial" w:hAnsi="Arial"/>
          <w:sz w:val="16"/>
          <w:szCs w:val="16"/>
          <w:color w:val="231F20"/>
        </w:rPr>
      </w:pPr>
    </w:p>
    <w:p>
      <w:pPr>
        <w:ind w:left="660" w:right="120" w:hanging="328"/>
        <w:spacing w:after="0" w:line="334"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PCS segment revenues were $772 million, flat to the prior year and growing 1% organically*, following high single digit Organic revenue growth* in the prior year, which benefited from improved fulfillment; and</w:t>
      </w:r>
    </w:p>
    <w:p>
      <w:pPr>
        <w:ind w:left="660" w:right="20" w:hanging="328"/>
        <w:spacing w:after="0" w:line="286"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PDx segment revenues were $639 million, growing 12% or $71 million with growth in the EMEA and USCAN regions driven by growth in volume, an increase in price, and new product introductions.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USCAN revenues were $2,243 million, growing 5% or $104 million with growth across all segment revenues, led by double-digit growth in PDx;</w:t>
      </w:r>
    </w:p>
    <w:p>
      <w:pPr>
        <w:spacing w:after="0" w:line="113" w:lineRule="exact"/>
        <w:rPr>
          <w:rFonts w:ascii="Arial" w:cs="Arial" w:eastAsia="Arial" w:hAnsi="Arial"/>
          <w:sz w:val="16"/>
          <w:szCs w:val="16"/>
          <w:color w:val="231F20"/>
        </w:rPr>
      </w:pPr>
    </w:p>
    <w:p>
      <w:pPr>
        <w:ind w:left="660" w:right="120" w:hanging="328"/>
        <w:spacing w:after="0" w:line="286"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EMEA revenues were $1,206 million, decreasing 1% or $10 million, following high single digit growth in the prior year, with declines in Imaging and PCS revenues largely offset by increases in PDx and Ultrasound revenues;</w:t>
      </w:r>
    </w:p>
    <w:p>
      <w:pPr>
        <w:spacing w:after="0" w:line="34" w:lineRule="exact"/>
        <w:rPr>
          <w:rFonts w:ascii="Arial" w:cs="Arial" w:eastAsia="Arial" w:hAnsi="Arial"/>
          <w:sz w:val="16"/>
          <w:szCs w:val="16"/>
          <w:color w:val="231F20"/>
        </w:rPr>
      </w:pPr>
    </w:p>
    <w:p>
      <w:pPr>
        <w:ind w:left="660" w:right="60" w:hanging="328"/>
        <w:spacing w:after="0" w:line="275"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China region revenues were $583 million, decreasing 18% or $131 million with declines in all segment revenues following double digit growth in the prior year due to the impact from the 2022 COVID stimulus programs and current year sales impacted by the delayed 2024 stimulus and the ongoing anti-corruption campaign; and</w:t>
      </w:r>
    </w:p>
    <w:p>
      <w:pPr>
        <w:spacing w:after="0" w:line="42" w:lineRule="exact"/>
        <w:rPr>
          <w:rFonts w:ascii="Arial" w:cs="Arial" w:eastAsia="Arial" w:hAnsi="Arial"/>
          <w:sz w:val="16"/>
          <w:szCs w:val="16"/>
          <w:color w:val="231F20"/>
        </w:rPr>
      </w:pPr>
    </w:p>
    <w:p>
      <w:pPr>
        <w:ind w:left="660" w:right="400" w:hanging="328"/>
        <w:spacing w:after="0" w:line="304"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Rest of World revenues were $807 million, growing 8% or $59 million with growth in Imaging and PCS revenues, partially offset by unfavorable foreign currency impacts.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8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876"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i w:val="1"/>
          <w:iCs w:val="1"/>
          <w:color w:val="231F20"/>
        </w:rPr>
        <w:t>For the six months ended June 30, 2024</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Total revenues were $9,489 million </w:t>
      </w:r>
      <w:r>
        <w:rPr>
          <w:rFonts w:ascii="Arial" w:cs="Arial" w:eastAsia="Arial" w:hAnsi="Arial"/>
          <w:sz w:val="16"/>
          <w:szCs w:val="16"/>
          <w:color w:val="231F20"/>
        </w:rPr>
        <w:t>, flat to the prior year both as reported and organically*. The flat result was due to Sales of products decreasing 1% or $91</w:t>
      </w:r>
      <w:r>
        <w:rPr>
          <w:rFonts w:ascii="Arial" w:cs="Arial" w:eastAsia="Arial" w:hAnsi="Arial"/>
          <w:sz w:val="16"/>
          <w:szCs w:val="16"/>
          <w:color w:val="auto"/>
        </w:rPr>
        <w:t xml:space="preserve"> </w:t>
      </w:r>
      <w:r>
        <w:rPr>
          <w:rFonts w:ascii="Arial" w:cs="Arial" w:eastAsia="Arial" w:hAnsi="Arial"/>
          <w:sz w:val="16"/>
          <w:szCs w:val="16"/>
          <w:color w:val="231F20"/>
        </w:rPr>
        <w:t xml:space="preserve">million, primarily due to decreased volume following double digit reported product revenue growth in the prior year, partially offset by Sales of services increasing </w:t>
      </w:r>
      <w:r>
        <w:rPr>
          <w:rFonts w:ascii="Arial" w:cs="Arial" w:eastAsia="Arial" w:hAnsi="Arial"/>
          <w:sz w:val="16"/>
          <w:szCs w:val="16"/>
          <w:color w:val="000000"/>
        </w:rPr>
        <w:t>2%</w:t>
      </w:r>
      <w:r>
        <w:rPr>
          <w:rFonts w:ascii="Arial" w:cs="Arial" w:eastAsia="Arial" w:hAnsi="Arial"/>
          <w:sz w:val="16"/>
          <w:szCs w:val="16"/>
          <w:color w:val="231F20"/>
        </w:rPr>
        <w:t xml:space="preserve"> or $</w:t>
      </w:r>
      <w:r>
        <w:rPr>
          <w:rFonts w:ascii="Arial" w:cs="Arial" w:eastAsia="Arial" w:hAnsi="Arial"/>
          <w:sz w:val="16"/>
          <w:szCs w:val="16"/>
          <w:color w:val="000000"/>
        </w:rPr>
        <w:t>57</w:t>
      </w:r>
      <w:r>
        <w:rPr>
          <w:rFonts w:ascii="Arial" w:cs="Arial" w:eastAsia="Arial" w:hAnsi="Arial"/>
          <w:sz w:val="16"/>
          <w:szCs w:val="16"/>
          <w:color w:val="231F20"/>
        </w:rPr>
        <w:t xml:space="preserve"> million driven by increased pricing.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44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$5,062 million, decreasing 1% or $54 million following double digit Organic revenue growth* in the prior year, which benefited from improved supply chain fulfillment, and unfavorable foreign currency impacts;</w:t>
      </w:r>
    </w:p>
    <w:p>
      <w:pPr>
        <w:spacing w:after="0" w:line="34" w:lineRule="exact"/>
        <w:rPr>
          <w:rFonts w:ascii="Arial" w:cs="Arial" w:eastAsia="Arial" w:hAnsi="Arial"/>
          <w:sz w:val="16"/>
          <w:szCs w:val="16"/>
          <w:color w:val="231F20"/>
        </w:rPr>
      </w:pPr>
    </w:p>
    <w:p>
      <w:pPr>
        <w:ind w:left="660" w:right="34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Ultrasound segment revenues were $1,647 million, decreasing 3% or $51 million following high single digit Organic revenue growth* in the prior year, with current year impacts from lower sales volume in China and unfavorable foreign currency impacts;</w:t>
      </w:r>
    </w:p>
    <w:p>
      <w:pPr>
        <w:spacing w:after="0" w:line="47" w:lineRule="exact"/>
        <w:rPr>
          <w:rFonts w:ascii="Arial" w:cs="Arial" w:eastAsia="Arial" w:hAnsi="Arial"/>
          <w:sz w:val="16"/>
          <w:szCs w:val="16"/>
          <w:color w:val="231F20"/>
        </w:rPr>
      </w:pPr>
    </w:p>
    <w:p>
      <w:pPr>
        <w:ind w:left="660" w:right="60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$1,519 million, decreasing 2% or $32 million primarily due to decreased volume following double digit Organic revenue growth* in the prior year; and</w:t>
      </w:r>
    </w:p>
    <w:p>
      <w:pPr>
        <w:spacing w:after="0" w:line="34" w:lineRule="exact"/>
        <w:rPr>
          <w:rFonts w:ascii="Arial" w:cs="Arial" w:eastAsia="Arial" w:hAnsi="Arial"/>
          <w:sz w:val="16"/>
          <w:szCs w:val="16"/>
          <w:color w:val="231F20"/>
        </w:rPr>
      </w:pPr>
    </w:p>
    <w:p>
      <w:pPr>
        <w:ind w:left="660" w:right="2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$1,238 million, growing 10% or $112 million with growth in the EMEA and USCAN regions driven by growth in volume, an increase in price, and new product introductions.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$4,336 million, growing 3% or $114 million with growth in PDx and Imaging revenues;</w:t>
      </w:r>
    </w:p>
    <w:p>
      <w:pPr>
        <w:spacing w:after="0" w:line="99" w:lineRule="exact"/>
        <w:rPr>
          <w:rFonts w:ascii="Arial" w:cs="Arial" w:eastAsia="Arial" w:hAnsi="Arial"/>
          <w:sz w:val="16"/>
          <w:szCs w:val="16"/>
          <w:color w:val="231F20"/>
        </w:rPr>
      </w:pPr>
    </w:p>
    <w:p>
      <w:pPr>
        <w:ind w:left="660" w:right="38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$2,380 million, approximately flat, following high single digit growth in the prior year, with growth in PDx revenues largely offset by decreases in Imaging and PCS revenues;</w:t>
      </w:r>
    </w:p>
    <w:p>
      <w:pPr>
        <w:spacing w:after="0" w:line="19" w:lineRule="exact"/>
        <w:rPr>
          <w:rFonts w:ascii="Arial" w:cs="Arial" w:eastAsia="Arial" w:hAnsi="Arial"/>
          <w:sz w:val="16"/>
          <w:szCs w:val="16"/>
          <w:color w:val="231F20"/>
        </w:rPr>
      </w:pPr>
    </w:p>
    <w:p>
      <w:pPr>
        <w:ind w:left="660" w:right="200" w:hanging="328"/>
        <w:spacing w:after="0" w:line="275"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$1,180 million, decreasing 15% or $206 million with declines in all segment revenues following double digit growth in the prior year due to the impact from the 2022 COVID stimulus programs and current year sales impacted by the delayed 2024 stimulus and the ongoing anti-corruption campaign; and</w:t>
      </w:r>
    </w:p>
    <w:p>
      <w:pPr>
        <w:spacing w:after="0" w:line="32" w:lineRule="exact"/>
        <w:rPr>
          <w:rFonts w:ascii="Arial" w:cs="Arial" w:eastAsia="Arial" w:hAnsi="Arial"/>
          <w:sz w:val="16"/>
          <w:szCs w:val="16"/>
          <w:color w:val="231F20"/>
        </w:rPr>
      </w:pPr>
    </w:p>
    <w:p>
      <w:pPr>
        <w:ind w:left="660" w:right="180" w:hanging="328"/>
        <w:spacing w:after="0" w:line="307"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Rest of World revenues were $1,592 million, growing 4% or $60 m</w:t>
      </w:r>
      <w:r>
        <w:rPr>
          <w:rFonts w:ascii="Calibri" w:cs="Calibri" w:eastAsia="Calibri" w:hAnsi="Calibri"/>
          <w:sz w:val="19"/>
          <w:szCs w:val="19"/>
          <w:color w:val="auto"/>
        </w:rPr>
        <w:t>illion</w:t>
      </w:r>
      <w:r>
        <w:rPr>
          <w:rFonts w:ascii="Arial" w:cs="Arial" w:eastAsia="Arial" w:hAnsi="Arial"/>
          <w:sz w:val="16"/>
          <w:szCs w:val="16"/>
          <w:color w:val="auto"/>
        </w:rPr>
        <w:t xml:space="preserve"> with growth in Imaging and PCS revenues, partially offset by unfavorable foreign currency impacts.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ind w:right="1199"/>
              <w:spacing w:after="0"/>
              <w:rPr>
                <w:sz w:val="20"/>
                <w:szCs w:val="20"/>
                <w:color w:val="auto"/>
              </w:rPr>
            </w:pPr>
            <w:r>
              <w:rPr>
                <w:rFonts w:ascii="Arial" w:cs="Arial" w:eastAsia="Arial" w:hAnsi="Arial"/>
                <w:sz w:val="16"/>
                <w:szCs w:val="16"/>
                <w:b w:val="1"/>
                <w:bCs w:val="1"/>
                <w:color w:val="454545"/>
              </w:rPr>
              <w:t>As of</w:t>
            </w:r>
          </w:p>
        </w:tc>
        <w:tc>
          <w:tcPr>
            <w:tcW w:w="1480" w:type="dxa"/>
            <w:vAlign w:val="bottom"/>
          </w:tcPr>
          <w:p>
            <w:pPr>
              <w:spacing w:after="0"/>
              <w:rPr>
                <w:sz w:val="19"/>
                <w:szCs w:val="19"/>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ind w:right="419"/>
              <w:spacing w:after="0"/>
              <w:rPr>
                <w:sz w:val="20"/>
                <w:szCs w:val="20"/>
                <w:color w:val="auto"/>
              </w:rPr>
            </w:pPr>
            <w:r>
              <w:rPr>
                <w:rFonts w:ascii="Arial" w:cs="Arial" w:eastAsia="Arial" w:hAnsi="Arial"/>
                <w:sz w:val="16"/>
                <w:szCs w:val="16"/>
                <w:b w:val="1"/>
                <w:bCs w:val="1"/>
                <w:color w:val="454545"/>
              </w:rPr>
              <w:t>June 30, 2024</w:t>
            </w:r>
          </w:p>
        </w:tc>
        <w:tc>
          <w:tcPr>
            <w:tcW w:w="2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December 31, 2023</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4,648</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4,930</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68"/>
        </w:trPr>
        <w:tc>
          <w:tcPr>
            <w:tcW w:w="5320" w:type="dxa"/>
            <w:vAlign w:val="bottom"/>
          </w:tcPr>
          <w:p>
            <w:pPr>
              <w:ind w:left="80"/>
              <w:spacing w:after="0"/>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9,883</w:t>
            </w:r>
          </w:p>
        </w:tc>
        <w:tc>
          <w:tcPr>
            <w:tcW w:w="240" w:type="dxa"/>
            <w:vAlign w:val="bottom"/>
          </w:tcPr>
          <w:p>
            <w:pPr>
              <w:spacing w:after="0"/>
              <w:rPr>
                <w:sz w:val="23"/>
                <w:szCs w:val="23"/>
                <w:color w:val="auto"/>
              </w:rPr>
            </w:pPr>
          </w:p>
        </w:tc>
        <w:tc>
          <w:tcPr>
            <w:tcW w:w="2100" w:type="dxa"/>
            <w:vAlign w:val="bottom"/>
          </w:tcPr>
          <w:p>
            <w:pPr>
              <w:jc w:val="right"/>
              <w:ind w:right="179"/>
              <w:spacing w:after="0"/>
              <w:rPr>
                <w:sz w:val="20"/>
                <w:szCs w:val="20"/>
                <w:color w:val="auto"/>
              </w:rPr>
            </w:pPr>
            <w:r>
              <w:rPr>
                <w:rFonts w:ascii="Arial" w:cs="Arial" w:eastAsia="Arial" w:hAnsi="Arial"/>
                <w:sz w:val="16"/>
                <w:szCs w:val="16"/>
                <w:color w:val="auto"/>
              </w:rPr>
              <w:t>9,725</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5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14,531</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14,655</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5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June 30, 2024 decreased 1% from December 31, 2023, primarily due to fulfillment and cancellations outpacing new contracts, partially offset by the timing of multi-year service contract renewals in USCAN and Rest of World.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right"/>
              <w:ind w:right="39"/>
              <w:spacing w:after="0"/>
              <w:rPr>
                <w:sz w:val="20"/>
                <w:szCs w:val="20"/>
                <w:color w:val="auto"/>
              </w:rPr>
            </w:pPr>
            <w:r>
              <w:rPr>
                <w:rFonts w:ascii="Arial" w:cs="Arial" w:eastAsia="Arial" w:hAnsi="Arial"/>
                <w:sz w:val="16"/>
                <w:szCs w:val="16"/>
                <w:b w:val="1"/>
                <w:bCs w:val="1"/>
                <w:color w:val="454545"/>
              </w:rPr>
              <w:t>For the six months ended June 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rPr>
              <w:t>revenues</w:t>
            </w: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7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608</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570</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1,148</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1,129</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740" w:type="dxa"/>
            <w:vAlign w:val="bottom"/>
          </w:tcPr>
          <w:p>
            <w:pPr>
              <w:ind w:left="80"/>
              <w:spacing w:after="0"/>
              <w:rPr>
                <w:sz w:val="20"/>
                <w:szCs w:val="20"/>
                <w:color w:val="auto"/>
              </w:rPr>
            </w:pPr>
            <w:r>
              <w:rPr>
                <w:rFonts w:ascii="Arial" w:cs="Arial" w:eastAsia="Arial" w:hAnsi="Arial"/>
                <w:sz w:val="16"/>
                <w:szCs w:val="16"/>
                <w:color w:val="auto"/>
              </w:rPr>
              <w:t>Net income attributable to GE</w:t>
            </w: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428</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802</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7"/>
        </w:trPr>
        <w:tc>
          <w:tcPr>
            <w:tcW w:w="2740" w:type="dxa"/>
            <w:vAlign w:val="bottom"/>
            <w:vMerge w:val="restart"/>
          </w:tcPr>
          <w:p>
            <w:pPr>
              <w:ind w:left="26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Adjusted EBIT*</w:t>
            </w: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742</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711</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1,423</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1,375</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4"/>
        </w:trPr>
        <w:tc>
          <w:tcPr>
            <w:tcW w:w="274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459</w:t>
            </w: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419</w:t>
            </w: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872</w:t>
            </w: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807</w:t>
            </w: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9"/>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June 30, 2024</w:t>
      </w:r>
    </w:p>
    <w:p>
      <w:pPr>
        <w:spacing w:after="0" w:line="260"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Operating income was $608 million, an increase of $38 million and 70 basis points as a percent of Total revenues. The increase was due to the following factors:</w:t>
      </w:r>
    </w:p>
    <w:p>
      <w:pPr>
        <w:spacing w:after="0" w:line="168" w:lineRule="exact"/>
        <w:rPr>
          <w:sz w:val="20"/>
          <w:szCs w:val="20"/>
          <w:color w:val="auto"/>
        </w:rPr>
      </w:pPr>
    </w:p>
    <w:p>
      <w:pPr>
        <w:ind w:left="660" w:right="80" w:hanging="328"/>
        <w:spacing w:after="0" w:line="262"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 xml:space="preserve">Gross profit increased $62 million or 110 basis points as a percent of Total revenues primarily due to a reduction in Cost of products sold. Cost of products sold decreased $39 million or 110 basis points as a percent of Sales of products. The decrease as a percent of sales was driven primarily by cost productivity, partially offset by cost inflation. Cost of services sold decreased $1 million or 90 basis points as a percent of Sales of services. The decrease as a percent of sales was driven by cost productivity and an increase in pricing of our service offerings, partially offset by cost inflation. Included in our total cost of revenue as part of our product investment was $102 million in engineering costs for design follow-through on new product introductions and product lifecycle maintenance subsequent to the initial product launch, compared to $110 million for the </w:t>
      </w:r>
      <w:r>
        <w:rPr>
          <w:rFonts w:ascii="Arial" w:cs="Arial" w:eastAsia="Arial" w:hAnsi="Arial"/>
          <w:sz w:val="16"/>
          <w:szCs w:val="16"/>
          <w:color w:val="231F20"/>
        </w:rPr>
        <w:t>prior year</w:t>
      </w:r>
      <w:r>
        <w:rPr>
          <w:rFonts w:ascii="Arial" w:cs="Arial" w:eastAsia="Arial" w:hAnsi="Arial"/>
          <w:sz w:val="16"/>
          <w:szCs w:val="16"/>
          <w:color w:val="auto"/>
        </w:rPr>
        <w:t xml:space="preserve"> </w:t>
      </w:r>
      <w:r>
        <w:rPr>
          <w:rFonts w:ascii="Arial" w:cs="Arial" w:eastAsia="Arial" w:hAnsi="Arial"/>
          <w:sz w:val="16"/>
          <w:szCs w:val="16"/>
          <w:color w:val="231F20"/>
        </w:rPr>
        <w:t>comparable period</w:t>
      </w:r>
      <w:r>
        <w:rPr>
          <w:rFonts w:ascii="Arial" w:cs="Arial" w:eastAsia="Arial" w:hAnsi="Arial"/>
          <w:sz w:val="16"/>
          <w:szCs w:val="16"/>
          <w:color w:val="000000"/>
        </w:rPr>
        <w:t>; and</w:t>
      </w:r>
    </w:p>
    <w:p>
      <w:pPr>
        <w:spacing w:after="0" w:line="52" w:lineRule="exact"/>
        <w:rPr>
          <w:rFonts w:ascii="Arial" w:cs="Arial" w:eastAsia="Arial" w:hAnsi="Arial"/>
          <w:sz w:val="16"/>
          <w:szCs w:val="16"/>
          <w:color w:val="231F20"/>
        </w:rPr>
      </w:pPr>
    </w:p>
    <w:p>
      <w:pPr>
        <w:ind w:left="66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increased $25 million due to an increase in Research and Development (“R&amp;D”) investments of $29 million, partially offset by a decrease in Selling, general, and administrative (“SG&amp;A”) expense of $5 million primarily driven by cost saving initiatives, including information technology. As a result, R&amp;D as a percentage of Total revenues increased by 60 basis points while SG&amp;A as a percentage of Total revenues decreased by 20 basis points.</w:t>
      </w:r>
    </w:p>
    <w:p>
      <w:pPr>
        <w:spacing w:after="0" w:line="20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Net income attributable to GE HealthCare and Net income margin were $428 million and 8.9%, an increase of $10 million and 20 basis points, respectively, primarily due to the following factors:</w:t>
      </w:r>
    </w:p>
    <w:p>
      <w:pPr>
        <w:spacing w:after="0" w:line="168"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i w:val="1"/>
          <w:iCs w:val="1"/>
          <w:color w:val="231F20"/>
        </w:rPr>
      </w:pPr>
      <w:r>
        <w:rPr>
          <w:rFonts w:ascii="Arial" w:cs="Arial" w:eastAsia="Arial" w:hAnsi="Arial"/>
          <w:sz w:val="16"/>
          <w:szCs w:val="16"/>
          <w:color w:val="auto"/>
        </w:rPr>
        <w:t>Operating income increased $38 million, as discussed above;</w:t>
      </w:r>
    </w:p>
    <w:p>
      <w:pPr>
        <w:spacing w:after="0" w:line="99" w:lineRule="exact"/>
        <w:rPr>
          <w:rFonts w:ascii="Arial" w:cs="Arial" w:eastAsia="Arial" w:hAnsi="Arial"/>
          <w:sz w:val="16"/>
          <w:szCs w:val="16"/>
          <w:i w:val="1"/>
          <w:iCs w:val="1"/>
          <w:color w:val="231F20"/>
        </w:rPr>
      </w:pPr>
    </w:p>
    <w:p>
      <w:pPr>
        <w:ind w:left="660" w:right="3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$6 million primarily driven by lower overall borrowings due to the repayments made on the Term Loan Facility;</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decreased $22 million primarily related to lower amortization of net gains on our pension plans;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income (expense) – net decreased $13 million primarily related to derivatives gains occurring in the prior year; and</w:t>
      </w:r>
    </w:p>
    <w:p>
      <w:pPr>
        <w:spacing w:after="0" w:line="99"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increased $6 million primarily due to incremental discrete adjustments in the current year. For additional detail regarding our income taxes, see Note 10, “Income Taxes.”</w:t>
      </w:r>
    </w:p>
    <w:p>
      <w:pPr>
        <w:spacing w:after="0" w:line="16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Adjusted EBIT* and Adjusted EBIT margin* were $742 million and 15.3%, an increase of $31 million and 60 basis points, respectively, primarily due to an increase in Gross profit, partially offset by investment in R&amp;D.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was $459 million, an increase of $40 million primarily due to the increase in Gross profit, partially offset by investment in R&amp;D.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2024</w:t>
      </w:r>
    </w:p>
    <w:p>
      <w:pPr>
        <w:spacing w:after="0" w:line="26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Operating income was $1,148 million, an increase of $19 million and 20 basis points as a percent of Total revenues. The increase was due to the following factors:</w:t>
      </w:r>
    </w:p>
    <w:p>
      <w:pPr>
        <w:spacing w:after="0" w:line="196" w:lineRule="exact"/>
        <w:rPr>
          <w:sz w:val="20"/>
          <w:szCs w:val="20"/>
          <w:color w:val="auto"/>
        </w:rPr>
      </w:pPr>
    </w:p>
    <w:p>
      <w:pPr>
        <w:ind w:left="660" w:right="120" w:hanging="328"/>
        <w:spacing w:after="0" w:line="259" w:lineRule="auto"/>
        <w:tabs>
          <w:tab w:leader="none" w:pos="649"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 xml:space="preserve">Gross profit increased $73 million or 90 basis points as a percent of Total revenues primarily due to a reduction in Cost of products sold. Cost of products sold decreased $109 million or 80 basis points as a percent of Sales of products. The decrease as a percent of sales was driven by cost productivity and an increase in pricing of our products, partially offset by cost inflation. Cost of services sold increased $2 million but decreased 80 basis points as a percent of Sales of services. The decrease as a percent of sales was driven by cost productivity and an increase in pricing of our service offerings, partially offset by cost inflation. Included in our total cost of revenue as part of our product investment was $203 million in engineering costs for design follow-through on new product introductions and product lifecycle maintenance subsequent to the initial product launch, compared to $220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4" w:lineRule="exact"/>
        <w:rPr>
          <w:rFonts w:ascii="Arial" w:cs="Arial" w:eastAsia="Arial" w:hAnsi="Arial"/>
          <w:sz w:val="16"/>
          <w:szCs w:val="16"/>
          <w:color w:val="231F20"/>
        </w:rPr>
      </w:pPr>
    </w:p>
    <w:p>
      <w:pPr>
        <w:ind w:left="660" w:right="36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$54 million due to an increase in R&amp;D investments of $83 million, partially offset by a decrease in SG&amp;A expense of $29 million primarily driven by cost saving initiatives, including information technology savings. As a result, R&amp;D as a percentage of Total revenues increased by 90 basis points while SG&amp;A as a percentage of Total revenues decreased by 20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34" w:name="page35"/>
    <w:bookmarkEnd w:id="34"/>
    <w:p>
      <w:pPr>
        <w:ind w:right="140"/>
        <w:spacing w:after="0" w:line="286" w:lineRule="auto"/>
        <w:rPr>
          <w:sz w:val="20"/>
          <w:szCs w:val="20"/>
          <w:color w:val="auto"/>
        </w:rPr>
      </w:pPr>
      <w:r>
        <w:rPr>
          <w:rFonts w:ascii="Arial" w:cs="Arial" w:eastAsia="Arial" w:hAnsi="Arial"/>
          <w:sz w:val="16"/>
          <w:szCs w:val="16"/>
          <w:color w:val="auto"/>
        </w:rPr>
        <w:t>Net income attributable to GE HealthCare and Net income margin were $802 million and 8.5%, an increase of $12 million and 20 basis points, respectively, primarily due to the following factors:</w:t>
      </w:r>
    </w:p>
    <w:p>
      <w:pPr>
        <w:spacing w:after="0" w:line="196"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$19 million, as discussed above;</w:t>
      </w:r>
    </w:p>
    <w:p>
      <w:pPr>
        <w:spacing w:after="0" w:line="99" w:lineRule="exact"/>
        <w:rPr>
          <w:rFonts w:ascii="Arial" w:cs="Arial" w:eastAsia="Arial" w:hAnsi="Arial"/>
          <w:sz w:val="16"/>
          <w:szCs w:val="16"/>
          <w:i w:val="1"/>
          <w:iCs w:val="1"/>
          <w:color w:val="231F20"/>
        </w:rPr>
      </w:pPr>
    </w:p>
    <w:p>
      <w:pPr>
        <w:ind w:left="660" w:right="28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$19 million primarily driven by lower overall borrowings due to the repayments made on the Term Loan Facility;</w:t>
      </w:r>
    </w:p>
    <w:p>
      <w:pPr>
        <w:spacing w:after="0" w:line="34"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Non-operating benefit income decreased $34 million primarily related to lower amortization of net gains on our pension plans;</w:t>
      </w:r>
    </w:p>
    <w:p>
      <w:pPr>
        <w:spacing w:after="0" w:line="113" w:lineRule="exact"/>
        <w:rPr>
          <w:rFonts w:ascii="Arial" w:cs="Arial" w:eastAsia="Arial" w:hAnsi="Arial"/>
          <w:sz w:val="16"/>
          <w:szCs w:val="16"/>
          <w:color w:val="auto"/>
        </w:rPr>
      </w:pPr>
    </w:p>
    <w:p>
      <w:pPr>
        <w:ind w:left="660" w:right="38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(expense) – net decreased $30 million primarily related to lower net financing and investment income and non-repeat derivatives gains in the prior year; and</w:t>
      </w:r>
    </w:p>
    <w:p>
      <w:pPr>
        <w:spacing w:after="0" w:line="19" w:lineRule="exact"/>
        <w:rPr>
          <w:rFonts w:ascii="Arial" w:cs="Arial" w:eastAsia="Arial" w:hAnsi="Arial"/>
          <w:sz w:val="16"/>
          <w:szCs w:val="16"/>
          <w:color w:val="auto"/>
        </w:rPr>
      </w:pPr>
    </w:p>
    <w:p>
      <w:pPr>
        <w:ind w:left="660" w:right="60" w:hanging="328"/>
        <w:spacing w:after="0" w:line="287"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income taxes decreased $33 million primarily due to prior year results impacted by an incremental charge for the accrual of withholding and other foreign taxes due upon future distribution of earnings. For additional detail regarding our income taxes, see Note 10, “Income Taxes.”</w:t>
      </w:r>
    </w:p>
    <w:p>
      <w:pPr>
        <w:spacing w:after="0" w:line="39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Adjusted EBIT* and Adjusted EBIT margin* were $1,423 million and 15.0%, an increase of $48 million and 60 basis points, respectively, primarily due to an increase in Gross profit, partially offset by investment in R&amp;D.</w:t>
      </w:r>
    </w:p>
    <w:p>
      <w:pPr>
        <w:spacing w:after="0" w:line="18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Adjusted net income* was $872 million, an increase of $65 million primarily due to an increase in Gross profit and the decrease of Interest and other financial charges – net, partially offset by investment in R&amp;D.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Calibri" w:cs="Calibri" w:eastAsia="Calibri" w:hAnsi="Calibri"/>
          <w:sz w:val="19"/>
          <w:szCs w:val="19"/>
          <w:color w:val="auto"/>
        </w:rPr>
        <w:t>–</w:t>
      </w:r>
      <w:r>
        <w:rPr>
          <w:rFonts w:ascii="Arial" w:cs="Arial" w:eastAsia="Arial" w:hAnsi="Arial"/>
          <w:sz w:val="18"/>
          <w:szCs w:val="18"/>
          <w:b w:val="1"/>
          <w:bCs w:val="1"/>
          <w:color w:val="auto"/>
        </w:rPr>
        <w:t xml:space="preserve"> SEGMENTS</w:t>
      </w:r>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“Results of Operations” section above for discussion on segment revenue performance.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three months ended 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For the six months ended June 30</w:t>
            </w:r>
          </w:p>
        </w:tc>
        <w:tc>
          <w:tcPr>
            <w:tcW w:w="840" w:type="dxa"/>
            <w:vAlign w:val="bottom"/>
          </w:tcPr>
          <w:p>
            <w:pPr>
              <w:spacing w:after="0"/>
              <w:rPr>
                <w:sz w:val="19"/>
                <w:szCs w:val="19"/>
                <w:color w:val="auto"/>
              </w:rPr>
            </w:pPr>
          </w:p>
        </w:tc>
      </w:tr>
      <w:tr>
        <w:trPr>
          <w:trHeight w:val="48"/>
        </w:trPr>
        <w:tc>
          <w:tcPr>
            <w:tcW w:w="160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20" w:type="dxa"/>
            <w:vAlign w:val="bottom"/>
            <w:tcBorders>
              <w:bottom w:val="single" w:sz="8" w:color="454545"/>
            </w:tcBorders>
          </w:tcPr>
          <w:p>
            <w:pPr>
              <w:spacing w:after="0"/>
              <w:rPr>
                <w:sz w:val="4"/>
                <w:szCs w:val="4"/>
                <w:color w:val="auto"/>
              </w:rPr>
            </w:pPr>
          </w:p>
        </w:tc>
        <w:tc>
          <w:tcPr>
            <w:tcW w:w="1320" w:type="dxa"/>
            <w:vAlign w:val="bottom"/>
            <w:tcBorders>
              <w:bottom w:val="single" w:sz="8" w:color="454545"/>
            </w:tcBorders>
          </w:tcPr>
          <w:p>
            <w:pPr>
              <w:spacing w:after="0"/>
              <w:rPr>
                <w:sz w:val="4"/>
                <w:szCs w:val="4"/>
                <w:color w:val="auto"/>
              </w:rPr>
            </w:pPr>
          </w:p>
        </w:tc>
        <w:tc>
          <w:tcPr>
            <w:tcW w:w="64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84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40" w:type="dxa"/>
            <w:vAlign w:val="bottom"/>
            <w:tcBorders>
              <w:bottom w:val="single" w:sz="8" w:color="454545"/>
            </w:tcBorders>
          </w:tcPr>
          <w:p>
            <w:pPr>
              <w:spacing w:after="0"/>
              <w:rPr>
                <w:sz w:val="4"/>
                <w:szCs w:val="4"/>
                <w:color w:val="auto"/>
              </w:rPr>
            </w:pPr>
          </w:p>
        </w:tc>
        <w:tc>
          <w:tcPr>
            <w:tcW w:w="1340" w:type="dxa"/>
            <w:vAlign w:val="bottom"/>
            <w:tcBorders>
              <w:bottom w:val="single" w:sz="8" w:color="454545"/>
            </w:tcBorders>
          </w:tcPr>
          <w:p>
            <w:pPr>
              <w:spacing w:after="0"/>
              <w:rPr>
                <w:sz w:val="4"/>
                <w:szCs w:val="4"/>
                <w:color w:val="auto"/>
              </w:rPr>
            </w:pPr>
          </w:p>
        </w:tc>
        <w:tc>
          <w:tcPr>
            <w:tcW w:w="620" w:type="dxa"/>
            <w:vAlign w:val="bottom"/>
            <w:tcBorders>
              <w:bottom w:val="single" w:sz="8" w:color="454545"/>
            </w:tcBorders>
          </w:tcPr>
          <w:p>
            <w:pPr>
              <w:spacing w:after="0"/>
              <w:rPr>
                <w:sz w:val="4"/>
                <w:szCs w:val="4"/>
                <w:color w:val="auto"/>
              </w:rPr>
            </w:pPr>
          </w:p>
        </w:tc>
        <w:tc>
          <w:tcPr>
            <w:tcW w:w="1200" w:type="dxa"/>
            <w:vAlign w:val="bottom"/>
            <w:tcBorders>
              <w:bottom w:val="single" w:sz="8" w:color="454545"/>
            </w:tcBorders>
          </w:tcPr>
          <w:p>
            <w:pPr>
              <w:spacing w:after="0"/>
              <w:rPr>
                <w:sz w:val="4"/>
                <w:szCs w:val="4"/>
                <w:color w:val="auto"/>
              </w:rPr>
            </w:pPr>
          </w:p>
        </w:tc>
        <w:tc>
          <w:tcPr>
            <w:tcW w:w="840" w:type="dxa"/>
            <w:vAlign w:val="bottom"/>
            <w:tcBorders>
              <w:bottom w:val="single" w:sz="8" w:color="454545"/>
            </w:tcBorders>
          </w:tcPr>
          <w:p>
            <w:pPr>
              <w:spacing w:after="0"/>
              <w:rPr>
                <w:sz w:val="4"/>
                <w:szCs w:val="4"/>
                <w:color w:val="auto"/>
              </w:rPr>
            </w:pPr>
          </w:p>
        </w:tc>
      </w:tr>
      <w:tr>
        <w:trPr>
          <w:trHeight w:val="209"/>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454545"/>
              </w:rPr>
              <w:t>% of segment</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454545"/>
              </w:rPr>
              <w:t>% of segment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6"/>
                <w:szCs w:val="16"/>
                <w:b w:val="1"/>
                <w:bCs w:val="1"/>
                <w:color w:val="454545"/>
              </w:rPr>
              <w:t>% of segment</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454545"/>
              </w:rPr>
              <w:t>% of segment</w:t>
            </w:r>
          </w:p>
        </w:tc>
        <w:tc>
          <w:tcPr>
            <w:tcW w:w="840" w:type="dxa"/>
            <w:vAlign w:val="bottom"/>
          </w:tcPr>
          <w:p>
            <w:pPr>
              <w:spacing w:after="0"/>
              <w:rPr>
                <w:sz w:val="18"/>
                <w:szCs w:val="18"/>
                <w:color w:val="auto"/>
              </w:rPr>
            </w:pPr>
          </w:p>
        </w:tc>
      </w:tr>
      <w:tr>
        <w:trPr>
          <w:trHeight w:val="223"/>
        </w:trPr>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2024</w:t>
            </w: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454545"/>
              </w:rPr>
              <w:t>revenues</w:t>
            </w: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2023</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454545"/>
              </w:rPr>
              <w:t>revenues</w:t>
            </w:r>
          </w:p>
        </w:tc>
        <w:tc>
          <w:tcPr>
            <w:tcW w:w="10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454545"/>
              </w:rPr>
              <w:t>% change</w:t>
            </w: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2024</w:t>
            </w:r>
          </w:p>
        </w:tc>
        <w:tc>
          <w:tcPr>
            <w:tcW w:w="1340" w:type="dxa"/>
            <w:vAlign w:val="bottom"/>
          </w:tcPr>
          <w:p>
            <w:pPr>
              <w:ind w:left="220"/>
              <w:spacing w:after="0"/>
              <w:rPr>
                <w:sz w:val="20"/>
                <w:szCs w:val="20"/>
                <w:color w:val="auto"/>
              </w:rPr>
            </w:pPr>
            <w:r>
              <w:rPr>
                <w:rFonts w:ascii="Arial" w:cs="Arial" w:eastAsia="Arial" w:hAnsi="Arial"/>
                <w:sz w:val="16"/>
                <w:szCs w:val="16"/>
                <w:b w:val="1"/>
                <w:bCs w:val="1"/>
                <w:color w:val="454545"/>
              </w:rPr>
              <w:t>revenues</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454545"/>
              </w:rPr>
              <w:t>revenues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16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r>
      <w:tr>
        <w:trPr>
          <w:trHeight w:val="250"/>
        </w:trPr>
        <w:tc>
          <w:tcPr>
            <w:tcW w:w="1600" w:type="dxa"/>
            <w:vAlign w:val="bottom"/>
            <w:shd w:val="clear" w:color="auto" w:fill="E4E4E4"/>
          </w:tcPr>
          <w:p>
            <w:pPr>
              <w:ind w:left="80"/>
              <w:spacing w:after="0"/>
              <w:rPr>
                <w:sz w:val="20"/>
                <w:szCs w:val="20"/>
                <w:color w:val="auto"/>
              </w:rPr>
            </w:pPr>
            <w:r>
              <w:rPr>
                <w:rFonts w:ascii="Arial" w:cs="Arial" w:eastAsia="Arial" w:hAnsi="Arial"/>
                <w:sz w:val="16"/>
                <w:szCs w:val="16"/>
                <w:color w:val="auto"/>
              </w:rPr>
              <w:t>Segment EBIT</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620" w:type="dxa"/>
            <w:vAlign w:val="bottom"/>
            <w:shd w:val="clear" w:color="auto" w:fill="E4E4E4"/>
          </w:tcPr>
          <w:p>
            <w:pPr>
              <w:spacing w:after="0"/>
              <w:rPr>
                <w:sz w:val="21"/>
                <w:szCs w:val="21"/>
                <w:color w:val="auto"/>
              </w:rPr>
            </w:pPr>
          </w:p>
        </w:tc>
        <w:tc>
          <w:tcPr>
            <w:tcW w:w="1320" w:type="dxa"/>
            <w:vAlign w:val="bottom"/>
            <w:shd w:val="clear" w:color="auto" w:fill="E4E4E4"/>
          </w:tcPr>
          <w:p>
            <w:pPr>
              <w:spacing w:after="0"/>
              <w:rPr>
                <w:sz w:val="21"/>
                <w:szCs w:val="21"/>
                <w:color w:val="auto"/>
              </w:rPr>
            </w:pPr>
          </w:p>
        </w:tc>
        <w:tc>
          <w:tcPr>
            <w:tcW w:w="640" w:type="dxa"/>
            <w:vAlign w:val="bottom"/>
            <w:shd w:val="clear" w:color="auto" w:fill="E4E4E4"/>
          </w:tcPr>
          <w:p>
            <w:pPr>
              <w:spacing w:after="0"/>
              <w:rPr>
                <w:sz w:val="21"/>
                <w:szCs w:val="21"/>
                <w:color w:val="auto"/>
              </w:rPr>
            </w:pPr>
          </w:p>
        </w:tc>
        <w:tc>
          <w:tcPr>
            <w:tcW w:w="1180" w:type="dxa"/>
            <w:vAlign w:val="bottom"/>
            <w:shd w:val="clear" w:color="auto" w:fill="E4E4E4"/>
          </w:tcPr>
          <w:p>
            <w:pPr>
              <w:spacing w:after="0"/>
              <w:rPr>
                <w:sz w:val="21"/>
                <w:szCs w:val="21"/>
                <w:color w:val="auto"/>
              </w:rPr>
            </w:pPr>
          </w:p>
        </w:tc>
        <w:tc>
          <w:tcPr>
            <w:tcW w:w="8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640" w:type="dxa"/>
            <w:vAlign w:val="bottom"/>
            <w:shd w:val="clear" w:color="auto" w:fill="E4E4E4"/>
          </w:tcPr>
          <w:p>
            <w:pPr>
              <w:spacing w:after="0"/>
              <w:rPr>
                <w:sz w:val="21"/>
                <w:szCs w:val="21"/>
                <w:color w:val="auto"/>
              </w:rPr>
            </w:pPr>
          </w:p>
        </w:tc>
        <w:tc>
          <w:tcPr>
            <w:tcW w:w="1340" w:type="dxa"/>
            <w:vAlign w:val="bottom"/>
            <w:shd w:val="clear" w:color="auto" w:fill="E4E4E4"/>
          </w:tcPr>
          <w:p>
            <w:pPr>
              <w:spacing w:after="0"/>
              <w:rPr>
                <w:sz w:val="21"/>
                <w:szCs w:val="21"/>
                <w:color w:val="auto"/>
              </w:rPr>
            </w:pPr>
          </w:p>
        </w:tc>
        <w:tc>
          <w:tcPr>
            <w:tcW w:w="62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840" w:type="dxa"/>
            <w:vAlign w:val="bottom"/>
            <w:shd w:val="clear" w:color="auto" w:fill="E4E4E4"/>
          </w:tcPr>
          <w:p>
            <w:pPr>
              <w:spacing w:after="0"/>
              <w:rPr>
                <w:sz w:val="21"/>
                <w:szCs w:val="21"/>
                <w:color w:val="auto"/>
              </w:rPr>
            </w:pPr>
          </w:p>
        </w:tc>
      </w:tr>
      <w:tr>
        <w:trPr>
          <w:trHeight w:val="255"/>
        </w:trPr>
        <w:tc>
          <w:tcPr>
            <w:tcW w:w="1600" w:type="dxa"/>
            <w:vAlign w:val="bottom"/>
          </w:tcPr>
          <w:p>
            <w:pPr>
              <w:ind w:left="300"/>
              <w:spacing w:after="0"/>
              <w:rPr>
                <w:sz w:val="20"/>
                <w:szCs w:val="20"/>
                <w:color w:val="auto"/>
              </w:rPr>
            </w:pPr>
            <w:r>
              <w:rPr>
                <w:rFonts w:ascii="Arial" w:cs="Arial" w:eastAsia="Arial" w:hAnsi="Arial"/>
                <w:sz w:val="16"/>
                <w:szCs w:val="16"/>
                <w:color w:val="auto"/>
              </w:rPr>
              <w:t>Imaging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286</w:t>
            </w:r>
          </w:p>
        </w:tc>
        <w:tc>
          <w:tcPr>
            <w:tcW w:w="1320" w:type="dxa"/>
            <w:vAlign w:val="bottom"/>
          </w:tcPr>
          <w:p>
            <w:pPr>
              <w:jc w:val="right"/>
              <w:spacing w:after="0"/>
              <w:rPr>
                <w:sz w:val="20"/>
                <w:szCs w:val="20"/>
                <w:color w:val="auto"/>
              </w:rPr>
            </w:pPr>
            <w:r>
              <w:rPr>
                <w:rFonts w:ascii="Arial" w:cs="Arial" w:eastAsia="Arial" w:hAnsi="Arial"/>
                <w:sz w:val="16"/>
                <w:szCs w:val="16"/>
                <w:color w:val="auto"/>
              </w:rPr>
              <w:t>11.0 % $</w:t>
            </w:r>
          </w:p>
        </w:tc>
        <w:tc>
          <w:tcPr>
            <w:tcW w:w="640" w:type="dxa"/>
            <w:vAlign w:val="bottom"/>
          </w:tcPr>
          <w:p>
            <w:pPr>
              <w:jc w:val="right"/>
              <w:spacing w:after="0"/>
              <w:rPr>
                <w:sz w:val="20"/>
                <w:szCs w:val="20"/>
                <w:color w:val="auto"/>
              </w:rPr>
            </w:pPr>
            <w:r>
              <w:rPr>
                <w:rFonts w:ascii="Arial" w:cs="Arial" w:eastAsia="Arial" w:hAnsi="Arial"/>
                <w:sz w:val="16"/>
                <w:szCs w:val="16"/>
                <w:color w:val="auto"/>
              </w:rPr>
              <w:t>278</w:t>
            </w:r>
          </w:p>
        </w:tc>
        <w:tc>
          <w:tcPr>
            <w:tcW w:w="1180" w:type="dxa"/>
            <w:vAlign w:val="bottom"/>
          </w:tcPr>
          <w:p>
            <w:pPr>
              <w:jc w:val="right"/>
              <w:spacing w:after="0"/>
              <w:rPr>
                <w:sz w:val="20"/>
                <w:szCs w:val="20"/>
                <w:color w:val="auto"/>
              </w:rPr>
            </w:pPr>
            <w:r>
              <w:rPr>
                <w:rFonts w:ascii="Arial" w:cs="Arial" w:eastAsia="Arial" w:hAnsi="Arial"/>
                <w:sz w:val="16"/>
                <w:szCs w:val="16"/>
                <w:color w:val="auto"/>
              </w:rPr>
              <w:t>10.6 %</w:t>
            </w: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3 %  $</w:t>
            </w:r>
          </w:p>
        </w:tc>
        <w:tc>
          <w:tcPr>
            <w:tcW w:w="640" w:type="dxa"/>
            <w:vAlign w:val="bottom"/>
          </w:tcPr>
          <w:p>
            <w:pPr>
              <w:jc w:val="right"/>
              <w:spacing w:after="0"/>
              <w:rPr>
                <w:sz w:val="20"/>
                <w:szCs w:val="20"/>
                <w:color w:val="auto"/>
              </w:rPr>
            </w:pPr>
            <w:r>
              <w:rPr>
                <w:rFonts w:ascii="Arial" w:cs="Arial" w:eastAsia="Arial" w:hAnsi="Arial"/>
                <w:sz w:val="16"/>
                <w:szCs w:val="16"/>
                <w:color w:val="auto"/>
              </w:rPr>
              <w:t>526</w:t>
            </w:r>
          </w:p>
        </w:tc>
        <w:tc>
          <w:tcPr>
            <w:tcW w:w="1340" w:type="dxa"/>
            <w:vAlign w:val="bottom"/>
          </w:tcPr>
          <w:p>
            <w:pPr>
              <w:ind w:left="640"/>
              <w:spacing w:after="0"/>
              <w:rPr>
                <w:sz w:val="20"/>
                <w:szCs w:val="20"/>
                <w:color w:val="auto"/>
              </w:rPr>
            </w:pPr>
            <w:r>
              <w:rPr>
                <w:rFonts w:ascii="Arial" w:cs="Arial" w:eastAsia="Arial" w:hAnsi="Arial"/>
                <w:sz w:val="16"/>
                <w:szCs w:val="16"/>
                <w:color w:val="auto"/>
              </w:rPr>
              <w:t>10.4 % $</w:t>
            </w:r>
          </w:p>
        </w:tc>
        <w:tc>
          <w:tcPr>
            <w:tcW w:w="620" w:type="dxa"/>
            <w:vAlign w:val="bottom"/>
          </w:tcPr>
          <w:p>
            <w:pPr>
              <w:jc w:val="right"/>
              <w:spacing w:after="0"/>
              <w:rPr>
                <w:sz w:val="20"/>
                <w:szCs w:val="20"/>
                <w:color w:val="auto"/>
              </w:rPr>
            </w:pPr>
            <w:r>
              <w:rPr>
                <w:rFonts w:ascii="Arial" w:cs="Arial" w:eastAsia="Arial" w:hAnsi="Arial"/>
                <w:sz w:val="16"/>
                <w:szCs w:val="16"/>
                <w:color w:val="auto"/>
              </w:rPr>
              <w:t>469</w:t>
            </w:r>
          </w:p>
        </w:tc>
        <w:tc>
          <w:tcPr>
            <w:tcW w:w="1200" w:type="dxa"/>
            <w:vAlign w:val="bottom"/>
          </w:tcPr>
          <w:p>
            <w:pPr>
              <w:jc w:val="right"/>
              <w:spacing w:after="0"/>
              <w:rPr>
                <w:sz w:val="20"/>
                <w:szCs w:val="20"/>
                <w:color w:val="auto"/>
              </w:rPr>
            </w:pPr>
            <w:r>
              <w:rPr>
                <w:rFonts w:ascii="Arial" w:cs="Arial" w:eastAsia="Arial" w:hAnsi="Arial"/>
                <w:sz w:val="16"/>
                <w:szCs w:val="16"/>
                <w:color w:val="auto"/>
              </w:rPr>
              <w:t>9.2 %</w:t>
            </w:r>
          </w:p>
        </w:tc>
        <w:tc>
          <w:tcPr>
            <w:tcW w:w="8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9"/>
        </w:trPr>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3"/>
        </w:trPr>
        <w:tc>
          <w:tcPr>
            <w:tcW w:w="16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16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c>
          <w:tcPr>
            <w:tcW w:w="1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21.6 %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360</w:t>
            </w:r>
          </w:p>
        </w:tc>
        <w:tc>
          <w:tcPr>
            <w:tcW w:w="1340" w:type="dxa"/>
            <w:vAlign w:val="bottom"/>
            <w:tcBorders>
              <w:bottom w:val="single" w:sz="8" w:color="E4E4E4"/>
            </w:tcBorders>
            <w:shd w:val="clear" w:color="auto" w:fill="E4E4E4"/>
          </w:tcPr>
          <w:p>
            <w:pPr>
              <w:ind w:left="640"/>
              <w:spacing w:after="0"/>
              <w:rPr>
                <w:sz w:val="20"/>
                <w:szCs w:val="20"/>
                <w:color w:val="auto"/>
              </w:rPr>
            </w:pPr>
            <w:r>
              <w:rPr>
                <w:rFonts w:ascii="Arial" w:cs="Arial" w:eastAsia="Arial" w:hAnsi="Arial"/>
                <w:sz w:val="16"/>
                <w:szCs w:val="16"/>
                <w:color w:val="auto"/>
              </w:rPr>
              <w:t>21.9 %</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398</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23.4 %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55"/>
        </w:trPr>
        <w:tc>
          <w:tcPr>
            <w:tcW w:w="1600" w:type="dxa"/>
            <w:vAlign w:val="bottom"/>
          </w:tcPr>
          <w:p>
            <w:pPr>
              <w:ind w:left="300"/>
              <w:spacing w:after="0"/>
              <w:rPr>
                <w:sz w:val="20"/>
                <w:szCs w:val="20"/>
                <w:color w:val="auto"/>
              </w:rPr>
            </w:pPr>
            <w:r>
              <w:rPr>
                <w:rFonts w:ascii="Arial" w:cs="Arial" w:eastAsia="Arial" w:hAnsi="Arial"/>
                <w:sz w:val="16"/>
                <w:szCs w:val="16"/>
                <w:color w:val="auto"/>
              </w:rPr>
              <w:t>PCS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10.1 %</w:t>
            </w:r>
          </w:p>
        </w:tc>
        <w:tc>
          <w:tcPr>
            <w:tcW w:w="640" w:type="dxa"/>
            <w:vAlign w:val="bottom"/>
          </w:tcPr>
          <w:p>
            <w:pPr>
              <w:jc w:val="right"/>
              <w:spacing w:after="0"/>
              <w:rPr>
                <w:sz w:val="20"/>
                <w:szCs w:val="20"/>
                <w:color w:val="auto"/>
              </w:rPr>
            </w:pPr>
            <w:r>
              <w:rPr>
                <w:rFonts w:ascii="Arial" w:cs="Arial" w:eastAsia="Arial" w:hAnsi="Arial"/>
                <w:sz w:val="16"/>
                <w:szCs w:val="16"/>
                <w:color w:val="auto"/>
              </w:rPr>
              <w:t>84</w:t>
            </w:r>
          </w:p>
        </w:tc>
        <w:tc>
          <w:tcPr>
            <w:tcW w:w="1180" w:type="dxa"/>
            <w:vAlign w:val="bottom"/>
          </w:tcPr>
          <w:p>
            <w:pPr>
              <w:jc w:val="right"/>
              <w:spacing w:after="0"/>
              <w:rPr>
                <w:sz w:val="20"/>
                <w:szCs w:val="20"/>
                <w:color w:val="auto"/>
              </w:rPr>
            </w:pPr>
            <w:r>
              <w:rPr>
                <w:rFonts w:ascii="Arial" w:cs="Arial" w:eastAsia="Arial" w:hAnsi="Arial"/>
                <w:sz w:val="16"/>
                <w:szCs w:val="16"/>
                <w:color w:val="auto"/>
              </w:rPr>
              <w:t>10.9 %</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159</w:t>
            </w:r>
          </w:p>
        </w:tc>
        <w:tc>
          <w:tcPr>
            <w:tcW w:w="1340" w:type="dxa"/>
            <w:vAlign w:val="bottom"/>
          </w:tcPr>
          <w:p>
            <w:pPr>
              <w:ind w:left="640"/>
              <w:spacing w:after="0"/>
              <w:rPr>
                <w:sz w:val="20"/>
                <w:szCs w:val="20"/>
                <w:color w:val="auto"/>
              </w:rPr>
            </w:pPr>
            <w:r>
              <w:rPr>
                <w:rFonts w:ascii="Arial" w:cs="Arial" w:eastAsia="Arial" w:hAnsi="Arial"/>
                <w:sz w:val="16"/>
                <w:szCs w:val="16"/>
                <w:color w:val="auto"/>
              </w:rPr>
              <w:t>10.5 %</w:t>
            </w:r>
          </w:p>
        </w:tc>
        <w:tc>
          <w:tcPr>
            <w:tcW w:w="620" w:type="dxa"/>
            <w:vAlign w:val="bottom"/>
          </w:tcPr>
          <w:p>
            <w:pPr>
              <w:jc w:val="right"/>
              <w:spacing w:after="0"/>
              <w:rPr>
                <w:sz w:val="20"/>
                <w:szCs w:val="20"/>
                <w:color w:val="auto"/>
              </w:rPr>
            </w:pPr>
            <w:r>
              <w:rPr>
                <w:rFonts w:ascii="Arial" w:cs="Arial" w:eastAsia="Arial" w:hAnsi="Arial"/>
                <w:sz w:val="16"/>
                <w:szCs w:val="16"/>
                <w:color w:val="auto"/>
              </w:rPr>
              <w:t>193</w:t>
            </w:r>
          </w:p>
        </w:tc>
        <w:tc>
          <w:tcPr>
            <w:tcW w:w="1200" w:type="dxa"/>
            <w:vAlign w:val="bottom"/>
          </w:tcPr>
          <w:p>
            <w:pPr>
              <w:jc w:val="right"/>
              <w:spacing w:after="0"/>
              <w:rPr>
                <w:sz w:val="20"/>
                <w:szCs w:val="20"/>
                <w:color w:val="auto"/>
              </w:rPr>
            </w:pPr>
            <w:r>
              <w:rPr>
                <w:rFonts w:ascii="Arial" w:cs="Arial" w:eastAsia="Arial" w:hAnsi="Arial"/>
                <w:sz w:val="16"/>
                <w:szCs w:val="16"/>
                <w:color w:val="auto"/>
              </w:rPr>
              <w:t>12.4 %</w:t>
            </w: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16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16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1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31.2 %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31 %</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378</w:t>
            </w:r>
          </w:p>
        </w:tc>
        <w:tc>
          <w:tcPr>
            <w:tcW w:w="1340" w:type="dxa"/>
            <w:vAlign w:val="bottom"/>
            <w:tcBorders>
              <w:bottom w:val="single" w:sz="8" w:color="E4E4E4"/>
            </w:tcBorders>
            <w:shd w:val="clear" w:color="auto" w:fill="E4E4E4"/>
          </w:tcPr>
          <w:p>
            <w:pPr>
              <w:ind w:left="640"/>
              <w:spacing w:after="0"/>
              <w:rPr>
                <w:sz w:val="20"/>
                <w:szCs w:val="20"/>
                <w:color w:val="auto"/>
              </w:rPr>
            </w:pPr>
            <w:r>
              <w:rPr>
                <w:rFonts w:ascii="Arial" w:cs="Arial" w:eastAsia="Arial" w:hAnsi="Arial"/>
                <w:sz w:val="16"/>
                <w:szCs w:val="16"/>
                <w:color w:val="auto"/>
              </w:rPr>
              <w:t>30.5 %</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307</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For additional details regarding Segment EBIT, see Note 3, “Segment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June 30, 2024</w:t>
      </w:r>
    </w:p>
    <w:p>
      <w:pPr>
        <w:spacing w:after="0" w:line="260"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Imaging Segment EBIT was $286 million, an increase of $8 million due to cost productivity and an increase in price, partially offset by cost inflation;</w:t>
      </w:r>
    </w:p>
    <w:p>
      <w:pPr>
        <w:spacing w:after="0" w:line="99" w:lineRule="exact"/>
        <w:rPr>
          <w:rFonts w:ascii="Arial" w:cs="Arial" w:eastAsia="Arial" w:hAnsi="Arial"/>
          <w:sz w:val="16"/>
          <w:szCs w:val="16"/>
          <w:i w:val="1"/>
          <w:iCs w:val="1"/>
          <w:color w:val="231F20"/>
        </w:rPr>
      </w:pPr>
    </w:p>
    <w:p>
      <w:pPr>
        <w:ind w:left="660" w:right="20" w:hanging="328"/>
        <w:spacing w:after="0" w:line="286" w:lineRule="auto"/>
        <w:tabs>
          <w:tab w:leader="none" w:pos="649"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Ultrasound Segment EBIT was $178 million, a decrease of $13 million primarily due to lower sales in China and cost inflation, partially offset by cost productivity;</w:t>
      </w:r>
    </w:p>
    <w:p>
      <w:pPr>
        <w:spacing w:after="0" w:line="34"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PCS Segment EBIT was $78 million, a decrease of $6 million due to product mix, with cost productivity offsetting inflation; and</w:t>
      </w:r>
    </w:p>
    <w:p>
      <w:pPr>
        <w:spacing w:after="0" w:line="99" w:lineRule="exact"/>
        <w:rPr>
          <w:rFonts w:ascii="Arial" w:cs="Arial" w:eastAsia="Arial" w:hAnsi="Arial"/>
          <w:sz w:val="16"/>
          <w:szCs w:val="16"/>
          <w:i w:val="1"/>
          <w:iCs w:val="1"/>
          <w:color w:val="231F20"/>
        </w:rPr>
      </w:pPr>
    </w:p>
    <w:p>
      <w:pPr>
        <w:ind w:left="660" w:right="600" w:hanging="328"/>
        <w:spacing w:after="0" w:line="304" w:lineRule="auto"/>
        <w:tabs>
          <w:tab w:leader="none" w:pos="649"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PDx Segment EBIT was $200 million, an increase of $48 million due to a growth in sales volume, cost productivity, and an increase in price, partially offset by cost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i w:val="1"/>
          <w:iCs w:val="1"/>
          <w:color w:val="231F20"/>
        </w:rPr>
        <w:t>For the six months ended June 30, 2024</w:t>
      </w:r>
    </w:p>
    <w:p>
      <w:pPr>
        <w:spacing w:after="0" w:line="260" w:lineRule="exact"/>
        <w:rPr>
          <w:sz w:val="20"/>
          <w:szCs w:val="20"/>
          <w:color w:val="auto"/>
        </w:rPr>
      </w:pPr>
    </w:p>
    <w:p>
      <w:pPr>
        <w:ind w:left="660" w:right="640" w:hanging="328"/>
        <w:spacing w:after="0" w:line="304"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Imaging Segment EBIT was $526 million, an increase of $57 million due to cost productivity and an increase in price, partially offset by cost inflation;</w:t>
      </w:r>
    </w:p>
    <w:p>
      <w:pPr>
        <w:spacing w:after="0" w:line="19" w:lineRule="exact"/>
        <w:rPr>
          <w:rFonts w:ascii="Arial" w:cs="Arial" w:eastAsia="Arial" w:hAnsi="Arial"/>
          <w:sz w:val="16"/>
          <w:szCs w:val="16"/>
          <w:i w:val="1"/>
          <w:iCs w:val="1"/>
          <w:color w:val="231F20"/>
        </w:rPr>
      </w:pPr>
    </w:p>
    <w:p>
      <w:pPr>
        <w:ind w:left="660" w:right="260" w:hanging="328"/>
        <w:spacing w:after="0" w:line="286"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Ultrasound Segment EBIT was $360 million, a decrease of $38 million due to cost inflation and a decrease in sales volume, particularly in China, partially offset by cost productivity;</w:t>
      </w:r>
    </w:p>
    <w:p>
      <w:pPr>
        <w:spacing w:after="0" w:line="34" w:lineRule="exact"/>
        <w:rPr>
          <w:rFonts w:ascii="Arial" w:cs="Arial" w:eastAsia="Arial" w:hAnsi="Arial"/>
          <w:sz w:val="16"/>
          <w:szCs w:val="16"/>
          <w:i w:val="1"/>
          <w:iCs w:val="1"/>
          <w:color w:val="231F20"/>
        </w:rPr>
      </w:pPr>
    </w:p>
    <w:p>
      <w:pPr>
        <w:ind w:left="660" w:right="620" w:hanging="328"/>
        <w:spacing w:after="0" w:line="286"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PCS Segment EBIT was $159 million, a decrease of $34 million due to cost inflation and a decrease in sales volume, partially offset by cost productivity; and</w:t>
      </w:r>
    </w:p>
    <w:p>
      <w:pPr>
        <w:spacing w:after="0" w:line="47" w:lineRule="exact"/>
        <w:rPr>
          <w:rFonts w:ascii="Arial" w:cs="Arial" w:eastAsia="Arial" w:hAnsi="Arial"/>
          <w:sz w:val="16"/>
          <w:szCs w:val="16"/>
          <w:i w:val="1"/>
          <w:iCs w:val="1"/>
          <w:color w:val="231F20"/>
        </w:rPr>
      </w:pPr>
    </w:p>
    <w:p>
      <w:pPr>
        <w:ind w:left="660" w:right="140" w:hanging="328"/>
        <w:spacing w:after="0" w:line="286"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PDx Segment EBIT was $378 million, an increase of $71 million due to growth in sales volume, an increase in price, and cost productivity, partially offset by cost inflation and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report EBIT, Adjusted EBIT, Adjusted EBIT margin, Adjusted net income, and Adjusted earnings per share to provide management and investors with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1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report Adjusted tax expense and Adjusted ETR to provide investors with a better understanding of the normalized tax rate applicable to our business and provide more consistent comparability across periods. A</w:t>
      </w:r>
      <w:r>
        <w:rPr>
          <w:rFonts w:ascii="Arial" w:cs="Arial" w:eastAsia="Arial" w:hAnsi="Arial"/>
          <w:sz w:val="16"/>
          <w:szCs w:val="16"/>
          <w:color w:val="231F20"/>
        </w:rPr>
        <w:t>djusted tax expense excludes the income tax related to the pre-tax income adjustments included as</w:t>
      </w:r>
      <w:r>
        <w:rPr>
          <w:rFonts w:ascii="Arial" w:cs="Arial" w:eastAsia="Arial" w:hAnsi="Arial"/>
          <w:sz w:val="16"/>
          <w:szCs w:val="16"/>
          <w:color w:val="auto"/>
        </w:rPr>
        <w:t xml:space="preserve"> </w:t>
      </w:r>
      <w:r>
        <w:rPr>
          <w:rFonts w:ascii="Arial" w:cs="Arial" w:eastAsia="Arial" w:hAnsi="Arial"/>
          <w:sz w:val="16"/>
          <w:szCs w:val="16"/>
          <w:color w:val="231F20"/>
        </w:rPr>
        <w:t>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1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w:t>
      </w:r>
      <w:r>
        <w:rPr>
          <w:rFonts w:ascii="Arial" w:cs="Arial" w:eastAsia="Arial" w:hAnsi="Arial"/>
          <w:sz w:val="16"/>
          <w:szCs w:val="16"/>
          <w:color w:val="231F20"/>
        </w:rPr>
        <w:t>. Free cash flow is Cash from (used for) operating activities including cash flows related to the additions and</w:t>
      </w:r>
      <w:r>
        <w:rPr>
          <w:rFonts w:ascii="Arial" w:cs="Arial" w:eastAsia="Arial" w:hAnsi="Arial"/>
          <w:sz w:val="16"/>
          <w:szCs w:val="16"/>
          <w:color w:val="auto"/>
        </w:rPr>
        <w:t xml:space="preserve"> </w:t>
      </w:r>
      <w:r>
        <w:rPr>
          <w:rFonts w:ascii="Arial" w:cs="Arial" w:eastAsia="Arial" w:hAnsi="Arial"/>
          <w:sz w:val="16"/>
          <w:szCs w:val="16"/>
          <w:color w:val="231F20"/>
        </w:rPr>
        <w:t xml:space="preserve">dispositions of property, plant, and equipment (“PP&amp;E”) and additions of internal-use software. </w:t>
      </w:r>
      <w:r>
        <w:rPr>
          <w:rFonts w:ascii="Arial" w:cs="Arial" w:eastAsia="Arial" w:hAnsi="Arial"/>
          <w:sz w:val="16"/>
          <w:szCs w:val="16"/>
          <w:color w:val="000000"/>
        </w:rPr>
        <w:t>Free cash flow does not represent residual cash flows</w:t>
      </w:r>
      <w:r>
        <w:rPr>
          <w:rFonts w:ascii="Arial" w:cs="Arial" w:eastAsia="Arial" w:hAnsi="Arial"/>
          <w:sz w:val="16"/>
          <w:szCs w:val="16"/>
          <w:color w:val="231F20"/>
        </w:rPr>
        <w:t xml:space="preserve"> </w:t>
      </w:r>
      <w:r>
        <w:rPr>
          <w:rFonts w:ascii="Arial" w:cs="Arial" w:eastAsia="Arial" w:hAnsi="Arial"/>
          <w:sz w:val="16"/>
          <w:szCs w:val="16"/>
          <w:color w:val="000000"/>
        </w:rPr>
        <w:t>available for discretionary expenditures, due to the fact that the measure does not deduct the capital required for debt repayments.</w:t>
      </w:r>
    </w:p>
    <w:p>
      <w:pPr>
        <w:spacing w:after="0" w:line="200"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6"/>
        </w:trPr>
        <w:tc>
          <w:tcPr>
            <w:tcW w:w="394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260" w:type="dxa"/>
            <w:vAlign w:val="bottom"/>
          </w:tcPr>
          <w:p>
            <w:pPr>
              <w:spacing w:after="0"/>
              <w:rPr>
                <w:sz w:val="20"/>
                <w:szCs w:val="20"/>
                <w:color w:val="auto"/>
              </w:rPr>
            </w:pPr>
          </w:p>
        </w:tc>
        <w:tc>
          <w:tcPr>
            <w:tcW w:w="3440" w:type="dxa"/>
            <w:vAlign w:val="bottom"/>
            <w:gridSpan w:val="5"/>
          </w:tcPr>
          <w:p>
            <w:pPr>
              <w:ind w:left="140"/>
              <w:spacing w:after="0"/>
              <w:rPr>
                <w:sz w:val="20"/>
                <w:szCs w:val="20"/>
                <w:color w:val="auto"/>
              </w:rPr>
            </w:pPr>
            <w:r>
              <w:rPr>
                <w:rFonts w:ascii="Arial" w:cs="Arial" w:eastAsia="Arial" w:hAnsi="Arial"/>
                <w:sz w:val="16"/>
                <w:szCs w:val="16"/>
                <w:b w:val="1"/>
                <w:bCs w:val="1"/>
                <w:color w:val="454545"/>
              </w:rPr>
              <w:t>For the three months ended June 30</w:t>
            </w:r>
          </w:p>
        </w:tc>
        <w:tc>
          <w:tcPr>
            <w:tcW w:w="280" w:type="dxa"/>
            <w:vAlign w:val="bottom"/>
          </w:tcPr>
          <w:p>
            <w:pPr>
              <w:spacing w:after="0"/>
              <w:rPr>
                <w:sz w:val="20"/>
                <w:szCs w:val="20"/>
                <w:color w:val="auto"/>
              </w:rPr>
            </w:pPr>
          </w:p>
        </w:tc>
        <w:tc>
          <w:tcPr>
            <w:tcW w:w="33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394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454545"/>
              </w:rPr>
              <w:t>% change</w:t>
            </w:r>
          </w:p>
        </w:tc>
        <w:tc>
          <w:tcPr>
            <w:tcW w:w="28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9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2,596</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2,620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5,062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5,116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6"/>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2,620</w:t>
            </w:r>
          </w:p>
        </w:tc>
        <w:tc>
          <w:tcPr>
            <w:tcW w:w="12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5,113</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5,116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823</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Organic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831</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1,659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772</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770</w:t>
            </w:r>
          </w:p>
        </w:tc>
        <w:tc>
          <w:tcPr>
            <w:tcW w:w="12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1,519</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1,551</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7"/>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775</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770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1,523</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1,551</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1,238</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2"/>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646</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1,246</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w:t>
            </w:r>
          </w:p>
        </w:tc>
        <w:tc>
          <w:tcPr>
            <w:tcW w:w="12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w:t>
            </w:r>
          </w:p>
        </w:tc>
      </w:tr>
      <w:tr>
        <w:trPr>
          <w:trHeight w:val="256"/>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w:t>
            </w:r>
          </w:p>
        </w:tc>
        <w:tc>
          <w:tcPr>
            <w:tcW w:w="12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4,839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4,817</w:t>
            </w:r>
          </w:p>
        </w:tc>
        <w:tc>
          <w:tcPr>
            <w:tcW w:w="12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9,489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6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E4E4E4"/>
          </w:tcPr>
          <w:p>
            <w:pPr>
              <w:spacing w:after="0"/>
              <w:rPr>
                <w:sz w:val="21"/>
                <w:szCs w:val="21"/>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E4E4E4"/>
          </w:tcPr>
          <w:p>
            <w:pPr>
              <w:spacing w:after="0"/>
              <w:rPr>
                <w:sz w:val="21"/>
                <w:szCs w:val="21"/>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6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4,881</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4,817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9,565</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9,524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835"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060" w:type="dxa"/>
            <w:vAlign w:val="bottom"/>
            <w:gridSpan w:val="6"/>
          </w:tcPr>
          <w:p>
            <w:pPr>
              <w:ind w:left="80"/>
              <w:spacing w:after="0"/>
              <w:rPr>
                <w:sz w:val="20"/>
                <w:szCs w:val="20"/>
                <w:color w:val="auto"/>
              </w:rPr>
            </w:pPr>
            <w:r>
              <w:rPr>
                <w:rFonts w:ascii="Arial" w:cs="Arial" w:eastAsia="Arial" w:hAnsi="Arial"/>
                <w:sz w:val="16"/>
                <w:szCs w:val="16"/>
                <w:b w:val="1"/>
                <w:bCs w:val="1"/>
                <w:color w:val="454545"/>
              </w:rPr>
              <w:t>For the three months ended June 30</w:t>
            </w:r>
          </w:p>
        </w:tc>
        <w:tc>
          <w:tcPr>
            <w:tcW w:w="140" w:type="dxa"/>
            <w:vAlign w:val="bottom"/>
          </w:tcPr>
          <w:p>
            <w:pPr>
              <w:spacing w:after="0"/>
              <w:rPr>
                <w:sz w:val="20"/>
                <w:szCs w:val="20"/>
                <w:color w:val="auto"/>
              </w:rPr>
            </w:pPr>
          </w:p>
        </w:tc>
        <w:tc>
          <w:tcPr>
            <w:tcW w:w="2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454545"/>
              </w:rPr>
              <w:t>% change</w:t>
            </w:r>
          </w:p>
        </w:tc>
        <w:tc>
          <w:tcPr>
            <w:tcW w:w="14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2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418</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802</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790</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273</w:t>
            </w:r>
          </w:p>
        </w:tc>
        <w:tc>
          <w:tcPr>
            <w:tcW w:w="980" w:type="dxa"/>
            <w:vAlign w:val="bottom"/>
          </w:tcPr>
          <w:p>
            <w:pPr>
              <w:spacing w:after="0"/>
              <w:rPr>
                <w:sz w:val="19"/>
                <w:szCs w:val="19"/>
                <w:color w:val="auto"/>
              </w:rPr>
            </w:pPr>
          </w:p>
        </w:tc>
      </w:tr>
      <w:tr>
        <w:trPr>
          <w:trHeight w:val="29"/>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(123)</w:t>
            </w:r>
          </w:p>
        </w:tc>
        <w:tc>
          <w:tcPr>
            <w:tcW w:w="96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(204)</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w:t>
            </w:r>
          </w:p>
        </w:tc>
        <w:tc>
          <w:tcPr>
            <w:tcW w:w="980" w:type="dxa"/>
            <w:vAlign w:val="bottom"/>
          </w:tcPr>
          <w:p>
            <w:pPr>
              <w:spacing w:after="0"/>
              <w:rPr>
                <w:sz w:val="19"/>
                <w:szCs w:val="19"/>
                <w:color w:val="auto"/>
              </w:rPr>
            </w:pPr>
          </w:p>
        </w:tc>
      </w:tr>
      <w:tr>
        <w:trPr>
          <w:trHeight w:val="29"/>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2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(15)</w:t>
            </w:r>
          </w:p>
        </w:tc>
        <w:tc>
          <w:tcPr>
            <w:tcW w:w="96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E4E4E4"/>
            </w:tcBorders>
            <w:shd w:val="clear" w:color="auto" w:fill="E4E4E4"/>
          </w:tcPr>
          <w:p>
            <w:pPr>
              <w:spacing w:after="0"/>
              <w:rPr>
                <w:sz w:val="22"/>
                <w:szCs w:val="22"/>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980" w:type="dxa"/>
            <w:vAlign w:val="bottom"/>
            <w:tcBorders>
              <w:bottom w:val="single" w:sz="8" w:color="E4E4E4"/>
            </w:tcBorders>
            <w:shd w:val="clear" w:color="auto" w:fill="E4E4E4"/>
          </w:tcPr>
          <w:p>
            <w:pPr>
              <w:spacing w:after="0"/>
              <w:rPr>
                <w:sz w:val="22"/>
                <w:szCs w:val="22"/>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584</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1,140</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shd w:val="clear" w:color="auto" w:fill="E4E4E4"/>
          </w:tcPr>
          <w:p>
            <w:pPr>
              <w:spacing w:after="0"/>
              <w:rPr>
                <w:sz w:val="21"/>
                <w:szCs w:val="21"/>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E4E4E4"/>
          </w:tcPr>
          <w:p>
            <w:pPr>
              <w:spacing w:after="0"/>
              <w:rPr>
                <w:sz w:val="21"/>
                <w:szCs w:val="21"/>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19</w:t>
            </w:r>
          </w:p>
        </w:tc>
        <w:tc>
          <w:tcPr>
            <w:tcW w:w="9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24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980" w:type="dxa"/>
            <w:vAlign w:val="bottom"/>
            <w:shd w:val="clear" w:color="auto" w:fill="E4E4E4"/>
          </w:tcPr>
          <w:p>
            <w:pPr>
              <w:spacing w:after="0"/>
              <w:rPr>
                <w:sz w:val="21"/>
                <w:szCs w:val="2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2"/>
                <w:szCs w:val="22"/>
                <w:color w:val="auto"/>
              </w:rPr>
            </w:pPr>
          </w:p>
        </w:tc>
      </w:tr>
      <w:tr>
        <w:trPr>
          <w:trHeight w:val="256"/>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2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E4E4E4"/>
          </w:tcPr>
          <w:p>
            <w:pPr>
              <w:spacing w:after="0"/>
              <w:rPr>
                <w:sz w:val="22"/>
                <w:szCs w:val="22"/>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72</w:t>
            </w:r>
          </w:p>
        </w:tc>
        <w:tc>
          <w:tcPr>
            <w:tcW w:w="96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240" w:type="dxa"/>
            <w:vAlign w:val="bottom"/>
            <w:shd w:val="clear" w:color="auto" w:fill="E4E4E4"/>
          </w:tcPr>
          <w:p>
            <w:pPr>
              <w:spacing w:after="0"/>
              <w:rPr>
                <w:sz w:val="22"/>
                <w:szCs w:val="22"/>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980" w:type="dxa"/>
            <w:vAlign w:val="bottom"/>
            <w:shd w:val="clear" w:color="auto" w:fill="E4E4E4"/>
          </w:tcPr>
          <w:p>
            <w:pPr>
              <w:spacing w:after="0"/>
              <w:rPr>
                <w:sz w:val="22"/>
                <w:szCs w:val="22"/>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32</w:t>
            </w:r>
          </w:p>
        </w:tc>
        <w:tc>
          <w:tcPr>
            <w:tcW w:w="96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980" w:type="dxa"/>
            <w:vAlign w:val="bottom"/>
            <w:tcBorders>
              <w:bottom w:val="single" w:sz="8" w:color="E4E4E4"/>
            </w:tcBorders>
            <w:shd w:val="clear" w:color="auto" w:fill="E4E4E4"/>
          </w:tcPr>
          <w:p>
            <w:pPr>
              <w:spacing w:after="0"/>
              <w:rPr>
                <w:sz w:val="20"/>
                <w:szCs w:val="20"/>
                <w:color w:val="auto"/>
              </w:rPr>
            </w:pPr>
          </w:p>
        </w:tc>
      </w:tr>
      <w:tr>
        <w:trPr>
          <w:trHeight w:val="25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spacing w:after="0"/>
              <w:rPr>
                <w:sz w:val="22"/>
                <w:szCs w:val="22"/>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742</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711</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1,423</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1,375</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35"/>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8.7%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 bps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 bps</w:t>
            </w:r>
          </w:p>
        </w:tc>
      </w:tr>
      <w:tr>
        <w:trPr>
          <w:trHeight w:val="21"/>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231F20"/>
              </w:rPr>
              <w:t>Adjusted EBIT margin*</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14.8%</w:t>
            </w:r>
          </w:p>
        </w:tc>
        <w:tc>
          <w:tcPr>
            <w:tcW w:w="108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60 bps</w:t>
            </w:r>
          </w:p>
        </w:tc>
        <w:tc>
          <w:tcPr>
            <w:tcW w:w="14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 bps</w:t>
            </w:r>
          </w:p>
        </w:tc>
      </w:tr>
      <w:tr>
        <w:trPr>
          <w:trHeight w:val="20"/>
        </w:trPr>
        <w:tc>
          <w:tcPr>
            <w:tcW w:w="5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020" w:type="dxa"/>
            <w:vAlign w:val="bottom"/>
            <w:gridSpan w:val="6"/>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22"/>
                <w:szCs w:val="22"/>
                <w:color w:val="auto"/>
              </w:rPr>
            </w:pPr>
          </w:p>
        </w:tc>
        <w:tc>
          <w:tcPr>
            <w:tcW w:w="2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9"/>
        </w:trPr>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7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418</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790</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68"/>
        </w:trPr>
        <w:tc>
          <w:tcPr>
            <w:tcW w:w="530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960" w:type="dxa"/>
            <w:vAlign w:val="bottom"/>
          </w:tcPr>
          <w:p>
            <w:pPr>
              <w:spacing w:after="0"/>
              <w:rPr>
                <w:sz w:val="23"/>
                <w:szCs w:val="23"/>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19</w:t>
            </w:r>
          </w:p>
        </w:tc>
        <w:tc>
          <w:tcPr>
            <w:tcW w:w="96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31</w:t>
            </w:r>
          </w:p>
        </w:tc>
        <w:tc>
          <w:tcPr>
            <w:tcW w:w="960" w:type="dxa"/>
            <w:vAlign w:val="bottom"/>
            <w:shd w:val="clear" w:color="auto" w:fill="E4E4E4"/>
          </w:tcPr>
          <w:p>
            <w:pPr>
              <w:spacing w:after="0"/>
              <w:rPr>
                <w:sz w:val="24"/>
                <w:szCs w:val="24"/>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24"/>
                <w:szCs w:val="24"/>
                <w:color w:val="auto"/>
              </w:rPr>
            </w:pPr>
          </w:p>
        </w:tc>
      </w:tr>
      <w:tr>
        <w:trPr>
          <w:trHeight w:val="297"/>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72</w:t>
            </w:r>
          </w:p>
        </w:tc>
        <w:tc>
          <w:tcPr>
            <w:tcW w:w="96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130</w:t>
            </w:r>
          </w:p>
        </w:tc>
        <w:tc>
          <w:tcPr>
            <w:tcW w:w="960" w:type="dxa"/>
            <w:vAlign w:val="bottom"/>
            <w:shd w:val="clear" w:color="auto" w:fill="E4E4E4"/>
          </w:tcPr>
          <w:p>
            <w:pPr>
              <w:spacing w:after="0"/>
              <w:rPr>
                <w:sz w:val="24"/>
                <w:szCs w:val="24"/>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r>
      <w:tr>
        <w:trPr>
          <w:trHeight w:val="277"/>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32</w:t>
            </w:r>
          </w:p>
        </w:tc>
        <w:tc>
          <w:tcPr>
            <w:tcW w:w="96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63</w:t>
            </w:r>
          </w:p>
        </w:tc>
        <w:tc>
          <w:tcPr>
            <w:tcW w:w="960" w:type="dxa"/>
            <w:vAlign w:val="bottom"/>
            <w:tcBorders>
              <w:bottom w:val="single" w:sz="8" w:color="E4E4E4"/>
            </w:tcBorders>
            <w:shd w:val="clear" w:color="auto" w:fill="E4E4E4"/>
          </w:tcPr>
          <w:p>
            <w:pPr>
              <w:spacing w:after="0"/>
              <w:rPr>
                <w:sz w:val="24"/>
                <w:szCs w:val="24"/>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24"/>
                <w:szCs w:val="24"/>
                <w:color w:val="auto"/>
              </w:rPr>
            </w:pPr>
          </w:p>
        </w:tc>
      </w:tr>
      <w:tr>
        <w:trPr>
          <w:trHeight w:val="236"/>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(3)</w:t>
            </w:r>
          </w:p>
        </w:tc>
        <w:tc>
          <w:tcPr>
            <w:tcW w:w="96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E4E4E4"/>
            </w:tcBorders>
            <w:shd w:val="clear" w:color="auto" w:fill="E4E4E4"/>
          </w:tcPr>
          <w:p>
            <w:pPr>
              <w:spacing w:after="0"/>
              <w:rPr>
                <w:sz w:val="20"/>
                <w:szCs w:val="20"/>
                <w:color w:val="auto"/>
              </w:rPr>
            </w:pPr>
          </w:p>
        </w:tc>
      </w:tr>
      <w:tr>
        <w:trPr>
          <w:trHeight w:val="297"/>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960" w:type="dxa"/>
            <w:vAlign w:val="bottom"/>
            <w:tcBorders>
              <w:bottom w:val="single" w:sz="8" w:color="auto"/>
            </w:tcBorders>
          </w:tcPr>
          <w:p>
            <w:pPr>
              <w:spacing w:after="0"/>
              <w:rPr>
                <w:sz w:val="24"/>
                <w:szCs w:val="24"/>
                <w:color w:val="auto"/>
              </w:rPr>
            </w:pPr>
          </w:p>
        </w:tc>
      </w:tr>
      <w:tr>
        <w:trPr>
          <w:trHeight w:val="27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419</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807</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0"/>
        </w:trPr>
        <w:tc>
          <w:tcPr>
            <w:tcW w:w="5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40" w:hanging="414"/>
        <w:spacing w:after="0" w:line="275"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87"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3"/>
        </w:trPr>
        <w:tc>
          <w:tcPr>
            <w:tcW w:w="5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120" w:type="dxa"/>
            <w:vAlign w:val="bottom"/>
          </w:tcPr>
          <w:p>
            <w:pPr>
              <w:spacing w:after="0"/>
              <w:rPr>
                <w:sz w:val="17"/>
                <w:szCs w:val="17"/>
                <w:color w:val="auto"/>
              </w:rPr>
            </w:pPr>
          </w:p>
        </w:tc>
        <w:tc>
          <w:tcPr>
            <w:tcW w:w="280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454545"/>
              </w:rPr>
              <w:t>For the three months ended June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5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454545"/>
              </w:rPr>
              <w:t>30</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0" w:type="dxa"/>
            <w:vAlign w:val="bottom"/>
            <w:gridSpan w:val="6"/>
            <w:vMerge w:val="restart"/>
          </w:tcPr>
          <w:p>
            <w:pPr>
              <w:jc w:val="right"/>
              <w:ind w:right="1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1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40" w:type="dxa"/>
            <w:vAlign w:val="bottom"/>
          </w:tcPr>
          <w:p>
            <w:pPr>
              <w:jc w:val="center"/>
              <w:ind w:right="9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1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5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0.93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0.91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0.02</w:t>
            </w:r>
          </w:p>
        </w:tc>
        <w:tc>
          <w:tcPr>
            <w:tcW w:w="12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0.42</w:t>
            </w:r>
          </w:p>
        </w:tc>
        <w:tc>
          <w:tcPr>
            <w:tcW w:w="0" w:type="dxa"/>
            <w:vAlign w:val="bottom"/>
          </w:tcPr>
          <w:p>
            <w:pPr>
              <w:spacing w:after="0"/>
              <w:rPr>
                <w:sz w:val="1"/>
                <w:szCs w:val="1"/>
                <w:color w:val="auto"/>
              </w:rPr>
            </w:pPr>
          </w:p>
        </w:tc>
      </w:tr>
      <w:tr>
        <w:trPr>
          <w:trHeight w:val="215"/>
        </w:trPr>
        <w:tc>
          <w:tcPr>
            <w:tcW w:w="552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w:t>
            </w: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520" w:type="dxa"/>
            <w:vAlign w:val="bottom"/>
            <w:vMerge w:val="restart"/>
          </w:tcPr>
          <w:p>
            <w:pPr>
              <w:ind w:left="260"/>
              <w:spacing w:after="0"/>
              <w:rPr>
                <w:sz w:val="20"/>
                <w:szCs w:val="20"/>
                <w:color w:val="auto"/>
              </w:rPr>
            </w:pPr>
            <w:r>
              <w:rPr>
                <w:rFonts w:ascii="Arial" w:cs="Arial" w:eastAsia="Arial" w:hAnsi="Arial"/>
                <w:sz w:val="16"/>
                <w:szCs w:val="16"/>
                <w:color w:val="auto"/>
              </w:rPr>
              <w:t>interest</w:t>
            </w: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1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(0.22)</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(0.27)</w:t>
            </w:r>
          </w:p>
        </w:tc>
        <w:tc>
          <w:tcPr>
            <w:tcW w:w="24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(0.44)</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0.06</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0.04</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1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0.16</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0.28</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1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2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0.07</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0.14</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120" w:type="dxa"/>
            <w:vAlign w:val="bottom"/>
            <w:shd w:val="clear" w:color="auto" w:fill="E4E4E4"/>
          </w:tcPr>
          <w:p>
            <w:pPr>
              <w:spacing w:after="0"/>
              <w:rPr>
                <w:sz w:val="24"/>
                <w:szCs w:val="24"/>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4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0.06</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52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120" w:type="dxa"/>
            <w:vAlign w:val="bottom"/>
            <w:tcBorders>
              <w:bottom w:val="single" w:sz="8" w:color="auto"/>
            </w:tcBorders>
            <w:shd w:val="clear" w:color="auto" w:fill="E4E4E4"/>
          </w:tcPr>
          <w:p>
            <w:pPr>
              <w:spacing w:after="0"/>
              <w:rPr>
                <w:sz w:val="24"/>
                <w:szCs w:val="24"/>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shd w:val="clear" w:color="auto" w:fill="E4E4E4"/>
          </w:tcPr>
          <w:p>
            <w:pPr>
              <w:spacing w:after="0"/>
              <w:rPr>
                <w:sz w:val="24"/>
                <w:szCs w:val="24"/>
                <w:color w:val="auto"/>
              </w:rPr>
            </w:pPr>
          </w:p>
        </w:tc>
        <w:tc>
          <w:tcPr>
            <w:tcW w:w="12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auto"/>
            </w:tcBorders>
            <w:shd w:val="clear" w:color="auto" w:fill="E4E4E4"/>
          </w:tcPr>
          <w:p>
            <w:pPr>
              <w:spacing w:after="0"/>
              <w:rPr>
                <w:sz w:val="24"/>
                <w:szCs w:val="24"/>
                <w:color w:val="auto"/>
              </w:rPr>
            </w:pPr>
          </w:p>
        </w:tc>
        <w:tc>
          <w:tcPr>
            <w:tcW w:w="84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0.92</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0.14</w:t>
            </w:r>
          </w:p>
        </w:tc>
        <w:tc>
          <w:tcPr>
            <w:tcW w:w="0" w:type="dxa"/>
            <w:vAlign w:val="bottom"/>
          </w:tcPr>
          <w:p>
            <w:pPr>
              <w:spacing w:after="0"/>
              <w:rPr>
                <w:sz w:val="1"/>
                <w:szCs w:val="1"/>
                <w:color w:val="auto"/>
              </w:rPr>
            </w:pP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1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1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40" w:hanging="414"/>
        <w:spacing w:after="0" w:line="27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3020" w:type="dxa"/>
            <w:vAlign w:val="bottom"/>
            <w:gridSpan w:val="5"/>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40" w:type="dxa"/>
            <w:vAlign w:val="bottom"/>
          </w:tcPr>
          <w:p>
            <w:pPr>
              <w:spacing w:after="0"/>
              <w:rPr>
                <w:sz w:val="19"/>
                <w:szCs w:val="19"/>
                <w:color w:val="auto"/>
              </w:rPr>
            </w:pPr>
          </w:p>
        </w:tc>
        <w:tc>
          <w:tcPr>
            <w:tcW w:w="27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r>
      <w:tr>
        <w:trPr>
          <w:trHeight w:val="229"/>
        </w:trPr>
        <w:tc>
          <w:tcPr>
            <w:tcW w:w="5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(267)</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(300)</w:t>
            </w:r>
          </w:p>
        </w:tc>
      </w:tr>
      <w:tr>
        <w:trPr>
          <w:trHeight w:val="228"/>
        </w:trPr>
        <w:tc>
          <w:tcPr>
            <w:tcW w:w="53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1"/>
        </w:trPr>
        <w:tc>
          <w:tcPr>
            <w:tcW w:w="53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4E4E4"/>
          </w:tcPr>
          <w:p>
            <w:pPr>
              <w:spacing w:after="0"/>
              <w:rPr>
                <w:sz w:val="24"/>
                <w:szCs w:val="24"/>
                <w:color w:val="auto"/>
              </w:rPr>
            </w:pPr>
          </w:p>
        </w:tc>
        <w:tc>
          <w:tcPr>
            <w:tcW w:w="1240" w:type="dxa"/>
            <w:vAlign w:val="bottom"/>
            <w:tcBorders>
              <w:bottom w:val="single" w:sz="8" w:color="auto"/>
            </w:tcBorders>
            <w:gridSpan w:val="2"/>
            <w:shd w:val="clear" w:color="auto" w:fill="E4E4E4"/>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4"/>
                <w:szCs w:val="24"/>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35"/>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3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(269)</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24.7%</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24.5%</w:t>
            </w:r>
          </w:p>
        </w:tc>
        <w:tc>
          <w:tcPr>
            <w:tcW w:w="36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26.9%</w:t>
            </w:r>
          </w:p>
        </w:tc>
      </w:tr>
      <w:tr>
        <w:trPr>
          <w:trHeight w:val="235"/>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24.4%</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40" w:hanging="414"/>
        <w:spacing w:after="0" w:line="275"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920" w:type="dxa"/>
            <w:vAlign w:val="bottom"/>
          </w:tcPr>
          <w:p>
            <w:pPr>
              <w:spacing w:after="0"/>
              <w:rPr>
                <w:sz w:val="19"/>
                <w:szCs w:val="19"/>
                <w:color w:val="auto"/>
              </w:rPr>
            </w:pPr>
          </w:p>
        </w:tc>
        <w:tc>
          <w:tcPr>
            <w:tcW w:w="356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676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660" w:type="dxa"/>
            <w:vAlign w:val="bottom"/>
          </w:tcPr>
          <w:p>
            <w:pPr>
              <w:spacing w:after="0"/>
              <w:rPr>
                <w:sz w:val="19"/>
                <w:szCs w:val="19"/>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57"/>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300</w:t>
            </w:r>
          </w:p>
        </w:tc>
        <w:tc>
          <w:tcPr>
            <w:tcW w:w="1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401</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r>
      <w:tr>
        <w:trPr>
          <w:trHeight w:val="255"/>
        </w:trPr>
        <w:tc>
          <w:tcPr>
            <w:tcW w:w="676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c>
          <w:tcPr>
            <w:tcW w:w="100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(213)</w:t>
            </w:r>
          </w:p>
        </w:tc>
        <w:tc>
          <w:tcPr>
            <w:tcW w:w="1320" w:type="dxa"/>
            <w:vAlign w:val="bottom"/>
          </w:tcPr>
          <w:p>
            <w:pPr>
              <w:spacing w:after="0"/>
              <w:rPr>
                <w:sz w:val="22"/>
                <w:szCs w:val="22"/>
                <w:color w:val="auto"/>
              </w:rPr>
            </w:pPr>
          </w:p>
        </w:tc>
      </w:tr>
      <w:tr>
        <w:trPr>
          <w:trHeight w:val="29"/>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9"/>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920" w:type="dxa"/>
            <w:vAlign w:val="bottom"/>
            <w:tcBorders>
              <w:bottom w:val="single" w:sz="8" w:color="E4E4E4"/>
            </w:tcBorders>
            <w:shd w:val="clear" w:color="auto" w:fill="E4E4E4"/>
          </w:tcPr>
          <w:p>
            <w:pPr>
              <w:spacing w:after="0"/>
              <w:rPr>
                <w:sz w:val="24"/>
                <w:szCs w:val="24"/>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spacing w:after="0"/>
              <w:rPr>
                <w:sz w:val="24"/>
                <w:szCs w:val="24"/>
                <w:color w:val="auto"/>
              </w:rPr>
            </w:pPr>
          </w:p>
        </w:tc>
        <w:tc>
          <w:tcPr>
            <w:tcW w:w="6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E4E4E4"/>
            </w:tcBorders>
            <w:shd w:val="clear" w:color="auto" w:fill="E4E4E4"/>
          </w:tcPr>
          <w:p>
            <w:pPr>
              <w:spacing w:after="0"/>
              <w:rPr>
                <w:sz w:val="24"/>
                <w:szCs w:val="24"/>
                <w:color w:val="auto"/>
              </w:rPr>
            </w:pPr>
          </w:p>
        </w:tc>
      </w:tr>
      <w:tr>
        <w:trPr>
          <w:trHeight w:val="256"/>
        </w:trPr>
        <w:tc>
          <w:tcPr>
            <w:tcW w:w="6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189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June 30, 2024, our Cash, cash equivalents, and restricted cash balance in the Condensed Consolidated Statements of Financial Position was $2,015 million. We have historically generated positive cash flows from operating activities. Additionally, we have access to revolving credit facilities of $3,500 million in aggregate, described in detail in Note 8,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508"/>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420" w:type="dxa"/>
            <w:vAlign w:val="bottom"/>
          </w:tcPr>
          <w:p>
            <w:pPr>
              <w:spacing w:after="0"/>
              <w:rPr>
                <w:sz w:val="24"/>
                <w:szCs w:val="24"/>
                <w:color w:val="auto"/>
              </w:rPr>
            </w:pPr>
          </w:p>
        </w:tc>
        <w:tc>
          <w:tcPr>
            <w:tcW w:w="3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7140" w:type="dxa"/>
            <w:vAlign w:val="bottom"/>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2024</w:t>
            </w:r>
          </w:p>
        </w:tc>
        <w:tc>
          <w:tcPr>
            <w:tcW w:w="480" w:type="dxa"/>
            <w:vAlign w:val="bottom"/>
          </w:tcPr>
          <w:p>
            <w:pPr>
              <w:spacing w:after="0"/>
              <w:rPr>
                <w:sz w:val="19"/>
                <w:szCs w:val="19"/>
                <w:color w:val="auto"/>
              </w:rPr>
            </w:pPr>
          </w:p>
        </w:tc>
        <w:tc>
          <w:tcPr>
            <w:tcW w:w="158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2023</w:t>
            </w:r>
          </w:p>
        </w:tc>
      </w:tr>
      <w:tr>
        <w:trPr>
          <w:trHeight w:val="21"/>
        </w:trPr>
        <w:tc>
          <w:tcPr>
            <w:tcW w:w="71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6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50"/>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w:t>
            </w:r>
          </w:p>
        </w:tc>
        <w:tc>
          <w:tcPr>
            <w:tcW w:w="420" w:type="dxa"/>
            <w:vAlign w:val="bottom"/>
            <w:shd w:val="clear" w:color="auto" w:fill="E4E4E4"/>
          </w:tcPr>
          <w:p>
            <w:pPr>
              <w:jc w:val="right"/>
              <w:ind w:right="23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300</w:t>
            </w:r>
          </w:p>
        </w:tc>
        <w:tc>
          <w:tcPr>
            <w:tcW w:w="480" w:type="dxa"/>
            <w:vAlign w:val="bottom"/>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4E4E4"/>
          </w:tcPr>
          <w:p>
            <w:pPr>
              <w:jc w:val="center"/>
              <w:ind w:left="1079"/>
              <w:spacing w:after="0"/>
              <w:rPr>
                <w:sz w:val="20"/>
                <w:szCs w:val="20"/>
                <w:color w:val="auto"/>
              </w:rPr>
            </w:pPr>
            <w:r>
              <w:rPr>
                <w:rFonts w:ascii="Arial" w:cs="Arial" w:eastAsia="Arial" w:hAnsi="Arial"/>
                <w:sz w:val="16"/>
                <w:szCs w:val="16"/>
                <w:color w:val="auto"/>
                <w:w w:val="97"/>
              </w:rPr>
              <w:t>401</w:t>
            </w:r>
          </w:p>
        </w:tc>
      </w:tr>
      <w:tr>
        <w:trPr>
          <w:trHeight w:val="255"/>
        </w:trPr>
        <w:tc>
          <w:tcPr>
            <w:tcW w:w="7140" w:type="dxa"/>
            <w:vAlign w:val="bottom"/>
          </w:tcPr>
          <w:p>
            <w:pPr>
              <w:ind w:left="80"/>
              <w:spacing w:after="0"/>
              <w:rPr>
                <w:sz w:val="20"/>
                <w:szCs w:val="20"/>
                <w:color w:val="auto"/>
              </w:rPr>
            </w:pPr>
            <w:r>
              <w:rPr>
                <w:rFonts w:ascii="Arial" w:cs="Arial" w:eastAsia="Arial" w:hAnsi="Arial"/>
                <w:sz w:val="16"/>
                <w:szCs w:val="16"/>
                <w:color w:val="auto"/>
              </w:rPr>
              <w:t>Cash from (used for) investing activities</w:t>
            </w:r>
          </w:p>
        </w:tc>
        <w:tc>
          <w:tcPr>
            <w:tcW w:w="4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(537)</w:t>
            </w:r>
          </w:p>
        </w:tc>
        <w:tc>
          <w:tcPr>
            <w:tcW w:w="480" w:type="dxa"/>
            <w:vAlign w:val="bottom"/>
          </w:tcPr>
          <w:p>
            <w:pPr>
              <w:spacing w:after="0"/>
              <w:rPr>
                <w:sz w:val="22"/>
                <w:szCs w:val="22"/>
                <w:color w:val="auto"/>
              </w:rPr>
            </w:pPr>
          </w:p>
        </w:tc>
        <w:tc>
          <w:tcPr>
            <w:tcW w:w="1580" w:type="dxa"/>
            <w:vAlign w:val="bottom"/>
          </w:tcPr>
          <w:p>
            <w:pPr>
              <w:jc w:val="center"/>
              <w:ind w:left="1079"/>
              <w:spacing w:after="0"/>
              <w:rPr>
                <w:sz w:val="20"/>
                <w:szCs w:val="20"/>
                <w:color w:val="auto"/>
              </w:rPr>
            </w:pPr>
            <w:r>
              <w:rPr>
                <w:rFonts w:ascii="Arial" w:cs="Arial" w:eastAsia="Arial" w:hAnsi="Arial"/>
                <w:sz w:val="16"/>
                <w:szCs w:val="16"/>
                <w:color w:val="auto"/>
              </w:rPr>
              <w:t>(350)</w:t>
            </w:r>
          </w:p>
        </w:tc>
      </w:tr>
      <w:tr>
        <w:trPr>
          <w:trHeight w:val="258"/>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w:t>
            </w:r>
          </w:p>
        </w:tc>
        <w:tc>
          <w:tcPr>
            <w:tcW w:w="420" w:type="dxa"/>
            <w:vAlign w:val="bottom"/>
            <w:shd w:val="clear" w:color="auto" w:fill="E4E4E4"/>
          </w:tcPr>
          <w:p>
            <w:pPr>
              <w:spacing w:after="0"/>
              <w:rPr>
                <w:sz w:val="22"/>
                <w:szCs w:val="22"/>
                <w:color w:val="auto"/>
              </w:rPr>
            </w:pPr>
          </w:p>
        </w:tc>
        <w:tc>
          <w:tcPr>
            <w:tcW w:w="16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(210)</w:t>
            </w:r>
          </w:p>
        </w:tc>
        <w:tc>
          <w:tcPr>
            <w:tcW w:w="480" w:type="dxa"/>
            <w:vAlign w:val="bottom"/>
            <w:shd w:val="clear" w:color="auto" w:fill="E4E4E4"/>
          </w:tcPr>
          <w:p>
            <w:pPr>
              <w:spacing w:after="0"/>
              <w:rPr>
                <w:sz w:val="22"/>
                <w:szCs w:val="22"/>
                <w:color w:val="auto"/>
              </w:rPr>
            </w:pPr>
          </w:p>
        </w:tc>
        <w:tc>
          <w:tcPr>
            <w:tcW w:w="1580" w:type="dxa"/>
            <w:vAlign w:val="bottom"/>
            <w:shd w:val="clear" w:color="auto" w:fill="E4E4E4"/>
          </w:tcPr>
          <w:p>
            <w:pPr>
              <w:jc w:val="center"/>
              <w:ind w:left="1079"/>
              <w:spacing w:after="0"/>
              <w:rPr>
                <w:sz w:val="20"/>
                <w:szCs w:val="20"/>
                <w:color w:val="auto"/>
              </w:rPr>
            </w:pPr>
            <w:r>
              <w:rPr>
                <w:rFonts w:ascii="Arial" w:cs="Arial" w:eastAsia="Arial" w:hAnsi="Arial"/>
                <w:sz w:val="16"/>
                <w:szCs w:val="16"/>
                <w:color w:val="auto"/>
                <w:w w:val="97"/>
              </w:rPr>
              <w:t>446</w:t>
            </w:r>
          </w:p>
        </w:tc>
      </w:tr>
      <w:tr>
        <w:trPr>
          <w:trHeight w:val="227"/>
        </w:trPr>
        <w:tc>
          <w:tcPr>
            <w:tcW w:w="714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w:t>
            </w:r>
          </w:p>
        </w:tc>
        <w:tc>
          <w:tcPr>
            <w:tcW w:w="480" w:type="dxa"/>
            <w:vAlign w:val="bottom"/>
          </w:tcPr>
          <w:p>
            <w:pPr>
              <w:spacing w:after="0"/>
              <w:rPr>
                <w:sz w:val="19"/>
                <w:szCs w:val="19"/>
                <w:color w:val="auto"/>
              </w:rPr>
            </w:pPr>
          </w:p>
        </w:tc>
        <w:tc>
          <w:tcPr>
            <w:tcW w:w="1580" w:type="dxa"/>
            <w:vAlign w:val="bottom"/>
          </w:tcPr>
          <w:p>
            <w:pPr>
              <w:jc w:val="center"/>
              <w:ind w:left="1079"/>
              <w:spacing w:after="0"/>
              <w:rPr>
                <w:sz w:val="20"/>
                <w:szCs w:val="20"/>
                <w:color w:val="auto"/>
              </w:rPr>
            </w:pPr>
            <w:r>
              <w:rPr>
                <w:rFonts w:ascii="Arial" w:cs="Arial" w:eastAsia="Arial" w:hAnsi="Arial"/>
                <w:sz w:val="16"/>
                <w:szCs w:val="16"/>
                <w:color w:val="auto"/>
                <w:w w:val="97"/>
              </w:rPr>
              <w:t>189</w:t>
            </w:r>
          </w:p>
        </w:tc>
      </w:tr>
      <w:tr>
        <w:trPr>
          <w:trHeight w:val="29"/>
        </w:trPr>
        <w:tc>
          <w:tcPr>
            <w:tcW w:w="7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Cash generated from operating activities in the six months ended June 30, 2024 was $300 million and included Net income of $823 million, non-cash charges primarily for depreciation and amortization of $297 million, and $820 million in outflows from incremental changes in assets and liabilities, primarily driven by compensation and benefit payments, company-funded benefit payments for postretirement benefit plans, and an increase in inventories mainly due to inventory build to meet higher demand in the second half of the year.</w:t>
      </w:r>
    </w:p>
    <w:p>
      <w:pPr>
        <w:spacing w:after="0" w:line="2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Cash generated from operating activities in the six months ended June 30, 2023 was $401 million and included Net income of $816 million, non-cash charges primarily for depreciation and amortization of $313 million, and $728 million in outflows from incremental changes in assets and liabilities, primarily driven by company funded benefit payments for postretirement benefit plans, an increase in inventories mainly due to inventory build to meet higher demand in the second half of the year, and compensation and benefit payments.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9"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Cash used for investing activities in the six months ended June 30, 2024 was $537 million and primarily included purchases of businesses, net of cash acquired, of $259 million related to MIM Software Inc. (“MIM Software”), and additions to PP&amp;E of $209 million related mostly to manufacturing capacity expansion and new product introductions. Refer to Note 7, “Acquisitions, Goodwill, and Other Intangible Assets” for additional information on the MIM Software acquisition.</w:t>
      </w:r>
    </w:p>
    <w:p>
      <w:pPr>
        <w:spacing w:after="0" w:line="20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Cash used for investing activities in the six months ended June 30, 2023 was $350 million and primarily included additions to PP&amp;E of $213 million related mostly to new product introductions, manufacturing capacity expansion, and purchases of businesses, net of cash acquired, of $147 million primarily related to Caption Health, Inc.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ind w:right="680"/>
        <w:spacing w:after="0" w:line="270" w:lineRule="auto"/>
        <w:rPr>
          <w:sz w:val="20"/>
          <w:szCs w:val="20"/>
          <w:color w:val="auto"/>
        </w:rPr>
      </w:pPr>
      <w:r>
        <w:rPr>
          <w:rFonts w:ascii="Arial" w:cs="Arial" w:eastAsia="Arial" w:hAnsi="Arial"/>
          <w:sz w:val="16"/>
          <w:szCs w:val="16"/>
          <w:color w:val="auto"/>
        </w:rPr>
        <w:t>Cash used for financing activities in the six months ended June 30, 2024 was $210 million and primarily included a repayment of $150 million of our outstanding Term Loan Facility.</w:t>
      </w:r>
    </w:p>
    <w:p>
      <w:pPr>
        <w:spacing w:after="0" w:line="19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Cash generated from financing activities in the six months ended June 30, 2023 was $446 million and primarily included $2,000 million of newly issued debt, partially offset by $1,317 million of transfers to GE, and $211 million of Redemption of noncontrolling interests.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29"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Free cash flow* was $92 million for the six months ended June 30, 2024 and primarily included $300 million of cash generated from operating activities, partially offset by $209 million of cash used for additions to PP&amp;E.</w:t>
      </w:r>
    </w:p>
    <w:p>
      <w:pPr>
        <w:spacing w:after="0" w:line="195"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Free cash flow* was $189 million for the six months ended June 30, 2023 and primarily included $401 million of cash generated from operating activities, partially offset by $213 million of cash used for additions to PP&amp;E.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9"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Cash used for capital expenditures was $209 million and $213 million for the six months ended June 30, 2024 and 2023, respectively. Capital expenditures were primarily for manufacturing capacity expansion, new product introductions, and equipment and tooling for new and existing products.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are provided in Note 7, “Leases,” Note 9, “Borrowings,” and Note 14, “Commitments, Guarantees, Product Warranties, and Other Loss Contingencies” in our Annual Report on Form 10-K for the fiscal year ended December 31, 2023. We have material cash requirements related to our pension obligations as described in Note 9, “Postretirement Benefit Plans.” Additionally, on April 1, 2024, we funded the acquisition of MIM Software with cash on hand. Further information regarding this acquisition is provided in Note 7, “Acquisitions, Goodwill, and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19"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June 30, 2024, we had $9,240 million of total debt compared to $9,442 million as of December 31, 2023. The decrease in debt was mainly driven by a repayment of</w:t>
      </w:r>
    </w:p>
    <w:p>
      <w:pPr>
        <w:spacing w:after="0" w:line="1" w:lineRule="exact"/>
        <w:rPr>
          <w:sz w:val="20"/>
          <w:szCs w:val="20"/>
          <w:color w:val="auto"/>
        </w:rPr>
      </w:pPr>
    </w:p>
    <w:p>
      <w:pPr>
        <w:ind w:right="760"/>
        <w:spacing w:after="0" w:line="265" w:lineRule="auto"/>
        <w:rPr>
          <w:sz w:val="20"/>
          <w:szCs w:val="20"/>
          <w:color w:val="auto"/>
        </w:rPr>
      </w:pPr>
      <w:r>
        <w:rPr>
          <w:rFonts w:ascii="Arial" w:cs="Arial" w:eastAsia="Arial" w:hAnsi="Arial"/>
          <w:sz w:val="16"/>
          <w:szCs w:val="16"/>
          <w:color w:val="auto"/>
        </w:rPr>
        <w:t>$150 million of the outstanding Term Loan Facility in the first quarter of 2024. As of June 30, 2024, there were $1,000 million of senior notes due in November 2024 recognized within Short-term borrowings in our Condensed Consolidated Statements of Financial Position.</w:t>
      </w:r>
    </w:p>
    <w:p>
      <w:pPr>
        <w:spacing w:after="0" w:line="21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weighted average interest rate for the Notes and our Credit Facilities for the six months ended June 30, 2024 was 6.08%. We had no principal debt repayments on the Notes for the six months ended June 30, 2024.</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In addition to the Term Loan Facility, our credit facilities include a five-year senior unsecured revolving facility that provides borrowings of up to $2,500 million expiring in January 2028, and a 364-day senior unsecured revolving facility that provides borrowings of up to $1,000 million expiring in December 2024. As of </w:t>
      </w:r>
      <w:r>
        <w:rPr>
          <w:rFonts w:ascii="Arial" w:cs="Arial" w:eastAsia="Arial" w:hAnsi="Arial"/>
          <w:sz w:val="16"/>
          <w:szCs w:val="16"/>
          <w:color w:val="231F20"/>
        </w:rPr>
        <w:t>June 30, 2024</w:t>
      </w:r>
      <w:r>
        <w:rPr>
          <w:rFonts w:ascii="Arial" w:cs="Arial" w:eastAsia="Arial" w:hAnsi="Arial"/>
          <w:sz w:val="16"/>
          <w:szCs w:val="16"/>
          <w:color w:val="auto"/>
        </w:rPr>
        <w:t>, there were no outstanding borrowings on either of the two revolving facilities.</w:t>
      </w:r>
    </w:p>
    <w:p>
      <w:pPr>
        <w:spacing w:after="0" w:line="205"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 xml:space="preserve">The Credit Facilities include various customary covenants that limit, among other things, the incurrence of liens securing debt, the entry into certain fundamental change transactions by GE HealthCare, and the maximum permitted leverage ratio. As of </w:t>
      </w:r>
      <w:r>
        <w:rPr>
          <w:rFonts w:ascii="Arial" w:cs="Arial" w:eastAsia="Arial" w:hAnsi="Arial"/>
          <w:sz w:val="16"/>
          <w:szCs w:val="16"/>
          <w:color w:val="231F20"/>
        </w:rPr>
        <w:t>June 30, 2024</w:t>
      </w:r>
      <w:r>
        <w:rPr>
          <w:rFonts w:ascii="Arial" w:cs="Arial" w:eastAsia="Arial" w:hAnsi="Arial"/>
          <w:sz w:val="16"/>
          <w:szCs w:val="16"/>
          <w:color w:val="auto"/>
        </w:rPr>
        <w:t>, we were in compliance with the covenant requirements, including the maximum consolidated net leverage ratio.</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debt and credit facilities, see Note 8, “Borrowings.”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connection with the Spin-Off, we accessed the capital markets and raised $10,250 million of debt by issuing $8,250 million of senior unsecured notes in November 2022, and completed a drawdown of the Term Loan Facility of $2,000 million in January 2023. In addition, we arranged $3,500 million of revolving credit facilities to further support our liquidity needs. We plan to continue to rely on capital markets, and we expect to have access to credit facilities to fund our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July 24, 2024 are set forth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discussion of recently issued accounting standards, see Note 1, </w:t>
      </w:r>
      <w:r>
        <w:rPr>
          <w:rFonts w:ascii="Arial" w:cs="Arial" w:eastAsia="Arial" w:hAnsi="Arial"/>
          <w:sz w:val="16"/>
          <w:szCs w:val="16"/>
          <w:color w:val="231F20"/>
        </w:rPr>
        <w:t>“</w:t>
      </w:r>
      <w:r>
        <w:rPr>
          <w:rFonts w:ascii="Arial" w:cs="Arial" w:eastAsia="Arial" w:hAnsi="Arial"/>
          <w:sz w:val="16"/>
          <w:szCs w:val="16"/>
          <w:color w:val="auto"/>
        </w:rPr>
        <w:t>Organization and Basis of Presentation.”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Management believes that there have been no significant changes during the six months ended June 30, 2024 to the items that we disclosed as our critical accounting estimates in our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are exposed to market risk primarily from changes in interest rates, foreign currency exchange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June 30, 2024,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During the quarter ended June 30, 2024, the Company continued to exit from various transition service agreements with GE, primarily related to IT systems that impact financial reporting. Consequently, responsibility for execution of related internal controls transferred to the Company, including general IT controls in connection with IT environment changes. Other than those discussed in the preceding sentences, there were no changes in the Company’s internal control over financial reporting that occurred during the quarter ended June 30, 2024 that materially affected or are reasonably likely to materially affect the Company’s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statements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2023.</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sales of equity securities during the period covered by this report.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18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70">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70">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36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71">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71">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28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1180" w:right="32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58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1" w:lineRule="exact"/>
        <w:rPr>
          <w:sz w:val="20"/>
          <w:szCs w:val="20"/>
          <w:color w:val="auto"/>
        </w:rPr>
      </w:pPr>
    </w:p>
    <w:p>
      <w:pPr>
        <w:ind w:left="1180" w:hanging="727"/>
        <w:spacing w:after="0" w:line="270" w:lineRule="auto"/>
        <w:tabs>
          <w:tab w:leader="none" w:pos="118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June 30, 2024, formatted in inline XBRL (eXtensible Business Reporting Language); (1) Condensed Consolidated Statements of Income for the three and six months ended June 30, 2024 and 2023; (2) Condensed Consolidated Statements of Comprehensive Income (Loss) for the three and six months ended June 30, 2024 and 2023; (3) Condensed Consolidated Statements of Financial Position as of June 30, 2024 and December 31, 2023; (4) Condensed Consolidated Statements of Changes in Equity for the three and six months ended June 30, 2024 and 2023; (5) Condensed Consolidated Statements of Cash Flows for the six months ended June 30, 2024 and 2023; and (6)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 w:lineRule="exact"/>
        <w:rPr>
          <w:sz w:val="20"/>
          <w:szCs w:val="20"/>
          <w:color w:val="auto"/>
        </w:rPr>
      </w:pPr>
    </w:p>
    <w:p>
      <w:pPr>
        <w:ind w:left="1180" w:hanging="727"/>
        <w:spacing w:after="0"/>
        <w:tabs>
          <w:tab w:leader="none" w:pos="11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-661670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GE HealthCare Technologies Inc.</w:t>
            </w:r>
          </w:p>
        </w:tc>
      </w:tr>
      <w:tr>
        <w:trPr>
          <w:trHeight w:val="29"/>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5"/>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513"/>
        </w:trPr>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rPr>
              <w:t>July 31, 2024</w:t>
            </w:r>
          </w:p>
        </w:tc>
        <w:tc>
          <w:tcPr>
            <w:tcW w:w="7700" w:type="dxa"/>
            <w:vAlign w:val="bottom"/>
          </w:tcPr>
          <w:p>
            <w:pPr>
              <w:ind w:left="20"/>
              <w:spacing w:after="0"/>
              <w:rPr>
                <w:sz w:val="20"/>
                <w:szCs w:val="20"/>
                <w:color w:val="auto"/>
              </w:rPr>
            </w:pPr>
            <w:r>
              <w:rPr>
                <w:rFonts w:ascii="Arial" w:cs="Arial" w:eastAsia="Arial" w:hAnsi="Arial"/>
                <w:sz w:val="16"/>
                <w:szCs w:val="16"/>
                <w:color w:val="auto"/>
              </w:rPr>
              <w:t>/s/ George A. Newcomb</w:t>
            </w:r>
          </w:p>
        </w:tc>
      </w:tr>
      <w:tr>
        <w:trPr>
          <w:trHeight w:val="29"/>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21"/>
        </w:trPr>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Date</w:t>
            </w:r>
          </w:p>
        </w:tc>
        <w:tc>
          <w:tcPr>
            <w:tcW w:w="7700" w:type="dxa"/>
            <w:vAlign w:val="bottom"/>
          </w:tcPr>
          <w:p>
            <w:pPr>
              <w:ind w:left="20"/>
              <w:spacing w:after="0"/>
              <w:rPr>
                <w:sz w:val="20"/>
                <w:szCs w:val="20"/>
                <w:color w:val="auto"/>
              </w:rPr>
            </w:pPr>
            <w:r>
              <w:rPr>
                <w:rFonts w:ascii="Arial" w:cs="Arial" w:eastAsia="Arial" w:hAnsi="Arial"/>
                <w:sz w:val="16"/>
                <w:szCs w:val="16"/>
                <w:color w:val="auto"/>
              </w:rPr>
              <w:t>George A. Newcomb, Controller &amp; Chief Accounting Officer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340"/>
          </w:cols>
          <w:pgMar w:left="320" w:top="1093" w:right="1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July 31,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June 30, 2024,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31,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01"/>
    </w:lvl>
  </w:abstractNum>
  <w:abstractNum w:abstractNumId="34">
    <w:nsid w:val="3804823E"/>
    <w:multiLevelType w:val="hybridMultilevel"/>
    <w:lvl w:ilvl="0">
      <w:lvlJc w:val="left"/>
      <w:lvlText w:val="%1"/>
      <w:numFmt w:val="decimal"/>
      <w:start w:val="10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70" Type="http://schemas.openxmlformats.org/officeDocument/2006/relationships/hyperlink" Target="https://www.sec.gov/Archives/edgar/data/1932393/000119312522314166/d439598dex31.htm" TargetMode="External"/><Relationship Id="rId71" Type="http://schemas.openxmlformats.org/officeDocument/2006/relationships/hyperlink" Target="https://www.sec.gov/Archives/edgar/data/1932393/000119312522314166/d4395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2024-07-31T05:53:15Z</dcterms:created>
  <dcterms:modified xsi:type="dcterms:W3CDTF">2024-07-31T05:53:15Z</dcterms:modified>
</cp:coreProperties>
</file>