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6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31" w:lineRule="exact"/>
        <w:rPr>
          <w:sz w:val="24"/>
          <w:szCs w:val="24"/>
          <w:color w:val="auto"/>
        </w:rPr>
      </w:pPr>
    </w:p>
    <w:p>
      <w:pPr>
        <w:jc w:val="center"/>
        <w:ind w:left="3680" w:right="1360" w:hanging="2307"/>
        <w:spacing w:after="0" w:line="280" w:lineRule="auto"/>
        <w:tabs>
          <w:tab w:leader="none" w:pos="157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2026</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jc w:val="center"/>
        <w:ind w:left="3980" w:right="1360" w:hanging="2605"/>
        <w:spacing w:after="0" w:line="325" w:lineRule="auto"/>
        <w:tabs>
          <w:tab w:leader="none" w:pos="156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 to ____</w:t>
      </w:r>
    </w:p>
    <w:p>
      <w:pPr>
        <w:spacing w:after="0" w:line="1" w:lineRule="exact"/>
        <w:rPr>
          <w:rFonts w:ascii="MS PGothic" w:cs="MS PGothic" w:eastAsia="MS PGothic" w:hAnsi="MS PGothic"/>
          <w:sz w:val="16"/>
          <w:szCs w:val="16"/>
          <w:color w:val="auto"/>
          <w:highlight w:val="black"/>
        </w:rPr>
      </w:pPr>
    </w:p>
    <w:p>
      <w:pPr>
        <w:ind w:left="426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001-41528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12065</wp:posOffset>
            </wp:positionV>
            <wp:extent cx="21431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 HEALTHCARE TECHNOLOGIES INC.</w:t>
      </w: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94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9"/>
              </w:rPr>
              <w:t>Delaware</w:t>
            </w:r>
          </w:p>
        </w:tc>
        <w:tc>
          <w:tcPr>
            <w:tcW w:w="5300" w:type="dxa"/>
            <w:vAlign w:val="bottom"/>
          </w:tcPr>
          <w:p>
            <w:pPr>
              <w:jc w:val="right"/>
              <w:ind w:right="2139"/>
              <w:spacing w:after="0"/>
              <w:rPr>
                <w:sz w:val="20"/>
                <w:szCs w:val="20"/>
                <w:color w:val="auto"/>
              </w:rPr>
            </w:pPr>
            <w:r>
              <w:rPr>
                <w:rFonts w:ascii="Arial" w:cs="Arial" w:eastAsia="Arial" w:hAnsi="Arial"/>
                <w:sz w:val="16"/>
                <w:szCs w:val="16"/>
                <w:b w:val="1"/>
                <w:bCs w:val="1"/>
                <w:color w:val="auto"/>
              </w:rPr>
              <w:t>88-2515116</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tc>
        <w:tc>
          <w:tcPr>
            <w:tcW w:w="530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67"/>
        </w:trPr>
        <w:tc>
          <w:tcPr>
            <w:tcW w:w="59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500 W. Monroe Street, Chicago, IL</w:t>
            </w:r>
          </w:p>
        </w:tc>
        <w:tc>
          <w:tcPr>
            <w:tcW w:w="5300" w:type="dxa"/>
            <w:vAlign w:val="bottom"/>
          </w:tcPr>
          <w:p>
            <w:pPr>
              <w:jc w:val="right"/>
              <w:ind w:right="2339"/>
              <w:spacing w:after="0"/>
              <w:rPr>
                <w:sz w:val="20"/>
                <w:szCs w:val="20"/>
                <w:color w:val="auto"/>
              </w:rPr>
            </w:pPr>
            <w:r>
              <w:rPr>
                <w:rFonts w:ascii="Arial" w:cs="Arial" w:eastAsia="Arial" w:hAnsi="Arial"/>
                <w:sz w:val="16"/>
                <w:szCs w:val="16"/>
                <w:b w:val="1"/>
                <w:bCs w:val="1"/>
                <w:color w:val="auto"/>
              </w:rPr>
              <w:t>60661</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(Address of principal executive offices)</w:t>
            </w:r>
          </w:p>
        </w:tc>
        <w:tc>
          <w:tcPr>
            <w:tcW w:w="530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(833) 735-1139</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10" w:type="dxa"/>
        <w:tblCellMar>
          <w:top w:w="0" w:type="dxa"/>
          <w:left w:w="0" w:type="dxa"/>
          <w:bottom w:w="0" w:type="dxa"/>
          <w:right w:w="0" w:type="dxa"/>
        </w:tblCellMar>
      </w:tblPr>
      <w:tr>
        <w:trPr>
          <w:trHeight w:val="221"/>
        </w:trPr>
        <w:tc>
          <w:tcPr>
            <w:tcW w:w="42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Title of each class</w:t>
            </w:r>
          </w:p>
        </w:tc>
        <w:tc>
          <w:tcPr>
            <w:tcW w:w="27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Trading Symbol(s)</w:t>
            </w:r>
          </w:p>
        </w:tc>
        <w:tc>
          <w:tcPr>
            <w:tcW w:w="4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2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760" w:type="dxa"/>
            <w:vAlign w:val="bottom"/>
            <w:tcBorders>
              <w:bottom w:val="single" w:sz="8" w:color="00000A"/>
              <w:right w:val="single" w:sz="8" w:color="00000A"/>
            </w:tcBorders>
          </w:tcPr>
          <w:p>
            <w:pPr>
              <w:spacing w:after="0" w:line="20" w:lineRule="exact"/>
              <w:rPr>
                <w:sz w:val="1"/>
                <w:szCs w:val="1"/>
                <w:color w:val="auto"/>
              </w:rPr>
            </w:pPr>
          </w:p>
        </w:tc>
        <w:tc>
          <w:tcPr>
            <w:tcW w:w="4240" w:type="dxa"/>
            <w:vAlign w:val="bottom"/>
            <w:tcBorders>
              <w:bottom w:val="single" w:sz="8" w:color="00000A"/>
              <w:right w:val="single" w:sz="8" w:color="00000A"/>
            </w:tcBorders>
          </w:tcPr>
          <w:p>
            <w:pPr>
              <w:spacing w:after="0" w:line="20" w:lineRule="exact"/>
              <w:rPr>
                <w:sz w:val="1"/>
                <w:szCs w:val="1"/>
                <w:color w:val="auto"/>
              </w:rPr>
            </w:pPr>
          </w:p>
        </w:tc>
      </w:tr>
      <w:tr>
        <w:trPr>
          <w:trHeight w:val="201"/>
        </w:trPr>
        <w:tc>
          <w:tcPr>
            <w:tcW w:w="42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7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GEHC</w:t>
            </w:r>
          </w:p>
        </w:tc>
        <w:tc>
          <w:tcPr>
            <w:tcW w:w="4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22"/>
        </w:trPr>
        <w:tc>
          <w:tcPr>
            <w:tcW w:w="42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760" w:type="dxa"/>
            <w:vAlign w:val="bottom"/>
            <w:tcBorders>
              <w:bottom w:val="single" w:sz="8" w:color="00000A"/>
              <w:right w:val="single" w:sz="8" w:color="00000A"/>
            </w:tcBorders>
          </w:tcPr>
          <w:p>
            <w:pPr>
              <w:spacing w:after="0" w:line="20" w:lineRule="exact"/>
              <w:rPr>
                <w:sz w:val="1"/>
                <w:szCs w:val="1"/>
                <w:color w:val="auto"/>
              </w:rPr>
            </w:pPr>
          </w:p>
        </w:tc>
        <w:tc>
          <w:tcPr>
            <w:tcW w:w="4240" w:type="dxa"/>
            <w:vAlign w:val="bottom"/>
            <w:tcBorders>
              <w:bottom w:val="single" w:sz="8" w:color="00000A"/>
              <w:right w:val="single" w:sz="8" w:color="00000A"/>
            </w:tcBorders>
          </w:tcPr>
          <w:p>
            <w:pPr>
              <w:spacing w:after="0" w:line="20" w:lineRule="exact"/>
              <w:rPr>
                <w:sz w:val="1"/>
                <w:szCs w:val="1"/>
                <w:color w:val="auto"/>
              </w:rPr>
            </w:pPr>
          </w:p>
        </w:tc>
      </w:tr>
    </w:tbl>
    <w:p>
      <w:pPr>
        <w:spacing w:after="0" w:line="323" w:lineRule="exact"/>
        <w:rPr>
          <w:sz w:val="24"/>
          <w:szCs w:val="24"/>
          <w:color w:val="auto"/>
        </w:rPr>
      </w:pPr>
    </w:p>
    <w:p>
      <w:pPr>
        <w:jc w:val="both"/>
        <w:ind w:right="4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w:t>
      </w:r>
    </w:p>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4" w:lineRule="exact"/>
        <w:rPr>
          <w:sz w:val="24"/>
          <w:szCs w:val="24"/>
          <w:color w:val="auto"/>
        </w:rPr>
      </w:pPr>
    </w:p>
    <w:p>
      <w:pPr>
        <w:ind w:right="2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1680" w:type="dxa"/>
        <w:tblCellMar>
          <w:top w:w="0" w:type="dxa"/>
          <w:left w:w="0" w:type="dxa"/>
          <w:bottom w:w="0" w:type="dxa"/>
          <w:right w:w="0" w:type="dxa"/>
        </w:tblCellMar>
      </w:tblPr>
      <w:tr>
        <w:trPr>
          <w:trHeight w:val="257"/>
        </w:trPr>
        <w:tc>
          <w:tcPr>
            <w:tcW w:w="2760" w:type="dxa"/>
            <w:vAlign w:val="bottom"/>
          </w:tcPr>
          <w:p>
            <w:pPr>
              <w:jc w:val="center"/>
              <w:ind w:right="759"/>
              <w:spacing w:after="0"/>
              <w:rPr>
                <w:sz w:val="20"/>
                <w:szCs w:val="20"/>
                <w:color w:val="auto"/>
              </w:rPr>
            </w:pPr>
            <w:r>
              <w:rPr>
                <w:rFonts w:ascii="Arial" w:cs="Arial" w:eastAsia="Arial" w:hAnsi="Arial"/>
                <w:sz w:val="16"/>
                <w:szCs w:val="16"/>
                <w:color w:val="auto"/>
              </w:rPr>
              <w:t>Large accelerated filer</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760" w:type="dxa"/>
            <w:vAlign w:val="bottom"/>
          </w:tcPr>
          <w:p>
            <w:pPr>
              <w:jc w:val="center"/>
              <w:ind w:right="779"/>
              <w:spacing w:after="0"/>
              <w:rPr>
                <w:sz w:val="20"/>
                <w:szCs w:val="20"/>
                <w:color w:val="auto"/>
              </w:rPr>
            </w:pPr>
            <w:r>
              <w:rPr>
                <w:rFonts w:ascii="Arial" w:cs="Arial" w:eastAsia="Arial" w:hAnsi="Arial"/>
                <w:sz w:val="16"/>
                <w:szCs w:val="16"/>
                <w:color w:val="auto"/>
              </w:rPr>
              <w:t>Non-accelerated filer</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jc w:val="center"/>
              <w:ind w:left="19"/>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60" w:type="dxa"/>
            <w:vAlign w:val="bottom"/>
          </w:tcPr>
          <w:p>
            <w:pPr>
              <w:jc w:val="center"/>
              <w:ind w:right="759"/>
              <w:spacing w:after="0"/>
              <w:rPr>
                <w:sz w:val="20"/>
                <w:szCs w:val="20"/>
                <w:color w:val="auto"/>
              </w:rPr>
            </w:pPr>
            <w:r>
              <w:rPr>
                <w:rFonts w:ascii="Arial" w:cs="Arial" w:eastAsia="Arial" w:hAnsi="Arial"/>
                <w:sz w:val="16"/>
                <w:szCs w:val="16"/>
                <w:color w:val="auto"/>
              </w:rPr>
              <w:t>Emerging growth company</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87"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right="220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452,137,831 shares of common stock with a par value of $0.01 per share outstanding as of October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701040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1060" w:type="dxa"/>
            <w:vAlign w:val="bottom"/>
          </w:tcPr>
          <w:p>
            <w:pPr>
              <w:spacing w:after="0"/>
              <w:rPr>
                <w:sz w:val="19"/>
                <w:szCs w:val="19"/>
                <w:color w:val="auto"/>
              </w:rPr>
            </w:pPr>
          </w:p>
        </w:tc>
        <w:tc>
          <w:tcPr>
            <w:tcW w:w="8540" w:type="dxa"/>
            <w:vAlign w:val="bottom"/>
          </w:tcPr>
          <w:p>
            <w:pPr>
              <w:ind w:left="3880"/>
              <w:spacing w:after="0"/>
              <w:rPr>
                <w:sz w:val="20"/>
                <w:szCs w:val="20"/>
                <w:color w:val="auto"/>
              </w:rPr>
            </w:pPr>
            <w:r>
              <w:rPr>
                <w:rFonts w:ascii="Arial" w:cs="Arial" w:eastAsia="Arial" w:hAnsi="Arial"/>
                <w:sz w:val="16"/>
                <w:szCs w:val="16"/>
                <w:b w:val="1"/>
                <w:bCs w:val="1"/>
                <w:color w:val="auto"/>
              </w:rPr>
              <w:t>Table of Contents</w:t>
            </w:r>
          </w:p>
        </w:tc>
        <w:tc>
          <w:tcPr>
            <w:tcW w:w="1640" w:type="dxa"/>
            <w:vAlign w:val="bottom"/>
          </w:tcPr>
          <w:p>
            <w:pPr>
              <w:spacing w:after="0"/>
              <w:rPr>
                <w:sz w:val="19"/>
                <w:szCs w:val="19"/>
                <w:color w:val="auto"/>
              </w:rPr>
            </w:pPr>
          </w:p>
        </w:tc>
      </w:tr>
      <w:tr>
        <w:trPr>
          <w:trHeight w:val="256"/>
        </w:trPr>
        <w:tc>
          <w:tcPr>
            <w:tcW w:w="1060" w:type="dxa"/>
            <w:vAlign w:val="bottom"/>
          </w:tcPr>
          <w:p>
            <w:pPr>
              <w:spacing w:after="0"/>
              <w:rPr>
                <w:sz w:val="22"/>
                <w:szCs w:val="22"/>
                <w:color w:val="auto"/>
              </w:rPr>
            </w:pPr>
          </w:p>
        </w:tc>
        <w:tc>
          <w:tcPr>
            <w:tcW w:w="85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473"/>
        </w:trPr>
        <w:tc>
          <w:tcPr>
            <w:tcW w:w="96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Forward-Looking Statements</w:t>
            </w:r>
          </w:p>
        </w:tc>
        <w:tc>
          <w:tcPr>
            <w:tcW w:w="16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7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8540" w:type="dxa"/>
            <w:vAlign w:val="bottom"/>
          </w:tcPr>
          <w:p>
            <w:pPr>
              <w:ind w:left="200"/>
              <w:spacing w:after="0"/>
              <w:rPr>
                <w:sz w:val="20"/>
                <w:szCs w:val="20"/>
                <w:color w:val="auto"/>
              </w:rPr>
            </w:pPr>
            <w:r>
              <w:rPr>
                <w:rFonts w:ascii="Arial" w:cs="Arial" w:eastAsia="Arial" w:hAnsi="Arial"/>
                <w:sz w:val="16"/>
                <w:szCs w:val="16"/>
                <w:b w:val="1"/>
                <w:bCs w:val="1"/>
                <w:color w:val="auto"/>
              </w:rPr>
              <w:t>Financial Information</w:t>
            </w:r>
          </w:p>
        </w:tc>
        <w:tc>
          <w:tcPr>
            <w:tcW w:w="1640" w:type="dxa"/>
            <w:vAlign w:val="bottom"/>
          </w:tcPr>
          <w:p>
            <w:pPr>
              <w:spacing w:after="0"/>
              <w:rPr>
                <w:sz w:val="24"/>
                <w:szCs w:val="24"/>
                <w:color w:val="auto"/>
              </w:rPr>
            </w:pPr>
          </w:p>
        </w:tc>
      </w:tr>
      <w:tr>
        <w:trPr>
          <w:trHeight w:val="21"/>
        </w:trPr>
        <w:tc>
          <w:tcPr>
            <w:tcW w:w="1060" w:type="dxa"/>
            <w:vAlign w:val="bottom"/>
            <w:tcBorders>
              <w:bottom w:val="single" w:sz="8" w:color="6022A6"/>
            </w:tcBorders>
          </w:tcPr>
          <w:p>
            <w:pPr>
              <w:spacing w:after="0" w:line="20" w:lineRule="exact"/>
              <w:rPr>
                <w:sz w:val="1"/>
                <w:szCs w:val="1"/>
                <w:color w:val="auto"/>
              </w:rPr>
            </w:pPr>
          </w:p>
        </w:tc>
        <w:tc>
          <w:tcPr>
            <w:tcW w:w="854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r>
      <w:tr>
        <w:trPr>
          <w:trHeight w:val="229"/>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1.</w:t>
            </w:r>
          </w:p>
        </w:tc>
        <w:tc>
          <w:tcPr>
            <w:tcW w:w="8540" w:type="dxa"/>
            <w:vAlign w:val="bottom"/>
          </w:tcPr>
          <w:p>
            <w:pPr>
              <w:ind w:left="200"/>
              <w:spacing w:after="0"/>
              <w:rPr>
                <w:sz w:val="20"/>
                <w:szCs w:val="20"/>
                <w:color w:val="auto"/>
              </w:rPr>
            </w:pPr>
            <w:r>
              <w:rPr>
                <w:rFonts w:ascii="Arial" w:cs="Arial" w:eastAsia="Arial" w:hAnsi="Arial"/>
                <w:sz w:val="16"/>
                <w:szCs w:val="16"/>
                <w:color w:val="auto"/>
              </w:rPr>
              <w:t>Financial Statements (Unaudited)</w:t>
            </w:r>
          </w:p>
        </w:tc>
        <w:tc>
          <w:tcPr>
            <w:tcW w:w="1640" w:type="dxa"/>
            <w:vAlign w:val="bottom"/>
          </w:tcPr>
          <w:p>
            <w:pPr>
              <w:spacing w:after="0"/>
              <w:rPr>
                <w:sz w:val="19"/>
                <w:szCs w:val="19"/>
                <w:color w:val="auto"/>
              </w:rPr>
            </w:pPr>
          </w:p>
        </w:tc>
      </w:tr>
      <w:tr>
        <w:trPr>
          <w:trHeight w:val="248"/>
        </w:trPr>
        <w:tc>
          <w:tcPr>
            <w:tcW w:w="1060" w:type="dxa"/>
            <w:vAlign w:val="bottom"/>
          </w:tcPr>
          <w:p>
            <w:pPr>
              <w:spacing w:after="0"/>
              <w:rPr>
                <w:sz w:val="21"/>
                <w:szCs w:val="21"/>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Condensed Consolidated Statements of Income</w:t>
            </w:r>
          </w:p>
        </w:tc>
        <w:tc>
          <w:tcPr>
            <w:tcW w:w="16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Condensed Consolidated Statements of Comprehensive Income (Loss)</w:t>
            </w:r>
          </w:p>
        </w:tc>
        <w:tc>
          <w:tcPr>
            <w:tcW w:w="16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Condensed Consolidated Statements of Financial Position</w:t>
            </w:r>
          </w:p>
        </w:tc>
        <w:tc>
          <w:tcPr>
            <w:tcW w:w="16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56"/>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Condensed Consolidated Statements of Changes in Equity</w:t>
            </w:r>
          </w:p>
        </w:tc>
        <w:tc>
          <w:tcPr>
            <w:tcW w:w="16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Condensed Consolidated Statements of Cash Flows</w:t>
            </w:r>
          </w:p>
        </w:tc>
        <w:tc>
          <w:tcPr>
            <w:tcW w:w="16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Notes to the Condensed Consolidated Financial Statements (Unaudited)</w:t>
            </w:r>
          </w:p>
        </w:tc>
        <w:tc>
          <w:tcPr>
            <w:tcW w:w="16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 Organization and Basis of Presentation</w:t>
            </w:r>
          </w:p>
        </w:tc>
        <w:tc>
          <w:tcPr>
            <w:tcW w:w="16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2. Revenue Recognition</w:t>
            </w:r>
          </w:p>
        </w:tc>
        <w:tc>
          <w:tcPr>
            <w:tcW w:w="16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3. Segment Information</w:t>
            </w:r>
          </w:p>
        </w:tc>
        <w:tc>
          <w:tcPr>
            <w:tcW w:w="16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4. Receivables</w:t>
            </w:r>
          </w:p>
        </w:tc>
        <w:tc>
          <w:tcPr>
            <w:tcW w:w="16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5. Financing Receivables</w:t>
            </w:r>
          </w:p>
        </w:tc>
        <w:tc>
          <w:tcPr>
            <w:tcW w:w="16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6. Operating Leases</w:t>
            </w:r>
          </w:p>
        </w:tc>
        <w:tc>
          <w:tcPr>
            <w:tcW w:w="16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7. Acquisitions, Goodwill, and Other Intangible Assets</w:t>
            </w:r>
          </w:p>
        </w:tc>
        <w:tc>
          <w:tcPr>
            <w:tcW w:w="16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8. Borrowings</w:t>
            </w:r>
          </w:p>
        </w:tc>
        <w:tc>
          <w:tcPr>
            <w:tcW w:w="16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9. Postretirement Benefit Plans</w:t>
            </w:r>
          </w:p>
        </w:tc>
        <w:tc>
          <w:tcPr>
            <w:tcW w:w="16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10. Income Taxes</w:t>
            </w:r>
          </w:p>
        </w:tc>
        <w:tc>
          <w:tcPr>
            <w:tcW w:w="16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11. Stockholders' Equity</w:t>
            </w:r>
          </w:p>
        </w:tc>
        <w:tc>
          <w:tcPr>
            <w:tcW w:w="16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12. Financial Instruments and Fair Value Measurements</w:t>
            </w:r>
          </w:p>
        </w:tc>
        <w:tc>
          <w:tcPr>
            <w:tcW w:w="16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13. Commitments, Guarantees, Product Warranties, and Other Loss Contingencies</w:t>
            </w:r>
          </w:p>
        </w:tc>
        <w:tc>
          <w:tcPr>
            <w:tcW w:w="16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14. Restructuring Activities</w:t>
            </w:r>
          </w:p>
        </w:tc>
        <w:tc>
          <w:tcPr>
            <w:tcW w:w="16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15. Earnings Per Share</w:t>
            </w:r>
          </w:p>
        </w:tc>
        <w:tc>
          <w:tcPr>
            <w:tcW w:w="16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16. Supplemental Financial Information</w:t>
            </w:r>
          </w:p>
        </w:tc>
        <w:tc>
          <w:tcPr>
            <w:tcW w:w="16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17. Subsequent Events</w:t>
            </w:r>
          </w:p>
        </w:tc>
        <w:tc>
          <w:tcPr>
            <w:tcW w:w="16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65"/>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2.</w:t>
            </w:r>
          </w:p>
        </w:tc>
        <w:tc>
          <w:tcPr>
            <w:tcW w:w="8540" w:type="dxa"/>
            <w:vAlign w:val="bottom"/>
          </w:tcPr>
          <w:p>
            <w:pPr>
              <w:ind w:left="200"/>
              <w:spacing w:after="0"/>
              <w:rPr>
                <w:sz w:val="20"/>
                <w:szCs w:val="20"/>
                <w:color w:val="auto"/>
              </w:rPr>
            </w:pPr>
            <w:r>
              <w:rPr>
                <w:rFonts w:ascii="Arial" w:cs="Arial" w:eastAsia="Arial" w:hAnsi="Arial"/>
                <w:sz w:val="16"/>
                <w:szCs w:val="16"/>
                <w:color w:val="auto"/>
              </w:rPr>
              <w:t>Management’s Discussion and Analysis of Financial Condition and Results of Operations (“MD&amp;A”)</w:t>
            </w:r>
          </w:p>
        </w:tc>
        <w:tc>
          <w:tcPr>
            <w:tcW w:w="16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49"/>
        </w:trPr>
        <w:tc>
          <w:tcPr>
            <w:tcW w:w="1060" w:type="dxa"/>
            <w:vAlign w:val="bottom"/>
          </w:tcPr>
          <w:p>
            <w:pPr>
              <w:spacing w:after="0"/>
              <w:rPr>
                <w:sz w:val="21"/>
                <w:szCs w:val="21"/>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Trends and Factors Impacting Our Performance</w:t>
            </w:r>
          </w:p>
        </w:tc>
        <w:tc>
          <w:tcPr>
            <w:tcW w:w="16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56"/>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Summary of Key Performance Measures</w:t>
            </w:r>
          </w:p>
        </w:tc>
        <w:tc>
          <w:tcPr>
            <w:tcW w:w="16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Results of Operations</w:t>
            </w:r>
          </w:p>
        </w:tc>
        <w:tc>
          <w:tcPr>
            <w:tcW w:w="16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56"/>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Results of Operations – Segments</w:t>
            </w:r>
          </w:p>
        </w:tc>
        <w:tc>
          <w:tcPr>
            <w:tcW w:w="16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Non-GAAP Financial Measures</w:t>
            </w:r>
          </w:p>
        </w:tc>
        <w:tc>
          <w:tcPr>
            <w:tcW w:w="16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56"/>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Liquidity and Capital Resources</w:t>
            </w:r>
          </w:p>
        </w:tc>
        <w:tc>
          <w:tcPr>
            <w:tcW w:w="16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Recently Issued Accounting Pronouncements</w:t>
            </w:r>
          </w:p>
        </w:tc>
        <w:tc>
          <w:tcPr>
            <w:tcW w:w="16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56"/>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Critical Accounting Estimates</w:t>
            </w:r>
          </w:p>
        </w:tc>
        <w:tc>
          <w:tcPr>
            <w:tcW w:w="16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65"/>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3.</w:t>
            </w:r>
          </w:p>
        </w:tc>
        <w:tc>
          <w:tcPr>
            <w:tcW w:w="8540" w:type="dxa"/>
            <w:vAlign w:val="bottom"/>
          </w:tcPr>
          <w:p>
            <w:pPr>
              <w:ind w:left="200"/>
              <w:spacing w:after="0"/>
              <w:rPr>
                <w:sz w:val="20"/>
                <w:szCs w:val="20"/>
                <w:color w:val="auto"/>
              </w:rPr>
            </w:pPr>
            <w:r>
              <w:rPr>
                <w:rFonts w:ascii="Arial" w:cs="Arial" w:eastAsia="Arial" w:hAnsi="Arial"/>
                <w:sz w:val="16"/>
                <w:szCs w:val="16"/>
                <w:color w:val="auto"/>
              </w:rPr>
              <w:t>Quantitative and Qualitative Disclosures about Market Risk</w:t>
            </w:r>
          </w:p>
        </w:tc>
        <w:tc>
          <w:tcPr>
            <w:tcW w:w="16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56"/>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4.</w:t>
            </w:r>
          </w:p>
        </w:tc>
        <w:tc>
          <w:tcPr>
            <w:tcW w:w="8540" w:type="dxa"/>
            <w:vAlign w:val="bottom"/>
          </w:tcPr>
          <w:p>
            <w:pPr>
              <w:ind w:left="200"/>
              <w:spacing w:after="0"/>
              <w:rPr>
                <w:sz w:val="20"/>
                <w:szCs w:val="20"/>
                <w:color w:val="auto"/>
              </w:rPr>
            </w:pPr>
            <w:r>
              <w:rPr>
                <w:rFonts w:ascii="Arial" w:cs="Arial" w:eastAsia="Arial" w:hAnsi="Arial"/>
                <w:sz w:val="16"/>
                <w:szCs w:val="16"/>
                <w:color w:val="auto"/>
              </w:rPr>
              <w:t>Controls and Procedures</w:t>
            </w:r>
          </w:p>
        </w:tc>
        <w:tc>
          <w:tcPr>
            <w:tcW w:w="16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65"/>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8540" w:type="dxa"/>
            <w:vAlign w:val="bottom"/>
          </w:tcPr>
          <w:p>
            <w:pPr>
              <w:ind w:left="200"/>
              <w:spacing w:after="0"/>
              <w:rPr>
                <w:sz w:val="20"/>
                <w:szCs w:val="20"/>
                <w:color w:val="auto"/>
              </w:rPr>
            </w:pPr>
            <w:r>
              <w:rPr>
                <w:rFonts w:ascii="Arial" w:cs="Arial" w:eastAsia="Arial" w:hAnsi="Arial"/>
                <w:sz w:val="16"/>
                <w:szCs w:val="16"/>
                <w:b w:val="1"/>
                <w:bCs w:val="1"/>
                <w:color w:val="auto"/>
              </w:rPr>
              <w:t>Other Information</w:t>
            </w:r>
          </w:p>
        </w:tc>
        <w:tc>
          <w:tcPr>
            <w:tcW w:w="1640" w:type="dxa"/>
            <w:vAlign w:val="bottom"/>
          </w:tcPr>
          <w:p>
            <w:pPr>
              <w:spacing w:after="0"/>
              <w:rPr>
                <w:sz w:val="24"/>
                <w:szCs w:val="24"/>
                <w:color w:val="auto"/>
              </w:rPr>
            </w:pPr>
          </w:p>
        </w:tc>
      </w:tr>
      <w:tr>
        <w:trPr>
          <w:trHeight w:val="21"/>
        </w:trPr>
        <w:tc>
          <w:tcPr>
            <w:tcW w:w="1060" w:type="dxa"/>
            <w:vAlign w:val="bottom"/>
            <w:tcBorders>
              <w:bottom w:val="single" w:sz="8" w:color="6022A6"/>
            </w:tcBorders>
          </w:tcPr>
          <w:p>
            <w:pPr>
              <w:spacing w:after="0" w:line="20" w:lineRule="exact"/>
              <w:rPr>
                <w:sz w:val="1"/>
                <w:szCs w:val="1"/>
                <w:color w:val="auto"/>
              </w:rPr>
            </w:pPr>
          </w:p>
        </w:tc>
        <w:tc>
          <w:tcPr>
            <w:tcW w:w="854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r>
      <w:tr>
        <w:trPr>
          <w:trHeight w:val="229"/>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1.</w:t>
            </w:r>
          </w:p>
        </w:tc>
        <w:tc>
          <w:tcPr>
            <w:tcW w:w="8540" w:type="dxa"/>
            <w:vAlign w:val="bottom"/>
          </w:tcPr>
          <w:p>
            <w:pPr>
              <w:ind w:left="200"/>
              <w:spacing w:after="0"/>
              <w:rPr>
                <w:sz w:val="20"/>
                <w:szCs w:val="20"/>
                <w:color w:val="auto"/>
              </w:rPr>
            </w:pPr>
            <w:r>
              <w:rPr>
                <w:rFonts w:ascii="Arial" w:cs="Arial" w:eastAsia="Arial" w:hAnsi="Arial"/>
                <w:sz w:val="16"/>
                <w:szCs w:val="16"/>
                <w:color w:val="auto"/>
              </w:rPr>
              <w:t>Legal Proceedings</w:t>
            </w:r>
          </w:p>
        </w:tc>
        <w:tc>
          <w:tcPr>
            <w:tcW w:w="16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56"/>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1A.</w:t>
            </w:r>
          </w:p>
        </w:tc>
        <w:tc>
          <w:tcPr>
            <w:tcW w:w="8540" w:type="dxa"/>
            <w:vAlign w:val="bottom"/>
          </w:tcPr>
          <w:p>
            <w:pPr>
              <w:ind w:left="200"/>
              <w:spacing w:after="0"/>
              <w:rPr>
                <w:sz w:val="20"/>
                <w:szCs w:val="20"/>
                <w:color w:val="auto"/>
              </w:rPr>
            </w:pPr>
            <w:r>
              <w:rPr>
                <w:rFonts w:ascii="Arial" w:cs="Arial" w:eastAsia="Arial" w:hAnsi="Arial"/>
                <w:sz w:val="16"/>
                <w:szCs w:val="16"/>
                <w:color w:val="auto"/>
              </w:rPr>
              <w:t>Risk Factors</w:t>
            </w:r>
          </w:p>
        </w:tc>
        <w:tc>
          <w:tcPr>
            <w:tcW w:w="16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2.</w:t>
            </w:r>
          </w:p>
        </w:tc>
        <w:tc>
          <w:tcPr>
            <w:tcW w:w="8540" w:type="dxa"/>
            <w:vAlign w:val="bottom"/>
          </w:tcPr>
          <w:p>
            <w:pPr>
              <w:ind w:left="200"/>
              <w:spacing w:after="0"/>
              <w:rPr>
                <w:sz w:val="20"/>
                <w:szCs w:val="20"/>
                <w:color w:val="auto"/>
              </w:rPr>
            </w:pPr>
            <w:r>
              <w:rPr>
                <w:rFonts w:ascii="Arial" w:cs="Arial" w:eastAsia="Arial" w:hAnsi="Arial"/>
                <w:sz w:val="16"/>
                <w:szCs w:val="16"/>
                <w:color w:val="auto"/>
              </w:rPr>
              <w:t>Unregistered Sales of Equity Securities and Use of Proceeds</w:t>
            </w:r>
          </w:p>
        </w:tc>
        <w:tc>
          <w:tcPr>
            <w:tcW w:w="16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3.</w:t>
            </w:r>
          </w:p>
        </w:tc>
        <w:tc>
          <w:tcPr>
            <w:tcW w:w="8540" w:type="dxa"/>
            <w:vAlign w:val="bottom"/>
          </w:tcPr>
          <w:p>
            <w:pPr>
              <w:ind w:left="200"/>
              <w:spacing w:after="0"/>
              <w:rPr>
                <w:sz w:val="20"/>
                <w:szCs w:val="20"/>
                <w:color w:val="auto"/>
              </w:rPr>
            </w:pPr>
            <w:r>
              <w:rPr>
                <w:rFonts w:ascii="Arial" w:cs="Arial" w:eastAsia="Arial" w:hAnsi="Arial"/>
                <w:sz w:val="16"/>
                <w:szCs w:val="16"/>
                <w:color w:val="auto"/>
              </w:rPr>
              <w:t>Defaults Upon Senior Securities</w:t>
            </w:r>
          </w:p>
        </w:tc>
        <w:tc>
          <w:tcPr>
            <w:tcW w:w="16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4.</w:t>
            </w:r>
          </w:p>
        </w:tc>
        <w:tc>
          <w:tcPr>
            <w:tcW w:w="8540" w:type="dxa"/>
            <w:vAlign w:val="bottom"/>
          </w:tcPr>
          <w:p>
            <w:pPr>
              <w:ind w:left="200"/>
              <w:spacing w:after="0"/>
              <w:rPr>
                <w:sz w:val="20"/>
                <w:szCs w:val="20"/>
                <w:color w:val="auto"/>
              </w:rPr>
            </w:pPr>
            <w:r>
              <w:rPr>
                <w:rFonts w:ascii="Arial" w:cs="Arial" w:eastAsia="Arial" w:hAnsi="Arial"/>
                <w:sz w:val="16"/>
                <w:szCs w:val="16"/>
                <w:color w:val="auto"/>
              </w:rPr>
              <w:t>Mine Safety Disclosures</w:t>
            </w:r>
          </w:p>
        </w:tc>
        <w:tc>
          <w:tcPr>
            <w:tcW w:w="16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5.</w:t>
            </w:r>
          </w:p>
        </w:tc>
        <w:tc>
          <w:tcPr>
            <w:tcW w:w="8540" w:type="dxa"/>
            <w:vAlign w:val="bottom"/>
          </w:tcPr>
          <w:p>
            <w:pPr>
              <w:ind w:left="200"/>
              <w:spacing w:after="0"/>
              <w:rPr>
                <w:sz w:val="20"/>
                <w:szCs w:val="20"/>
                <w:color w:val="auto"/>
              </w:rPr>
            </w:pPr>
            <w:r>
              <w:rPr>
                <w:rFonts w:ascii="Arial" w:cs="Arial" w:eastAsia="Arial" w:hAnsi="Arial"/>
                <w:sz w:val="16"/>
                <w:szCs w:val="16"/>
                <w:color w:val="auto"/>
              </w:rPr>
              <w:t>Other Information</w:t>
            </w:r>
          </w:p>
        </w:tc>
        <w:tc>
          <w:tcPr>
            <w:tcW w:w="16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56"/>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6.</w:t>
            </w:r>
          </w:p>
        </w:tc>
        <w:tc>
          <w:tcPr>
            <w:tcW w:w="8540" w:type="dxa"/>
            <w:vAlign w:val="bottom"/>
          </w:tcPr>
          <w:p>
            <w:pPr>
              <w:ind w:left="200"/>
              <w:spacing w:after="0"/>
              <w:rPr>
                <w:sz w:val="20"/>
                <w:szCs w:val="20"/>
                <w:color w:val="auto"/>
              </w:rPr>
            </w:pPr>
            <w:r>
              <w:rPr>
                <w:rFonts w:ascii="Arial" w:cs="Arial" w:eastAsia="Arial" w:hAnsi="Arial"/>
                <w:sz w:val="16"/>
                <w:szCs w:val="16"/>
                <w:color w:val="auto"/>
              </w:rPr>
              <w:t>Exhibits</w:t>
            </w:r>
          </w:p>
        </w:tc>
        <w:tc>
          <w:tcPr>
            <w:tcW w:w="16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47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Signatures</w:t>
            </w:r>
          </w:p>
        </w:tc>
        <w:tc>
          <w:tcPr>
            <w:tcW w:w="85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46</w:t>
            </w:r>
          </w:p>
        </w:tc>
      </w:tr>
    </w:tbl>
    <w:p>
      <w:pPr>
        <w:spacing w:after="0" w:line="200" w:lineRule="exact"/>
        <w:rPr>
          <w:sz w:val="20"/>
          <w:szCs w:val="20"/>
          <w:color w:val="auto"/>
        </w:rPr>
      </w:pPr>
    </w:p>
    <w:p>
      <w:pPr>
        <w:sectPr>
          <w:pgSz w:w="11900" w:h="16838" w:orient="portrait"/>
          <w:cols w:equalWidth="0" w:num="1">
            <w:col w:w="11240"/>
          </w:cols>
          <w:pgMar w:left="320" w:top="1151" w:right="339" w:bottom="8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835"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This Quarterly Report on Form 10-Q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statements about our business, financial performance, financial condition, and results of operations, including revenue, revenue growth, profit, taxes, earnings per share, and cash flows; changes to our business, operating, and leadership structure and related impacts; the impacts of macroeconomic and market conditions, including the impact of tariffs and other trade restrictions, and volatility on our business, operations, financial results, and financial position and on supply chains and the world economy; our receipt of future tariff refunds and the timing and amount thereof; our cost structure; our funding and liquidity; the impacts on our business of manufacturing, sourcing, and supply chain management; the impacts on our business of international conflicts, including the Russia and Ukraine conflict and conflicts in the Middle East; share repurchases; risks related to foreign currency exchange, interest rates, and commodity and key material price volatility and availability; demand in the global markets in which we operate; and our strategy, innovation, and acquisitions and investments. These forward-looking statements involve risks and uncertainties, many of which are beyond our control. Factors that could cause our actual results to differ materially from those described in our forward-looking statements include, but are not limited to, operating in highly competitive markets; global geopolitical and economic instability, including as a result of changes in trade and tariff policy, and international conflicts and tensions, including between Ukraine and Russia, in the Middle East, and in other regions; public health crises, epidemics, and pandemics, and their effects on our business; changes in or elimination of government subsidies, and changes in third-party and government reimbursement processes, rates, and contractual relationships, including related to government shutdowns, and changes in the mix of public and private payers; demand for our products, services, or solutions and factors that affect that demand; developments in the market in China; our ability to control increases in healthcare costs and any subsequent effect on demand for our products, services, or solutions; our ability to successfully complete strategic transactions; the actions or inactions of third parties with whom we partner and the various collaboration, licensing, and other partnerships and alliances we have with third parties; the impacts related to our increasing focus on and investment in cloud, edge computing, artificial intelligence (“AI”), and software offerings; management of our supply chain and our ability to cost-effectively secure the materials we need to operate our business; disruptions in our operations; the impact of potential information technology, cybersecurity, or data security breaches; maintenance and protection of our intellectual property rights, as well as maintenance of successful research and development efforts with respect to commercially successful products and technologies; our ability to attract and/or retain key talent and qualified employees; increasing attention to sustainability matters; compliance with the various legal, regulatory, tax, privacy, and other laws to which we are subject, such as the Foreign Corrupt Practices Act and similar anti-corruption and anti-bribery laws globally, and related changes, claims, inquiries, investigations, or actions; the impact of potential product liability claims or potential litigation, arbitration, or similar proceedings; and our level of indebtedness and the impact of complying with the covenants and other terms of our debt instruments on our business. Please also see Item 1A., “Risk Factors” of our Annual Report on Form 10-K for the fiscal year ended December 31, 2025 filed with the United States (“U.S.”) Securities and Exchange Commission (“SEC”) and any updates or amendments we make in future filings. There may be other factors not presently known to us or which we currently consider to be immaterial that could cause our actual results to differ materially from those projected in any forward-looking statements we make. We do not undertake any obligation to update or revise our forward-looking statements except as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Income (Unaudited)</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96"/>
        </w:trPr>
        <w:tc>
          <w:tcPr>
            <w:tcW w:w="5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454545"/>
              </w:rPr>
              <w:t>For the three months ended</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454545"/>
              </w:rPr>
              <w:t>For the nine months ended</w:t>
            </w:r>
          </w:p>
        </w:tc>
      </w:tr>
      <w:tr>
        <w:trPr>
          <w:trHeight w:val="224"/>
        </w:trPr>
        <w:tc>
          <w:tcPr>
            <w:tcW w:w="5300" w:type="dxa"/>
            <w:vAlign w:val="bottom"/>
          </w:tcPr>
          <w:p>
            <w:pPr>
              <w:spacing w:after="0"/>
              <w:rPr>
                <w:sz w:val="19"/>
                <w:szCs w:val="19"/>
                <w:color w:val="auto"/>
              </w:rPr>
            </w:pPr>
          </w:p>
        </w:tc>
        <w:tc>
          <w:tcPr>
            <w:tcW w:w="260" w:type="dxa"/>
            <w:vAlign w:val="bottom"/>
            <w:tcBorders>
              <w:bottom w:val="single" w:sz="8" w:color="454545"/>
            </w:tcBorders>
          </w:tcPr>
          <w:p>
            <w:pPr>
              <w:spacing w:after="0"/>
              <w:rPr>
                <w:sz w:val="19"/>
                <w:szCs w:val="19"/>
                <w:color w:val="auto"/>
              </w:rPr>
            </w:pPr>
          </w:p>
        </w:tc>
        <w:tc>
          <w:tcPr>
            <w:tcW w:w="174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b w:val="1"/>
                <w:bCs w:val="1"/>
                <w:color w:val="454545"/>
              </w:rPr>
              <w:t>September 30</w:t>
            </w:r>
          </w:p>
        </w:tc>
        <w:tc>
          <w:tcPr>
            <w:tcW w:w="920" w:type="dxa"/>
            <w:vAlign w:val="bottom"/>
            <w:tcBorders>
              <w:bottom w:val="single" w:sz="8" w:color="454545"/>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454545"/>
            </w:tcBorders>
          </w:tcPr>
          <w:p>
            <w:pPr>
              <w:spacing w:after="0"/>
              <w:rPr>
                <w:sz w:val="19"/>
                <w:szCs w:val="19"/>
                <w:color w:val="auto"/>
              </w:rPr>
            </w:pPr>
          </w:p>
        </w:tc>
        <w:tc>
          <w:tcPr>
            <w:tcW w:w="174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b w:val="1"/>
                <w:bCs w:val="1"/>
                <w:color w:val="454545"/>
              </w:rPr>
              <w:t>September 30</w:t>
            </w:r>
          </w:p>
        </w:tc>
        <w:tc>
          <w:tcPr>
            <w:tcW w:w="920" w:type="dxa"/>
            <w:vAlign w:val="bottom"/>
            <w:tcBorders>
              <w:bottom w:val="single" w:sz="8" w:color="454545"/>
            </w:tcBorders>
          </w:tcPr>
          <w:p>
            <w:pPr>
              <w:spacing w:after="0"/>
              <w:rPr>
                <w:sz w:val="19"/>
                <w:szCs w:val="19"/>
                <w:color w:val="auto"/>
              </w:rPr>
            </w:pPr>
          </w:p>
        </w:tc>
      </w:tr>
      <w:tr>
        <w:trPr>
          <w:trHeight w:val="236"/>
        </w:trPr>
        <w:tc>
          <w:tcPr>
            <w:tcW w:w="530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260" w:type="dxa"/>
            <w:vAlign w:val="bottom"/>
            <w:tcBorders>
              <w:bottom w:val="single" w:sz="8" w:color="6022A6"/>
            </w:tcBorders>
          </w:tcPr>
          <w:p>
            <w:pPr>
              <w:spacing w:after="0"/>
              <w:rPr>
                <w:sz w:val="20"/>
                <w:szCs w:val="20"/>
                <w:color w:val="auto"/>
              </w:rPr>
            </w:pPr>
          </w:p>
        </w:tc>
        <w:tc>
          <w:tcPr>
            <w:tcW w:w="1200" w:type="dxa"/>
            <w:vAlign w:val="bottom"/>
            <w:tcBorders>
              <w:bottom w:val="single" w:sz="8" w:color="6022A6"/>
            </w:tcBorders>
          </w:tcPr>
          <w:p>
            <w:pPr>
              <w:jc w:val="right"/>
              <w:ind w:right="479"/>
              <w:spacing w:after="0"/>
              <w:rPr>
                <w:sz w:val="20"/>
                <w:szCs w:val="20"/>
                <w:color w:val="auto"/>
              </w:rPr>
            </w:pPr>
            <w:r>
              <w:rPr>
                <w:rFonts w:ascii="Arial" w:cs="Arial" w:eastAsia="Arial" w:hAnsi="Arial"/>
                <w:sz w:val="16"/>
                <w:szCs w:val="16"/>
                <w:b w:val="1"/>
                <w:bCs w:val="1"/>
                <w:color w:val="454545"/>
              </w:rPr>
              <w:t>2026</w:t>
            </w:r>
          </w:p>
        </w:tc>
        <w:tc>
          <w:tcPr>
            <w:tcW w:w="540" w:type="dxa"/>
            <w:vAlign w:val="bottom"/>
            <w:tcBorders>
              <w:bottom w:val="single" w:sz="8" w:color="6022A6"/>
            </w:tcBorders>
          </w:tcPr>
          <w:p>
            <w:pPr>
              <w:spacing w:after="0"/>
              <w:rPr>
                <w:sz w:val="20"/>
                <w:szCs w:val="20"/>
                <w:color w:val="auto"/>
              </w:rPr>
            </w:pPr>
          </w:p>
        </w:tc>
        <w:tc>
          <w:tcPr>
            <w:tcW w:w="920" w:type="dxa"/>
            <w:vAlign w:val="bottom"/>
            <w:tcBorders>
              <w:bottom w:val="single" w:sz="8" w:color="6022A6"/>
            </w:tcBorders>
          </w:tcPr>
          <w:p>
            <w:pPr>
              <w:jc w:val="right"/>
              <w:ind w:right="479"/>
              <w:spacing w:after="0"/>
              <w:rPr>
                <w:sz w:val="20"/>
                <w:szCs w:val="20"/>
                <w:color w:val="auto"/>
              </w:rPr>
            </w:pPr>
            <w:r>
              <w:rPr>
                <w:rFonts w:ascii="Arial" w:cs="Arial" w:eastAsia="Arial" w:hAnsi="Arial"/>
                <w:sz w:val="16"/>
                <w:szCs w:val="16"/>
                <w:b w:val="1"/>
                <w:bCs w:val="1"/>
                <w:color w:val="454545"/>
                <w:w w:val="95"/>
              </w:rPr>
              <w:t>2025</w:t>
            </w:r>
          </w:p>
        </w:tc>
        <w:tc>
          <w:tcPr>
            <w:tcW w:w="80" w:type="dxa"/>
            <w:vAlign w:val="bottom"/>
            <w:tcBorders>
              <w:bottom w:val="single" w:sz="8" w:color="6022A6"/>
            </w:tcBorders>
          </w:tcPr>
          <w:p>
            <w:pPr>
              <w:spacing w:after="0"/>
              <w:rPr>
                <w:sz w:val="20"/>
                <w:szCs w:val="20"/>
                <w:color w:val="auto"/>
              </w:rPr>
            </w:pPr>
          </w:p>
        </w:tc>
        <w:tc>
          <w:tcPr>
            <w:tcW w:w="280" w:type="dxa"/>
            <w:vAlign w:val="bottom"/>
            <w:tcBorders>
              <w:bottom w:val="single" w:sz="8" w:color="6022A6"/>
            </w:tcBorders>
          </w:tcPr>
          <w:p>
            <w:pPr>
              <w:spacing w:after="0"/>
              <w:rPr>
                <w:sz w:val="20"/>
                <w:szCs w:val="20"/>
                <w:color w:val="auto"/>
              </w:rPr>
            </w:pPr>
          </w:p>
        </w:tc>
        <w:tc>
          <w:tcPr>
            <w:tcW w:w="1200" w:type="dxa"/>
            <w:vAlign w:val="bottom"/>
            <w:tcBorders>
              <w:bottom w:val="single" w:sz="8" w:color="6022A6"/>
            </w:tcBorders>
          </w:tcPr>
          <w:p>
            <w:pPr>
              <w:jc w:val="right"/>
              <w:ind w:right="479"/>
              <w:spacing w:after="0"/>
              <w:rPr>
                <w:sz w:val="20"/>
                <w:szCs w:val="20"/>
                <w:color w:val="auto"/>
              </w:rPr>
            </w:pPr>
            <w:r>
              <w:rPr>
                <w:rFonts w:ascii="Arial" w:cs="Arial" w:eastAsia="Arial" w:hAnsi="Arial"/>
                <w:sz w:val="16"/>
                <w:szCs w:val="16"/>
                <w:b w:val="1"/>
                <w:bCs w:val="1"/>
                <w:color w:val="454545"/>
              </w:rPr>
              <w:t>2026</w:t>
            </w:r>
          </w:p>
        </w:tc>
        <w:tc>
          <w:tcPr>
            <w:tcW w:w="540" w:type="dxa"/>
            <w:vAlign w:val="bottom"/>
            <w:tcBorders>
              <w:bottom w:val="single" w:sz="8" w:color="6022A6"/>
            </w:tcBorders>
          </w:tcPr>
          <w:p>
            <w:pPr>
              <w:spacing w:after="0"/>
              <w:rPr>
                <w:sz w:val="20"/>
                <w:szCs w:val="20"/>
                <w:color w:val="auto"/>
              </w:rPr>
            </w:pPr>
          </w:p>
        </w:tc>
        <w:tc>
          <w:tcPr>
            <w:tcW w:w="920" w:type="dxa"/>
            <w:vAlign w:val="bottom"/>
            <w:tcBorders>
              <w:bottom w:val="single" w:sz="8" w:color="6022A6"/>
            </w:tcBorders>
          </w:tcPr>
          <w:p>
            <w:pPr>
              <w:jc w:val="right"/>
              <w:ind w:right="479"/>
              <w:spacing w:after="0"/>
              <w:rPr>
                <w:sz w:val="20"/>
                <w:szCs w:val="20"/>
                <w:color w:val="auto"/>
              </w:rPr>
            </w:pPr>
            <w:r>
              <w:rPr>
                <w:rFonts w:ascii="Arial" w:cs="Arial" w:eastAsia="Arial" w:hAnsi="Arial"/>
                <w:sz w:val="16"/>
                <w:szCs w:val="16"/>
                <w:b w:val="1"/>
                <w:bCs w:val="1"/>
                <w:color w:val="454545"/>
                <w:w w:val="95"/>
              </w:rPr>
              <w:t>2025</w:t>
            </w:r>
          </w:p>
        </w:tc>
      </w:tr>
      <w:tr>
        <w:trPr>
          <w:trHeight w:val="237"/>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of products</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3,602</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3,375</w:t>
            </w:r>
          </w:p>
        </w:tc>
        <w:tc>
          <w:tcPr>
            <w:tcW w:w="360" w:type="dxa"/>
            <w:vAlign w:val="bottom"/>
            <w:tcBorders>
              <w:bottom w:val="single" w:sz="8" w:color="E4E4E4"/>
            </w:tcBorders>
            <w:gridSpan w:val="2"/>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10,364</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9,755</w:t>
            </w:r>
          </w:p>
        </w:tc>
      </w:tr>
      <w:tr>
        <w:trPr>
          <w:trHeight w:val="257"/>
        </w:trPr>
        <w:tc>
          <w:tcPr>
            <w:tcW w:w="5300" w:type="dxa"/>
            <w:vAlign w:val="bottom"/>
          </w:tcPr>
          <w:p>
            <w:pPr>
              <w:ind w:left="20"/>
              <w:spacing w:after="0"/>
              <w:rPr>
                <w:sz w:val="20"/>
                <w:szCs w:val="20"/>
                <w:color w:val="auto"/>
              </w:rPr>
            </w:pPr>
            <w:r>
              <w:rPr>
                <w:rFonts w:ascii="Arial" w:cs="Arial" w:eastAsia="Arial" w:hAnsi="Arial"/>
                <w:sz w:val="16"/>
                <w:szCs w:val="16"/>
                <w:color w:val="auto"/>
              </w:rPr>
              <w:t>Sales of services</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1,911</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1,769</w:t>
            </w:r>
          </w:p>
        </w:tc>
        <w:tc>
          <w:tcPr>
            <w:tcW w:w="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5,575</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5,172</w:t>
            </w:r>
          </w:p>
        </w:tc>
      </w:tr>
      <w:tr>
        <w:trPr>
          <w:trHeight w:val="255"/>
        </w:trPr>
        <w:tc>
          <w:tcPr>
            <w:tcW w:w="530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top w:val="single" w:sz="8" w:color="auto"/>
              <w:bottom w:val="single" w:sz="8" w:color="E4E4E4"/>
            </w:tcBorders>
            <w:shd w:val="clear" w:color="auto" w:fill="E4E4E4"/>
          </w:tcPr>
          <w:p>
            <w:pPr>
              <w:spacing w:after="0"/>
              <w:rPr>
                <w:sz w:val="21"/>
                <w:szCs w:val="21"/>
                <w:color w:val="auto"/>
              </w:rPr>
            </w:pPr>
          </w:p>
        </w:tc>
        <w:tc>
          <w:tcPr>
            <w:tcW w:w="12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5,513</w:t>
            </w:r>
          </w:p>
        </w:tc>
        <w:tc>
          <w:tcPr>
            <w:tcW w:w="540" w:type="dxa"/>
            <w:vAlign w:val="bottom"/>
            <w:tcBorders>
              <w:top w:val="single" w:sz="8" w:color="auto"/>
              <w:bottom w:val="single" w:sz="8" w:color="E4E4E4"/>
            </w:tcBorders>
            <w:shd w:val="clear" w:color="auto" w:fill="E4E4E4"/>
          </w:tcPr>
          <w:p>
            <w:pPr>
              <w:spacing w:after="0"/>
              <w:rPr>
                <w:sz w:val="21"/>
                <w:szCs w:val="21"/>
                <w:color w:val="auto"/>
              </w:rPr>
            </w:pPr>
          </w:p>
        </w:tc>
        <w:tc>
          <w:tcPr>
            <w:tcW w:w="9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5,143</w:t>
            </w:r>
          </w:p>
        </w:tc>
        <w:tc>
          <w:tcPr>
            <w:tcW w:w="80" w:type="dxa"/>
            <w:vAlign w:val="bottom"/>
            <w:tcBorders>
              <w:top w:val="single" w:sz="8" w:color="E4E4E4"/>
              <w:bottom w:val="single" w:sz="8" w:color="E4E4E4"/>
            </w:tcBorders>
            <w:shd w:val="clear" w:color="auto" w:fill="E4E4E4"/>
          </w:tcPr>
          <w:p>
            <w:pPr>
              <w:spacing w:after="0"/>
              <w:rPr>
                <w:sz w:val="21"/>
                <w:szCs w:val="21"/>
                <w:color w:val="auto"/>
              </w:rPr>
            </w:pPr>
          </w:p>
        </w:tc>
        <w:tc>
          <w:tcPr>
            <w:tcW w:w="280" w:type="dxa"/>
            <w:vAlign w:val="bottom"/>
            <w:tcBorders>
              <w:top w:val="single" w:sz="8" w:color="auto"/>
              <w:bottom w:val="single" w:sz="8" w:color="E4E4E4"/>
            </w:tcBorders>
            <w:shd w:val="clear" w:color="auto" w:fill="E4E4E4"/>
          </w:tcPr>
          <w:p>
            <w:pPr>
              <w:spacing w:after="0"/>
              <w:rPr>
                <w:sz w:val="21"/>
                <w:szCs w:val="21"/>
                <w:color w:val="auto"/>
              </w:rPr>
            </w:pPr>
          </w:p>
        </w:tc>
        <w:tc>
          <w:tcPr>
            <w:tcW w:w="12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15,939</w:t>
            </w:r>
          </w:p>
        </w:tc>
        <w:tc>
          <w:tcPr>
            <w:tcW w:w="540" w:type="dxa"/>
            <w:vAlign w:val="bottom"/>
            <w:tcBorders>
              <w:top w:val="single" w:sz="8" w:color="auto"/>
              <w:bottom w:val="single" w:sz="8" w:color="E4E4E4"/>
            </w:tcBorders>
            <w:shd w:val="clear" w:color="auto" w:fill="E4E4E4"/>
          </w:tcPr>
          <w:p>
            <w:pPr>
              <w:spacing w:after="0"/>
              <w:rPr>
                <w:sz w:val="21"/>
                <w:szCs w:val="21"/>
                <w:color w:val="auto"/>
              </w:rPr>
            </w:pPr>
          </w:p>
        </w:tc>
        <w:tc>
          <w:tcPr>
            <w:tcW w:w="9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14,927</w:t>
            </w:r>
          </w:p>
        </w:tc>
      </w:tr>
      <w:tr>
        <w:trPr>
          <w:trHeight w:val="221"/>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Cost of products</w:t>
            </w: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2,373</w:t>
            </w: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2,270</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6,873</w:t>
            </w: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6,392</w:t>
            </w:r>
          </w:p>
        </w:tc>
      </w:tr>
      <w:tr>
        <w:trPr>
          <w:trHeight w:val="29"/>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Cost of services</w:t>
            </w:r>
          </w:p>
        </w:tc>
        <w:tc>
          <w:tcPr>
            <w:tcW w:w="26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916</w:t>
            </w:r>
          </w:p>
        </w:tc>
        <w:tc>
          <w:tcPr>
            <w:tcW w:w="5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884</w:t>
            </w:r>
          </w:p>
        </w:tc>
        <w:tc>
          <w:tcPr>
            <w:tcW w:w="80" w:type="dxa"/>
            <w:vAlign w:val="bottom"/>
            <w:tcBorders>
              <w:bottom w:val="single" w:sz="8" w:color="auto"/>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2,685</w:t>
            </w:r>
          </w:p>
        </w:tc>
        <w:tc>
          <w:tcPr>
            <w:tcW w:w="5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2,549</w:t>
            </w:r>
          </w:p>
        </w:tc>
      </w:tr>
      <w:tr>
        <w:trPr>
          <w:trHeight w:val="229"/>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Gross profit</w:t>
            </w: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2,224</w:t>
            </w: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1,990</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6,381</w:t>
            </w: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5,987</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1,100</w:t>
            </w:r>
          </w:p>
        </w:tc>
        <w:tc>
          <w:tcPr>
            <w:tcW w:w="5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1,045</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3,334</w:t>
            </w:r>
          </w:p>
        </w:tc>
        <w:tc>
          <w:tcPr>
            <w:tcW w:w="5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3,114</w:t>
            </w:r>
          </w:p>
        </w:tc>
      </w:tr>
      <w:tr>
        <w:trPr>
          <w:trHeight w:val="256"/>
        </w:trPr>
        <w:tc>
          <w:tcPr>
            <w:tcW w:w="53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320</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292</w:t>
            </w:r>
          </w:p>
        </w:tc>
        <w:tc>
          <w:tcPr>
            <w:tcW w:w="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988</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937</w:t>
            </w:r>
          </w:p>
        </w:tc>
      </w:tr>
      <w:tr>
        <w:trPr>
          <w:trHeight w:val="255"/>
        </w:trPr>
        <w:tc>
          <w:tcPr>
            <w:tcW w:w="530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260" w:type="dxa"/>
            <w:vAlign w:val="bottom"/>
            <w:tcBorders>
              <w:top w:val="single" w:sz="8" w:color="auto"/>
              <w:bottom w:val="single" w:sz="8" w:color="E4E4E4"/>
            </w:tcBorders>
            <w:shd w:val="clear" w:color="auto" w:fill="E4E4E4"/>
          </w:tcPr>
          <w:p>
            <w:pPr>
              <w:spacing w:after="0"/>
              <w:rPr>
                <w:sz w:val="21"/>
                <w:szCs w:val="21"/>
                <w:color w:val="auto"/>
              </w:rPr>
            </w:pPr>
          </w:p>
        </w:tc>
        <w:tc>
          <w:tcPr>
            <w:tcW w:w="12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1,419</w:t>
            </w:r>
          </w:p>
        </w:tc>
        <w:tc>
          <w:tcPr>
            <w:tcW w:w="540" w:type="dxa"/>
            <w:vAlign w:val="bottom"/>
            <w:tcBorders>
              <w:top w:val="single" w:sz="8" w:color="auto"/>
              <w:bottom w:val="single" w:sz="8" w:color="E4E4E4"/>
            </w:tcBorders>
            <w:shd w:val="clear" w:color="auto" w:fill="E4E4E4"/>
          </w:tcPr>
          <w:p>
            <w:pPr>
              <w:spacing w:after="0"/>
              <w:rPr>
                <w:sz w:val="21"/>
                <w:szCs w:val="21"/>
                <w:color w:val="auto"/>
              </w:rPr>
            </w:pPr>
          </w:p>
        </w:tc>
        <w:tc>
          <w:tcPr>
            <w:tcW w:w="9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1,337</w:t>
            </w:r>
          </w:p>
        </w:tc>
        <w:tc>
          <w:tcPr>
            <w:tcW w:w="80" w:type="dxa"/>
            <w:vAlign w:val="bottom"/>
            <w:tcBorders>
              <w:top w:val="single" w:sz="8" w:color="E4E4E4"/>
              <w:bottom w:val="single" w:sz="8" w:color="E4E4E4"/>
            </w:tcBorders>
            <w:shd w:val="clear" w:color="auto" w:fill="E4E4E4"/>
          </w:tcPr>
          <w:p>
            <w:pPr>
              <w:spacing w:after="0"/>
              <w:rPr>
                <w:sz w:val="21"/>
                <w:szCs w:val="21"/>
                <w:color w:val="auto"/>
              </w:rPr>
            </w:pPr>
          </w:p>
        </w:tc>
        <w:tc>
          <w:tcPr>
            <w:tcW w:w="280" w:type="dxa"/>
            <w:vAlign w:val="bottom"/>
            <w:tcBorders>
              <w:top w:val="single" w:sz="8" w:color="auto"/>
              <w:bottom w:val="single" w:sz="8" w:color="E4E4E4"/>
            </w:tcBorders>
            <w:shd w:val="clear" w:color="auto" w:fill="E4E4E4"/>
          </w:tcPr>
          <w:p>
            <w:pPr>
              <w:spacing w:after="0"/>
              <w:rPr>
                <w:sz w:val="21"/>
                <w:szCs w:val="21"/>
                <w:color w:val="auto"/>
              </w:rPr>
            </w:pPr>
          </w:p>
        </w:tc>
        <w:tc>
          <w:tcPr>
            <w:tcW w:w="12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4,322</w:t>
            </w:r>
          </w:p>
        </w:tc>
        <w:tc>
          <w:tcPr>
            <w:tcW w:w="540" w:type="dxa"/>
            <w:vAlign w:val="bottom"/>
            <w:tcBorders>
              <w:top w:val="single" w:sz="8" w:color="auto"/>
              <w:bottom w:val="single" w:sz="8" w:color="E4E4E4"/>
            </w:tcBorders>
            <w:shd w:val="clear" w:color="auto" w:fill="E4E4E4"/>
          </w:tcPr>
          <w:p>
            <w:pPr>
              <w:spacing w:after="0"/>
              <w:rPr>
                <w:sz w:val="21"/>
                <w:szCs w:val="21"/>
                <w:color w:val="auto"/>
              </w:rPr>
            </w:pPr>
          </w:p>
        </w:tc>
        <w:tc>
          <w:tcPr>
            <w:tcW w:w="9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4,051</w:t>
            </w:r>
          </w:p>
        </w:tc>
      </w:tr>
      <w:tr>
        <w:trPr>
          <w:trHeight w:val="229"/>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805</w:t>
            </w: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653</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2,058</w:t>
            </w: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1,936</w:t>
            </w:r>
          </w:p>
        </w:tc>
      </w:tr>
      <w:tr>
        <w:trPr>
          <w:trHeight w:val="21"/>
        </w:trPr>
        <w:tc>
          <w:tcPr>
            <w:tcW w:w="5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26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122</w:t>
            </w:r>
          </w:p>
        </w:tc>
        <w:tc>
          <w:tcPr>
            <w:tcW w:w="5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111</w:t>
            </w:r>
          </w:p>
        </w:tc>
        <w:tc>
          <w:tcPr>
            <w:tcW w:w="80" w:type="dxa"/>
            <w:vAlign w:val="bottom"/>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332</w:t>
            </w:r>
          </w:p>
        </w:tc>
        <w:tc>
          <w:tcPr>
            <w:tcW w:w="5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335</w:t>
            </w:r>
          </w:p>
        </w:tc>
      </w:tr>
      <w:tr>
        <w:trPr>
          <w:trHeight w:val="228"/>
        </w:trPr>
        <w:tc>
          <w:tcPr>
            <w:tcW w:w="5300" w:type="dxa"/>
            <w:vAlign w:val="bottom"/>
          </w:tcPr>
          <w:p>
            <w:pPr>
              <w:ind w:left="20"/>
              <w:spacing w:after="0"/>
              <w:rPr>
                <w:sz w:val="20"/>
                <w:szCs w:val="20"/>
                <w:color w:val="auto"/>
              </w:rPr>
            </w:pPr>
            <w:r>
              <w:rPr>
                <w:rFonts w:ascii="Arial" w:cs="Arial" w:eastAsia="Arial" w:hAnsi="Arial"/>
                <w:sz w:val="16"/>
                <w:szCs w:val="16"/>
                <w:color w:val="auto"/>
              </w:rPr>
              <w:t>Non-operating benefit (income) costs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9"/>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(income) expense – net</w:t>
            </w:r>
          </w:p>
        </w:tc>
        <w:tc>
          <w:tcPr>
            <w:tcW w:w="26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5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bottom w:val="single" w:sz="8" w:color="auto"/>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(78)</w:t>
            </w:r>
          </w:p>
        </w:tc>
        <w:tc>
          <w:tcPr>
            <w:tcW w:w="5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w:t>
            </w:r>
          </w:p>
        </w:tc>
      </w:tr>
      <w:tr>
        <w:trPr>
          <w:trHeight w:val="229"/>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752</w:t>
            </w: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643</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1,950</w:t>
            </w: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1,947</w:t>
            </w:r>
          </w:p>
        </w:tc>
      </w:tr>
      <w:tr>
        <w:trPr>
          <w:trHeight w:val="21"/>
        </w:trPr>
        <w:tc>
          <w:tcPr>
            <w:tcW w:w="5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 (provision) for income taxes</w:t>
            </w:r>
          </w:p>
        </w:tc>
        <w:tc>
          <w:tcPr>
            <w:tcW w:w="26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(129)</w:t>
            </w:r>
          </w:p>
        </w:tc>
        <w:tc>
          <w:tcPr>
            <w:tcW w:w="5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(179)</w:t>
            </w:r>
          </w:p>
        </w:tc>
        <w:tc>
          <w:tcPr>
            <w:tcW w:w="80" w:type="dxa"/>
            <w:vAlign w:val="bottom"/>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(342)</w:t>
            </w:r>
          </w:p>
        </w:tc>
        <w:tc>
          <w:tcPr>
            <w:tcW w:w="5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(395)</w:t>
            </w:r>
          </w:p>
        </w:tc>
      </w:tr>
      <w:tr>
        <w:trPr>
          <w:trHeight w:val="223"/>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623</w:t>
            </w: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464</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1,608</w:t>
            </w: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1,552</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5"/>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60" w:type="dxa"/>
            <w:vAlign w:val="bottom"/>
            <w:tcBorders>
              <w:bottom w:val="single" w:sz="8" w:color="E4E4E4"/>
            </w:tcBorders>
            <w:shd w:val="clear" w:color="auto" w:fill="E4E4E4"/>
          </w:tcPr>
          <w:p>
            <w:pPr>
              <w:spacing w:after="0"/>
              <w:rPr>
                <w:sz w:val="21"/>
                <w:szCs w:val="21"/>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5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E4E4E4"/>
            </w:tcBorders>
            <w:shd w:val="clear" w:color="auto" w:fill="E4E4E4"/>
          </w:tcPr>
          <w:p>
            <w:pPr>
              <w:spacing w:after="0"/>
              <w:rPr>
                <w:sz w:val="21"/>
                <w:szCs w:val="21"/>
                <w:color w:val="auto"/>
              </w:rPr>
            </w:pPr>
          </w:p>
        </w:tc>
        <w:tc>
          <w:tcPr>
            <w:tcW w:w="280" w:type="dxa"/>
            <w:vAlign w:val="bottom"/>
            <w:tcBorders>
              <w:bottom w:val="single" w:sz="8" w:color="E4E4E4"/>
            </w:tcBorders>
            <w:shd w:val="clear" w:color="auto" w:fill="E4E4E4"/>
          </w:tcPr>
          <w:p>
            <w:pPr>
              <w:spacing w:after="0"/>
              <w:rPr>
                <w:sz w:val="21"/>
                <w:szCs w:val="21"/>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c>
          <w:tcPr>
            <w:tcW w:w="5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r>
      <w:tr>
        <w:trPr>
          <w:trHeight w:val="229"/>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615</w:t>
            </w:r>
          </w:p>
        </w:tc>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446</w:t>
            </w:r>
          </w:p>
        </w:tc>
        <w:tc>
          <w:tcPr>
            <w:tcW w:w="360" w:type="dxa"/>
            <w:vAlign w:val="bottom"/>
            <w:tcBorders>
              <w:top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1,564</w:t>
            </w:r>
          </w:p>
        </w:tc>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1,495</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530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1200" w:type="dxa"/>
            <w:vAlign w:val="bottom"/>
            <w:shd w:val="clear" w:color="auto" w:fill="E4E4E4"/>
          </w:tcPr>
          <w:p>
            <w:pPr>
              <w:spacing w:after="0"/>
              <w:rPr>
                <w:sz w:val="17"/>
                <w:szCs w:val="17"/>
                <w:color w:val="auto"/>
              </w:rPr>
            </w:pPr>
          </w:p>
        </w:tc>
        <w:tc>
          <w:tcPr>
            <w:tcW w:w="540" w:type="dxa"/>
            <w:vAlign w:val="bottom"/>
            <w:shd w:val="clear" w:color="auto" w:fill="E4E4E4"/>
          </w:tcPr>
          <w:p>
            <w:pPr>
              <w:spacing w:after="0"/>
              <w:rPr>
                <w:sz w:val="17"/>
                <w:szCs w:val="17"/>
                <w:color w:val="auto"/>
              </w:rPr>
            </w:pPr>
          </w:p>
        </w:tc>
        <w:tc>
          <w:tcPr>
            <w:tcW w:w="92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1200" w:type="dxa"/>
            <w:vAlign w:val="bottom"/>
            <w:shd w:val="clear" w:color="auto" w:fill="E4E4E4"/>
          </w:tcPr>
          <w:p>
            <w:pPr>
              <w:spacing w:after="0"/>
              <w:rPr>
                <w:sz w:val="17"/>
                <w:szCs w:val="17"/>
                <w:color w:val="auto"/>
              </w:rPr>
            </w:pPr>
          </w:p>
        </w:tc>
        <w:tc>
          <w:tcPr>
            <w:tcW w:w="540" w:type="dxa"/>
            <w:vAlign w:val="bottom"/>
            <w:shd w:val="clear" w:color="auto" w:fill="E4E4E4"/>
          </w:tcPr>
          <w:p>
            <w:pPr>
              <w:spacing w:after="0"/>
              <w:rPr>
                <w:sz w:val="17"/>
                <w:szCs w:val="17"/>
                <w:color w:val="auto"/>
              </w:rPr>
            </w:pPr>
          </w:p>
        </w:tc>
        <w:tc>
          <w:tcPr>
            <w:tcW w:w="920" w:type="dxa"/>
            <w:vAlign w:val="bottom"/>
            <w:shd w:val="clear" w:color="auto" w:fill="E4E4E4"/>
          </w:tcPr>
          <w:p>
            <w:pPr>
              <w:spacing w:after="0"/>
              <w:rPr>
                <w:sz w:val="17"/>
                <w:szCs w:val="17"/>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Earnings per share attributable to GE HealthCare:</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53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1.36</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0.98</w:t>
            </w:r>
          </w:p>
        </w:tc>
        <w:tc>
          <w:tcPr>
            <w:tcW w:w="80" w:type="dxa"/>
            <w:vAlign w:val="bottom"/>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3.45</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3.27</w:t>
            </w:r>
          </w:p>
        </w:tc>
      </w:tr>
      <w:tr>
        <w:trPr>
          <w:trHeight w:val="228"/>
        </w:trPr>
        <w:tc>
          <w:tcPr>
            <w:tcW w:w="5300" w:type="dxa"/>
            <w:vAlign w:val="bottom"/>
          </w:tcPr>
          <w:p>
            <w:pPr>
              <w:ind w:left="14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9"/>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3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Weighted-average number of shares outstanding:</w:t>
            </w:r>
          </w:p>
        </w:tc>
        <w:tc>
          <w:tcPr>
            <w:tcW w:w="260" w:type="dxa"/>
            <w:vAlign w:val="bottom"/>
            <w:shd w:val="clear" w:color="auto" w:fill="E4E4E4"/>
          </w:tcPr>
          <w:p>
            <w:pPr>
              <w:spacing w:after="0"/>
              <w:rPr>
                <w:sz w:val="21"/>
                <w:szCs w:val="21"/>
                <w:color w:val="auto"/>
              </w:rPr>
            </w:pPr>
          </w:p>
        </w:tc>
        <w:tc>
          <w:tcPr>
            <w:tcW w:w="1200" w:type="dxa"/>
            <w:vAlign w:val="bottom"/>
            <w:shd w:val="clear" w:color="auto" w:fill="E4E4E4"/>
          </w:tcPr>
          <w:p>
            <w:pPr>
              <w:spacing w:after="0"/>
              <w:rPr>
                <w:sz w:val="21"/>
                <w:szCs w:val="21"/>
                <w:color w:val="auto"/>
              </w:rPr>
            </w:pPr>
          </w:p>
        </w:tc>
        <w:tc>
          <w:tcPr>
            <w:tcW w:w="540" w:type="dxa"/>
            <w:vAlign w:val="bottom"/>
            <w:shd w:val="clear" w:color="auto" w:fill="E4E4E4"/>
          </w:tcPr>
          <w:p>
            <w:pPr>
              <w:spacing w:after="0"/>
              <w:rPr>
                <w:sz w:val="21"/>
                <w:szCs w:val="21"/>
                <w:color w:val="auto"/>
              </w:rPr>
            </w:pPr>
          </w:p>
        </w:tc>
        <w:tc>
          <w:tcPr>
            <w:tcW w:w="92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280" w:type="dxa"/>
            <w:vAlign w:val="bottom"/>
            <w:shd w:val="clear" w:color="auto" w:fill="E4E4E4"/>
          </w:tcPr>
          <w:p>
            <w:pPr>
              <w:spacing w:after="0"/>
              <w:rPr>
                <w:sz w:val="21"/>
                <w:szCs w:val="21"/>
                <w:color w:val="auto"/>
              </w:rPr>
            </w:pPr>
          </w:p>
        </w:tc>
        <w:tc>
          <w:tcPr>
            <w:tcW w:w="1200" w:type="dxa"/>
            <w:vAlign w:val="bottom"/>
            <w:shd w:val="clear" w:color="auto" w:fill="E4E4E4"/>
          </w:tcPr>
          <w:p>
            <w:pPr>
              <w:spacing w:after="0"/>
              <w:rPr>
                <w:sz w:val="21"/>
                <w:szCs w:val="21"/>
                <w:color w:val="auto"/>
              </w:rPr>
            </w:pPr>
          </w:p>
        </w:tc>
        <w:tc>
          <w:tcPr>
            <w:tcW w:w="540" w:type="dxa"/>
            <w:vAlign w:val="bottom"/>
            <w:shd w:val="clear" w:color="auto" w:fill="E4E4E4"/>
          </w:tcPr>
          <w:p>
            <w:pPr>
              <w:spacing w:after="0"/>
              <w:rPr>
                <w:sz w:val="21"/>
                <w:szCs w:val="21"/>
                <w:color w:val="auto"/>
              </w:rPr>
            </w:pPr>
          </w:p>
        </w:tc>
        <w:tc>
          <w:tcPr>
            <w:tcW w:w="920" w:type="dxa"/>
            <w:vAlign w:val="bottom"/>
            <w:shd w:val="clear" w:color="auto" w:fill="E4E4E4"/>
          </w:tcPr>
          <w:p>
            <w:pPr>
              <w:spacing w:after="0"/>
              <w:rPr>
                <w:sz w:val="21"/>
                <w:szCs w:val="21"/>
                <w:color w:val="auto"/>
              </w:rPr>
            </w:pPr>
          </w:p>
        </w:tc>
      </w:tr>
      <w:tr>
        <w:trPr>
          <w:trHeight w:val="228"/>
        </w:trPr>
        <w:tc>
          <w:tcPr>
            <w:tcW w:w="5300" w:type="dxa"/>
            <w:vAlign w:val="bottom"/>
          </w:tcPr>
          <w:p>
            <w:pPr>
              <w:ind w:left="14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452</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454</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457</w:t>
            </w:r>
          </w:p>
        </w:tc>
      </w:tr>
      <w:tr>
        <w:trPr>
          <w:trHeight w:val="29"/>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6"/>
        </w:trPr>
        <w:tc>
          <w:tcPr>
            <w:tcW w:w="53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453</w:t>
            </w:r>
          </w:p>
        </w:tc>
        <w:tc>
          <w:tcPr>
            <w:tcW w:w="5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457</w:t>
            </w:r>
          </w:p>
        </w:tc>
        <w:tc>
          <w:tcPr>
            <w:tcW w:w="80" w:type="dxa"/>
            <w:vAlign w:val="bottom"/>
            <w:tcBorders>
              <w:bottom w:val="single" w:sz="8" w:color="auto"/>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455</w:t>
            </w:r>
          </w:p>
        </w:tc>
        <w:tc>
          <w:tcPr>
            <w:tcW w:w="5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458</w:t>
            </w:r>
          </w:p>
        </w:tc>
      </w:tr>
      <w:tr>
        <w:trPr>
          <w:trHeight w:val="20"/>
        </w:trPr>
        <w:tc>
          <w:tcPr>
            <w:tcW w:w="5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gridSpan w:val="3"/>
          </w:tcPr>
          <w:p>
            <w:pPr>
              <w:ind w:left="20"/>
              <w:spacing w:after="0"/>
              <w:rPr>
                <w:sz w:val="20"/>
                <w:szCs w:val="20"/>
                <w:color w:val="auto"/>
              </w:rPr>
            </w:pPr>
            <w:r>
              <w:rPr>
                <w:rFonts w:ascii="Arial" w:cs="Arial" w:eastAsia="Arial" w:hAnsi="Arial"/>
                <w:sz w:val="16"/>
                <w:szCs w:val="16"/>
                <w:b w:val="1"/>
                <w:bCs w:val="1"/>
                <w:color w:val="auto"/>
              </w:rPr>
              <w:t>Condensed Consolidated Statements of Comprehensive Income (Loss) (Unaudited)</w:t>
            </w: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454545"/>
              </w:rPr>
              <w:t>For the three months ended</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454545"/>
              </w:rPr>
              <w:t>For the nine months ended</w:t>
            </w:r>
          </w:p>
        </w:tc>
        <w:tc>
          <w:tcPr>
            <w:tcW w:w="0" w:type="dxa"/>
            <w:vAlign w:val="bottom"/>
          </w:tcPr>
          <w:p>
            <w:pPr>
              <w:spacing w:after="0"/>
              <w:rPr>
                <w:sz w:val="1"/>
                <w:szCs w:val="1"/>
                <w:color w:val="auto"/>
              </w:rPr>
            </w:pPr>
          </w:p>
        </w:tc>
      </w:tr>
      <w:tr>
        <w:trPr>
          <w:trHeight w:val="224"/>
        </w:trPr>
        <w:tc>
          <w:tcPr>
            <w:tcW w:w="5300" w:type="dxa"/>
            <w:vAlign w:val="bottom"/>
          </w:tcPr>
          <w:p>
            <w:pPr>
              <w:spacing w:after="0"/>
              <w:rPr>
                <w:sz w:val="19"/>
                <w:szCs w:val="19"/>
                <w:color w:val="auto"/>
              </w:rPr>
            </w:pPr>
          </w:p>
        </w:tc>
        <w:tc>
          <w:tcPr>
            <w:tcW w:w="260" w:type="dxa"/>
            <w:vAlign w:val="bottom"/>
            <w:tcBorders>
              <w:bottom w:val="single" w:sz="8" w:color="454545"/>
            </w:tcBorders>
          </w:tcPr>
          <w:p>
            <w:pPr>
              <w:spacing w:after="0"/>
              <w:rPr>
                <w:sz w:val="19"/>
                <w:szCs w:val="19"/>
                <w:color w:val="auto"/>
              </w:rPr>
            </w:pPr>
          </w:p>
        </w:tc>
        <w:tc>
          <w:tcPr>
            <w:tcW w:w="174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b w:val="1"/>
                <w:bCs w:val="1"/>
                <w:color w:val="454545"/>
              </w:rPr>
              <w:t>September 30</w:t>
            </w:r>
          </w:p>
        </w:tc>
        <w:tc>
          <w:tcPr>
            <w:tcW w:w="920" w:type="dxa"/>
            <w:vAlign w:val="bottom"/>
            <w:tcBorders>
              <w:bottom w:val="single" w:sz="8" w:color="454545"/>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454545"/>
            </w:tcBorders>
          </w:tcPr>
          <w:p>
            <w:pPr>
              <w:spacing w:after="0"/>
              <w:rPr>
                <w:sz w:val="19"/>
                <w:szCs w:val="19"/>
                <w:color w:val="auto"/>
              </w:rPr>
            </w:pPr>
          </w:p>
        </w:tc>
        <w:tc>
          <w:tcPr>
            <w:tcW w:w="174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b w:val="1"/>
                <w:bCs w:val="1"/>
                <w:color w:val="454545"/>
              </w:rPr>
              <w:t>September 30</w:t>
            </w:r>
          </w:p>
        </w:tc>
        <w:tc>
          <w:tcPr>
            <w:tcW w:w="920" w:type="dxa"/>
            <w:vAlign w:val="bottom"/>
            <w:tcBorders>
              <w:bottom w:val="single" w:sz="8" w:color="454545"/>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0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260" w:type="dxa"/>
            <w:vAlign w:val="bottom"/>
            <w:tcBorders>
              <w:bottom w:val="single" w:sz="8" w:color="6022A6"/>
            </w:tcBorders>
          </w:tcPr>
          <w:p>
            <w:pPr>
              <w:spacing w:after="0"/>
              <w:rPr>
                <w:sz w:val="20"/>
                <w:szCs w:val="20"/>
                <w:color w:val="auto"/>
              </w:rPr>
            </w:pPr>
          </w:p>
        </w:tc>
        <w:tc>
          <w:tcPr>
            <w:tcW w:w="1200" w:type="dxa"/>
            <w:vAlign w:val="bottom"/>
            <w:tcBorders>
              <w:bottom w:val="single" w:sz="8" w:color="6022A6"/>
            </w:tcBorders>
          </w:tcPr>
          <w:p>
            <w:pPr>
              <w:jc w:val="right"/>
              <w:ind w:right="479"/>
              <w:spacing w:after="0"/>
              <w:rPr>
                <w:sz w:val="20"/>
                <w:szCs w:val="20"/>
                <w:color w:val="auto"/>
              </w:rPr>
            </w:pPr>
            <w:r>
              <w:rPr>
                <w:rFonts w:ascii="Arial" w:cs="Arial" w:eastAsia="Arial" w:hAnsi="Arial"/>
                <w:sz w:val="16"/>
                <w:szCs w:val="16"/>
                <w:b w:val="1"/>
                <w:bCs w:val="1"/>
                <w:color w:val="454545"/>
              </w:rPr>
              <w:t>2026</w:t>
            </w:r>
          </w:p>
        </w:tc>
        <w:tc>
          <w:tcPr>
            <w:tcW w:w="540" w:type="dxa"/>
            <w:vAlign w:val="bottom"/>
            <w:tcBorders>
              <w:bottom w:val="single" w:sz="8" w:color="6022A6"/>
            </w:tcBorders>
          </w:tcPr>
          <w:p>
            <w:pPr>
              <w:spacing w:after="0"/>
              <w:rPr>
                <w:sz w:val="20"/>
                <w:szCs w:val="20"/>
                <w:color w:val="auto"/>
              </w:rPr>
            </w:pPr>
          </w:p>
        </w:tc>
        <w:tc>
          <w:tcPr>
            <w:tcW w:w="920" w:type="dxa"/>
            <w:vAlign w:val="bottom"/>
            <w:tcBorders>
              <w:bottom w:val="single" w:sz="8" w:color="6022A6"/>
            </w:tcBorders>
          </w:tcPr>
          <w:p>
            <w:pPr>
              <w:jc w:val="right"/>
              <w:ind w:right="479"/>
              <w:spacing w:after="0"/>
              <w:rPr>
                <w:sz w:val="20"/>
                <w:szCs w:val="20"/>
                <w:color w:val="auto"/>
              </w:rPr>
            </w:pPr>
            <w:r>
              <w:rPr>
                <w:rFonts w:ascii="Arial" w:cs="Arial" w:eastAsia="Arial" w:hAnsi="Arial"/>
                <w:sz w:val="16"/>
                <w:szCs w:val="16"/>
                <w:b w:val="1"/>
                <w:bCs w:val="1"/>
                <w:color w:val="454545"/>
                <w:w w:val="95"/>
              </w:rPr>
              <w:t>2025</w:t>
            </w:r>
          </w:p>
        </w:tc>
        <w:tc>
          <w:tcPr>
            <w:tcW w:w="80" w:type="dxa"/>
            <w:vAlign w:val="bottom"/>
            <w:tcBorders>
              <w:bottom w:val="single" w:sz="8" w:color="6022A6"/>
            </w:tcBorders>
          </w:tcPr>
          <w:p>
            <w:pPr>
              <w:spacing w:after="0"/>
              <w:rPr>
                <w:sz w:val="20"/>
                <w:szCs w:val="20"/>
                <w:color w:val="auto"/>
              </w:rPr>
            </w:pPr>
          </w:p>
        </w:tc>
        <w:tc>
          <w:tcPr>
            <w:tcW w:w="280" w:type="dxa"/>
            <w:vAlign w:val="bottom"/>
            <w:tcBorders>
              <w:bottom w:val="single" w:sz="8" w:color="6022A6"/>
            </w:tcBorders>
          </w:tcPr>
          <w:p>
            <w:pPr>
              <w:spacing w:after="0"/>
              <w:rPr>
                <w:sz w:val="20"/>
                <w:szCs w:val="20"/>
                <w:color w:val="auto"/>
              </w:rPr>
            </w:pPr>
          </w:p>
        </w:tc>
        <w:tc>
          <w:tcPr>
            <w:tcW w:w="1200" w:type="dxa"/>
            <w:vAlign w:val="bottom"/>
            <w:tcBorders>
              <w:bottom w:val="single" w:sz="8" w:color="6022A6"/>
            </w:tcBorders>
          </w:tcPr>
          <w:p>
            <w:pPr>
              <w:jc w:val="right"/>
              <w:ind w:right="479"/>
              <w:spacing w:after="0"/>
              <w:rPr>
                <w:sz w:val="20"/>
                <w:szCs w:val="20"/>
                <w:color w:val="auto"/>
              </w:rPr>
            </w:pPr>
            <w:r>
              <w:rPr>
                <w:rFonts w:ascii="Arial" w:cs="Arial" w:eastAsia="Arial" w:hAnsi="Arial"/>
                <w:sz w:val="16"/>
                <w:szCs w:val="16"/>
                <w:b w:val="1"/>
                <w:bCs w:val="1"/>
                <w:color w:val="454545"/>
              </w:rPr>
              <w:t>2026</w:t>
            </w:r>
          </w:p>
        </w:tc>
        <w:tc>
          <w:tcPr>
            <w:tcW w:w="540" w:type="dxa"/>
            <w:vAlign w:val="bottom"/>
            <w:tcBorders>
              <w:bottom w:val="single" w:sz="8" w:color="6022A6"/>
            </w:tcBorders>
          </w:tcPr>
          <w:p>
            <w:pPr>
              <w:spacing w:after="0"/>
              <w:rPr>
                <w:sz w:val="20"/>
                <w:szCs w:val="20"/>
                <w:color w:val="auto"/>
              </w:rPr>
            </w:pPr>
          </w:p>
        </w:tc>
        <w:tc>
          <w:tcPr>
            <w:tcW w:w="920" w:type="dxa"/>
            <w:vAlign w:val="bottom"/>
            <w:tcBorders>
              <w:bottom w:val="single" w:sz="8" w:color="6022A6"/>
            </w:tcBorders>
          </w:tcPr>
          <w:p>
            <w:pPr>
              <w:jc w:val="right"/>
              <w:ind w:right="479"/>
              <w:spacing w:after="0"/>
              <w:rPr>
                <w:sz w:val="20"/>
                <w:szCs w:val="20"/>
                <w:color w:val="auto"/>
              </w:rPr>
            </w:pPr>
            <w:r>
              <w:rPr>
                <w:rFonts w:ascii="Arial" w:cs="Arial" w:eastAsia="Arial" w:hAnsi="Arial"/>
                <w:sz w:val="16"/>
                <w:szCs w:val="16"/>
                <w:b w:val="1"/>
                <w:bCs w:val="1"/>
                <w:color w:val="454545"/>
                <w:w w:val="95"/>
              </w:rPr>
              <w:t>2025</w:t>
            </w:r>
          </w:p>
        </w:tc>
        <w:tc>
          <w:tcPr>
            <w:tcW w:w="0" w:type="dxa"/>
            <w:vAlign w:val="bottom"/>
          </w:tcPr>
          <w:p>
            <w:pPr>
              <w:spacing w:after="0"/>
              <w:rPr>
                <w:sz w:val="1"/>
                <w:szCs w:val="1"/>
                <w:color w:val="auto"/>
              </w:rPr>
            </w:pPr>
          </w:p>
        </w:tc>
      </w:tr>
      <w:tr>
        <w:trPr>
          <w:trHeight w:val="237"/>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615</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446</w:t>
            </w:r>
          </w:p>
        </w:tc>
        <w:tc>
          <w:tcPr>
            <w:tcW w:w="36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1,564</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1,495</w:t>
            </w:r>
          </w:p>
        </w:tc>
        <w:tc>
          <w:tcPr>
            <w:tcW w:w="0" w:type="dxa"/>
            <w:vAlign w:val="bottom"/>
          </w:tcPr>
          <w:p>
            <w:pPr>
              <w:spacing w:after="0"/>
              <w:rPr>
                <w:sz w:val="1"/>
                <w:szCs w:val="1"/>
                <w:color w:val="auto"/>
              </w:rPr>
            </w:pPr>
          </w:p>
        </w:tc>
      </w:tr>
      <w:tr>
        <w:trPr>
          <w:trHeight w:val="256"/>
        </w:trPr>
        <w:tc>
          <w:tcPr>
            <w:tcW w:w="530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55"/>
        </w:trPr>
        <w:tc>
          <w:tcPr>
            <w:tcW w:w="530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top w:val="single" w:sz="8" w:color="auto"/>
              <w:bottom w:val="single" w:sz="8" w:color="E4E4E4"/>
            </w:tcBorders>
            <w:shd w:val="clear" w:color="auto" w:fill="E4E4E4"/>
          </w:tcPr>
          <w:p>
            <w:pPr>
              <w:spacing w:after="0"/>
              <w:rPr>
                <w:sz w:val="21"/>
                <w:szCs w:val="21"/>
                <w:color w:val="auto"/>
              </w:rPr>
            </w:pPr>
          </w:p>
        </w:tc>
        <w:tc>
          <w:tcPr>
            <w:tcW w:w="12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623</w:t>
            </w:r>
          </w:p>
        </w:tc>
        <w:tc>
          <w:tcPr>
            <w:tcW w:w="540" w:type="dxa"/>
            <w:vAlign w:val="bottom"/>
            <w:tcBorders>
              <w:top w:val="single" w:sz="8" w:color="auto"/>
              <w:bottom w:val="single" w:sz="8" w:color="E4E4E4"/>
            </w:tcBorders>
            <w:shd w:val="clear" w:color="auto" w:fill="E4E4E4"/>
          </w:tcPr>
          <w:p>
            <w:pPr>
              <w:spacing w:after="0"/>
              <w:rPr>
                <w:sz w:val="21"/>
                <w:szCs w:val="21"/>
                <w:color w:val="auto"/>
              </w:rPr>
            </w:pPr>
          </w:p>
        </w:tc>
        <w:tc>
          <w:tcPr>
            <w:tcW w:w="9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464</w:t>
            </w:r>
          </w:p>
        </w:tc>
        <w:tc>
          <w:tcPr>
            <w:tcW w:w="80" w:type="dxa"/>
            <w:vAlign w:val="bottom"/>
            <w:tcBorders>
              <w:top w:val="single" w:sz="8" w:color="E4E4E4"/>
              <w:bottom w:val="single" w:sz="8" w:color="E4E4E4"/>
            </w:tcBorders>
            <w:shd w:val="clear" w:color="auto" w:fill="E4E4E4"/>
          </w:tcPr>
          <w:p>
            <w:pPr>
              <w:spacing w:after="0"/>
              <w:rPr>
                <w:sz w:val="21"/>
                <w:szCs w:val="21"/>
                <w:color w:val="auto"/>
              </w:rPr>
            </w:pPr>
          </w:p>
        </w:tc>
        <w:tc>
          <w:tcPr>
            <w:tcW w:w="280" w:type="dxa"/>
            <w:vAlign w:val="bottom"/>
            <w:tcBorders>
              <w:top w:val="single" w:sz="8" w:color="auto"/>
              <w:bottom w:val="single" w:sz="8" w:color="E4E4E4"/>
            </w:tcBorders>
            <w:shd w:val="clear" w:color="auto" w:fill="E4E4E4"/>
          </w:tcPr>
          <w:p>
            <w:pPr>
              <w:spacing w:after="0"/>
              <w:rPr>
                <w:sz w:val="21"/>
                <w:szCs w:val="21"/>
                <w:color w:val="auto"/>
              </w:rPr>
            </w:pPr>
          </w:p>
        </w:tc>
        <w:tc>
          <w:tcPr>
            <w:tcW w:w="12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1,608</w:t>
            </w:r>
          </w:p>
        </w:tc>
        <w:tc>
          <w:tcPr>
            <w:tcW w:w="540" w:type="dxa"/>
            <w:vAlign w:val="bottom"/>
            <w:tcBorders>
              <w:top w:val="single" w:sz="8" w:color="auto"/>
              <w:bottom w:val="single" w:sz="8" w:color="E4E4E4"/>
            </w:tcBorders>
            <w:shd w:val="clear" w:color="auto" w:fill="E4E4E4"/>
          </w:tcPr>
          <w:p>
            <w:pPr>
              <w:spacing w:after="0"/>
              <w:rPr>
                <w:sz w:val="21"/>
                <w:szCs w:val="21"/>
                <w:color w:val="auto"/>
              </w:rPr>
            </w:pPr>
          </w:p>
        </w:tc>
        <w:tc>
          <w:tcPr>
            <w:tcW w:w="9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1,552</w:t>
            </w:r>
          </w:p>
        </w:tc>
        <w:tc>
          <w:tcPr>
            <w:tcW w:w="0" w:type="dxa"/>
            <w:vAlign w:val="bottom"/>
          </w:tcPr>
          <w:p>
            <w:pPr>
              <w:spacing w:after="0"/>
              <w:rPr>
                <w:sz w:val="1"/>
                <w:szCs w:val="1"/>
                <w:color w:val="auto"/>
              </w:rPr>
            </w:pPr>
          </w:p>
        </w:tc>
      </w:tr>
      <w:tr>
        <w:trPr>
          <w:trHeight w:val="216"/>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Currency translation adjustments – net of taxes</w:t>
            </w:r>
          </w:p>
        </w:tc>
        <w:tc>
          <w:tcPr>
            <w:tcW w:w="26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w:t>
            </w:r>
          </w:p>
        </w:tc>
        <w:tc>
          <w:tcPr>
            <w:tcW w:w="5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w:t>
            </w:r>
          </w:p>
        </w:tc>
        <w:tc>
          <w:tcPr>
            <w:tcW w:w="5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Arial" w:cs="Arial" w:eastAsia="Arial" w:hAnsi="Arial"/>
                <w:sz w:val="16"/>
                <w:szCs w:val="16"/>
                <w:color w:val="auto"/>
              </w:rPr>
              <w:t>Pension and Other Postretirement Plans – net of taxes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 – net of taxes</w:t>
            </w:r>
          </w:p>
        </w:tc>
        <w:tc>
          <w:tcPr>
            <w:tcW w:w="26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5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auto"/>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5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9"/>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w:t>
            </w: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218</w:t>
            </w:r>
          </w:p>
        </w:tc>
        <w:tc>
          <w:tcPr>
            <w:tcW w:w="0" w:type="dxa"/>
            <w:vAlign w:val="bottom"/>
          </w:tcPr>
          <w:p>
            <w:pPr>
              <w:spacing w:after="0"/>
              <w:rPr>
                <w:sz w:val="1"/>
                <w:szCs w:val="1"/>
                <w:color w:val="auto"/>
              </w:rPr>
            </w:pP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60" w:type="dxa"/>
            <w:vAlign w:val="bottom"/>
            <w:tcBorders>
              <w:bottom w:val="single" w:sz="8" w:color="E4E4E4"/>
            </w:tcBorders>
            <w:shd w:val="clear" w:color="auto" w:fill="E4E4E4"/>
          </w:tcPr>
          <w:p>
            <w:pPr>
              <w:spacing w:after="0"/>
              <w:rPr>
                <w:sz w:val="21"/>
                <w:szCs w:val="21"/>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643</w:t>
            </w:r>
          </w:p>
        </w:tc>
        <w:tc>
          <w:tcPr>
            <w:tcW w:w="5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393</w:t>
            </w:r>
          </w:p>
        </w:tc>
        <w:tc>
          <w:tcPr>
            <w:tcW w:w="80" w:type="dxa"/>
            <w:vAlign w:val="bottom"/>
            <w:tcBorders>
              <w:bottom w:val="single" w:sz="8" w:color="E4E4E4"/>
            </w:tcBorders>
            <w:shd w:val="clear" w:color="auto" w:fill="E4E4E4"/>
          </w:tcPr>
          <w:p>
            <w:pPr>
              <w:spacing w:after="0"/>
              <w:rPr>
                <w:sz w:val="21"/>
                <w:szCs w:val="21"/>
                <w:color w:val="auto"/>
              </w:rPr>
            </w:pPr>
          </w:p>
        </w:tc>
        <w:tc>
          <w:tcPr>
            <w:tcW w:w="280" w:type="dxa"/>
            <w:vAlign w:val="bottom"/>
            <w:tcBorders>
              <w:bottom w:val="single" w:sz="8" w:color="E4E4E4"/>
            </w:tcBorders>
            <w:shd w:val="clear" w:color="auto" w:fill="E4E4E4"/>
          </w:tcPr>
          <w:p>
            <w:pPr>
              <w:spacing w:after="0"/>
              <w:rPr>
                <w:sz w:val="21"/>
                <w:szCs w:val="21"/>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1,528</w:t>
            </w:r>
          </w:p>
        </w:tc>
        <w:tc>
          <w:tcPr>
            <w:tcW w:w="5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1,770</w:t>
            </w:r>
          </w:p>
        </w:tc>
        <w:tc>
          <w:tcPr>
            <w:tcW w:w="0" w:type="dxa"/>
            <w:vAlign w:val="bottom"/>
          </w:tcPr>
          <w:p>
            <w:pPr>
              <w:spacing w:after="0"/>
              <w:rPr>
                <w:sz w:val="1"/>
                <w:szCs w:val="1"/>
                <w:color w:val="auto"/>
              </w:rPr>
            </w:pPr>
          </w:p>
        </w:tc>
      </w:tr>
      <w:tr>
        <w:trPr>
          <w:trHeight w:val="182"/>
        </w:trPr>
        <w:tc>
          <w:tcPr>
            <w:tcW w:w="53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6"/>
                <w:szCs w:val="16"/>
                <w:color w:val="auto"/>
              </w:rPr>
              <w:t>Less: Comprehensive income (loss) attributable to noncontrolling</w:t>
            </w: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w:t>
            </w:r>
          </w:p>
        </w:tc>
        <w:tc>
          <w:tcPr>
            <w:tcW w:w="5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34</w:t>
            </w:r>
          </w:p>
        </w:tc>
        <w:tc>
          <w:tcPr>
            <w:tcW w:w="5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4"/>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attributable to GE HealthCare</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636</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380</w:t>
            </w:r>
          </w:p>
        </w:tc>
        <w:tc>
          <w:tcPr>
            <w:tcW w:w="36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1,494</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1,718</w:t>
            </w:r>
          </w:p>
        </w:tc>
        <w:tc>
          <w:tcPr>
            <w:tcW w:w="0" w:type="dxa"/>
            <w:vAlign w:val="bottom"/>
          </w:tcPr>
          <w:p>
            <w:pPr>
              <w:spacing w:after="0"/>
              <w:rPr>
                <w:sz w:val="1"/>
                <w:szCs w:val="1"/>
                <w:color w:val="auto"/>
              </w:rPr>
            </w:pPr>
          </w:p>
        </w:tc>
      </w:tr>
      <w:tr>
        <w:trPr>
          <w:trHeight w:val="20"/>
        </w:trPr>
        <w:tc>
          <w:tcPr>
            <w:tcW w:w="5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Financial Position (Unaudited)</w:t>
            </w: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2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454545"/>
              </w:rPr>
              <w:t>As of</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8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share and per share amounts)</w:t>
            </w:r>
          </w:p>
        </w:tc>
        <w:tc>
          <w:tcPr>
            <w:tcW w:w="1660" w:type="dxa"/>
            <w:vAlign w:val="bottom"/>
            <w:tcBorders>
              <w:bottom w:val="single" w:sz="8" w:color="454545"/>
            </w:tcBorders>
            <w:gridSpan w:val="2"/>
          </w:tcPr>
          <w:p>
            <w:pPr>
              <w:spacing w:after="0" w:line="20" w:lineRule="exact"/>
              <w:rPr>
                <w:sz w:val="1"/>
                <w:szCs w:val="1"/>
                <w:color w:val="auto"/>
              </w:rPr>
            </w:pPr>
          </w:p>
        </w:tc>
        <w:tc>
          <w:tcPr>
            <w:tcW w:w="1700" w:type="dxa"/>
            <w:vAlign w:val="bottom"/>
            <w:tcBorders>
              <w:bottom w:val="single" w:sz="8" w:color="454545"/>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840" w:type="dxa"/>
            <w:vAlign w:val="bottom"/>
            <w:vMerge w:val="continue"/>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September 30, 2026</w:t>
            </w:r>
          </w:p>
        </w:tc>
        <w:tc>
          <w:tcPr>
            <w:tcW w:w="17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454545"/>
              </w:rPr>
              <w:t>December 31, 2025</w:t>
            </w:r>
          </w:p>
        </w:tc>
        <w:tc>
          <w:tcPr>
            <w:tcW w:w="0" w:type="dxa"/>
            <w:vAlign w:val="bottom"/>
          </w:tcPr>
          <w:p>
            <w:pPr>
              <w:spacing w:after="0"/>
              <w:rPr>
                <w:sz w:val="1"/>
                <w:szCs w:val="1"/>
                <w:color w:val="auto"/>
              </w:rPr>
            </w:pPr>
          </w:p>
        </w:tc>
      </w:tr>
      <w:tr>
        <w:trPr>
          <w:trHeight w:val="21"/>
        </w:trPr>
        <w:tc>
          <w:tcPr>
            <w:tcW w:w="7840" w:type="dxa"/>
            <w:vAlign w:val="bottom"/>
            <w:tcBorders>
              <w:bottom w:val="single" w:sz="8" w:color="6022A6"/>
            </w:tcBorders>
          </w:tcPr>
          <w:p>
            <w:pPr>
              <w:spacing w:after="0" w:line="20" w:lineRule="exact"/>
              <w:rPr>
                <w:sz w:val="1"/>
                <w:szCs w:val="1"/>
                <w:color w:val="auto"/>
              </w:rPr>
            </w:pPr>
          </w:p>
        </w:tc>
        <w:tc>
          <w:tcPr>
            <w:tcW w:w="62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620" w:type="dxa"/>
            <w:vAlign w:val="bottom"/>
            <w:tcBorders>
              <w:bottom w:val="single" w:sz="8" w:color="E4E4E4"/>
            </w:tcBorders>
            <w:shd w:val="clear" w:color="auto" w:fill="E4E4E4"/>
          </w:tcPr>
          <w:p>
            <w:pPr>
              <w:jc w:val="right"/>
              <w:ind w:right="4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2,854</w:t>
            </w:r>
          </w:p>
        </w:tc>
        <w:tc>
          <w:tcPr>
            <w:tcW w:w="68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4,512</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Receivables – net of allowances of $101 and $103</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3,925</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3,955</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Inventories</w:t>
            </w:r>
          </w:p>
        </w:tc>
        <w:tc>
          <w:tcPr>
            <w:tcW w:w="6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2,628</w:t>
            </w:r>
          </w:p>
        </w:tc>
        <w:tc>
          <w:tcPr>
            <w:tcW w:w="6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2,234</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Contract and other deferred assets</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1,365</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current assets</w:t>
            </w:r>
          </w:p>
        </w:tc>
        <w:tc>
          <w:tcPr>
            <w:tcW w:w="6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723</w:t>
            </w:r>
          </w:p>
        </w:tc>
        <w:tc>
          <w:tcPr>
            <w:tcW w:w="6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assets</w:t>
            </w:r>
          </w:p>
        </w:tc>
        <w:tc>
          <w:tcPr>
            <w:tcW w:w="6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11,495</w:t>
            </w:r>
          </w:p>
        </w:tc>
        <w:tc>
          <w:tcPr>
            <w:tcW w:w="6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12,501</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Property, plant, and equipment – net</w:t>
            </w:r>
          </w:p>
        </w:tc>
        <w:tc>
          <w:tcPr>
            <w:tcW w:w="6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3,219</w:t>
            </w:r>
          </w:p>
        </w:tc>
        <w:tc>
          <w:tcPr>
            <w:tcW w:w="6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3,092</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Goodwill</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15,140</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13,489</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intangible assets – net</w:t>
            </w:r>
          </w:p>
        </w:tc>
        <w:tc>
          <w:tcPr>
            <w:tcW w:w="6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1,812</w:t>
            </w:r>
          </w:p>
        </w:tc>
        <w:tc>
          <w:tcPr>
            <w:tcW w:w="6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4,423</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4,491</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non-current assets</w:t>
            </w:r>
          </w:p>
        </w:tc>
        <w:tc>
          <w:tcPr>
            <w:tcW w:w="6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2,283</w:t>
            </w:r>
          </w:p>
        </w:tc>
        <w:tc>
          <w:tcPr>
            <w:tcW w:w="6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2,205</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38,371</w:t>
            </w:r>
          </w:p>
        </w:tc>
        <w:tc>
          <w:tcPr>
            <w:tcW w:w="68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36,906</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Short-term borrowings</w:t>
            </w:r>
          </w:p>
        </w:tc>
        <w:tc>
          <w:tcPr>
            <w:tcW w:w="620" w:type="dxa"/>
            <w:vAlign w:val="bottom"/>
            <w:tcBorders>
              <w:bottom w:val="single" w:sz="8" w:color="E4E4E4"/>
            </w:tcBorders>
            <w:shd w:val="clear" w:color="auto" w:fill="E4E4E4"/>
          </w:tcPr>
          <w:p>
            <w:pPr>
              <w:jc w:val="right"/>
              <w:ind w:right="4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68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3,320</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6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2,251</w:t>
            </w:r>
          </w:p>
        </w:tc>
        <w:tc>
          <w:tcPr>
            <w:tcW w:w="6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2,095</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Current compensation and benefits</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1,626</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1,666</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current liabilities</w:t>
            </w:r>
          </w:p>
        </w:tc>
        <w:tc>
          <w:tcPr>
            <w:tcW w:w="6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1,615</w:t>
            </w:r>
          </w:p>
        </w:tc>
        <w:tc>
          <w:tcPr>
            <w:tcW w:w="6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1,587</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6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8,815</w:t>
            </w:r>
          </w:p>
        </w:tc>
        <w:tc>
          <w:tcPr>
            <w:tcW w:w="6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9,105</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borrowings</w:t>
            </w:r>
          </w:p>
        </w:tc>
        <w:tc>
          <w:tcPr>
            <w:tcW w:w="6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9,970</w:t>
            </w:r>
          </w:p>
        </w:tc>
        <w:tc>
          <w:tcPr>
            <w:tcW w:w="6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9,495</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Non-current compensation and benefits</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5,107</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5,453</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Deferred income taxes</w:t>
            </w:r>
          </w:p>
        </w:tc>
        <w:tc>
          <w:tcPr>
            <w:tcW w:w="6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318</w:t>
            </w:r>
          </w:p>
        </w:tc>
        <w:tc>
          <w:tcPr>
            <w:tcW w:w="6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All other non-current liabilities</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2,297</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2,061</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liabilities</w:t>
            </w:r>
          </w:p>
        </w:tc>
        <w:tc>
          <w:tcPr>
            <w:tcW w:w="62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26,508</w:t>
            </w:r>
          </w:p>
        </w:tc>
        <w:tc>
          <w:tcPr>
            <w:tcW w:w="68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26,307</w:t>
            </w:r>
          </w:p>
        </w:tc>
        <w:tc>
          <w:tcPr>
            <w:tcW w:w="0" w:type="dxa"/>
            <w:vAlign w:val="bottom"/>
          </w:tcPr>
          <w:p>
            <w:pPr>
              <w:spacing w:after="0"/>
              <w:rPr>
                <w:sz w:val="1"/>
                <w:szCs w:val="1"/>
                <w:color w:val="auto"/>
              </w:rPr>
            </w:pPr>
          </w:p>
        </w:tc>
      </w:tr>
      <w:tr>
        <w:trPr>
          <w:trHeight w:val="221"/>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i w:val="1"/>
                <w:iCs w:val="1"/>
                <w:color w:val="auto"/>
              </w:rPr>
              <w:t>Commitments and contingencies</w:t>
            </w:r>
          </w:p>
        </w:tc>
        <w:tc>
          <w:tcPr>
            <w:tcW w:w="6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6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234</w:t>
            </w:r>
          </w:p>
        </w:tc>
        <w:tc>
          <w:tcPr>
            <w:tcW w:w="6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209</w:t>
            </w:r>
          </w:p>
        </w:tc>
        <w:tc>
          <w:tcPr>
            <w:tcW w:w="0" w:type="dxa"/>
            <w:vAlign w:val="bottom"/>
          </w:tcPr>
          <w:p>
            <w:pPr>
              <w:spacing w:after="0"/>
              <w:rPr>
                <w:sz w:val="1"/>
                <w:szCs w:val="1"/>
                <w:color w:val="auto"/>
              </w:rPr>
            </w:pPr>
          </w:p>
        </w:tc>
      </w:tr>
      <w:tr>
        <w:trPr>
          <w:trHeight w:val="20"/>
        </w:trPr>
        <w:tc>
          <w:tcPr>
            <w:tcW w:w="78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30" w:right="359" w:bottom="1440" w:gutter="0" w:footer="0" w:header="0"/>
        </w:sectPr>
      </w:pPr>
    </w:p>
    <w:p>
      <w:pPr>
        <w:ind w:left="40" w:right="520"/>
        <w:spacing w:after="0" w:line="299" w:lineRule="auto"/>
        <w:rPr>
          <w:sz w:val="20"/>
          <w:szCs w:val="20"/>
          <w:color w:val="auto"/>
        </w:rPr>
      </w:pPr>
      <w:r>
        <w:rPr>
          <w:rFonts w:ascii="Arial" w:cs="Arial" w:eastAsia="Arial" w:hAnsi="Arial"/>
          <w:sz w:val="16"/>
          <w:szCs w:val="16"/>
          <w:color w:val="auto"/>
        </w:rPr>
        <w:t>Common stock, par value $0.01 per share, 1,000,000,000 shares authorized, 459,920,180 shares issued as of September 30, 2026; 458,844,209 shares issued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wp:posOffset>
            </wp:positionV>
            <wp:extent cx="7115175"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ind w:left="40" w:right="560"/>
        <w:spacing w:after="0" w:line="299" w:lineRule="auto"/>
        <w:rPr>
          <w:sz w:val="20"/>
          <w:szCs w:val="20"/>
          <w:color w:val="auto"/>
        </w:rPr>
      </w:pPr>
      <w:r>
        <w:rPr>
          <w:rFonts w:ascii="Arial" w:cs="Arial" w:eastAsia="Arial" w:hAnsi="Arial"/>
          <w:sz w:val="16"/>
          <w:szCs w:val="16"/>
          <w:color w:val="auto"/>
        </w:rPr>
        <w:t>Treasury stock, at cost, 7,785,199 shares as of September 30, 2026 and 3,107,626 shares as of December 31, 2025</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15175"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Retained earnings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other comprehensive income (loss) – net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380"/>
        <w:spacing w:after="0"/>
        <w:tabs>
          <w:tab w:leader="none" w:pos="204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6"/>
          <w:szCs w:val="16"/>
          <w:color w:val="auto"/>
        </w:rPr>
        <w:t>5</w:t>
      </w:r>
    </w:p>
    <w:p>
      <w:pPr>
        <w:spacing w:after="0" w:line="275" w:lineRule="exact"/>
        <w:rPr>
          <w:sz w:val="20"/>
          <w:szCs w:val="20"/>
          <w:color w:val="auto"/>
        </w:rPr>
      </w:pPr>
    </w:p>
    <w:p>
      <w:pPr>
        <w:ind w:left="1820" w:hanging="1686"/>
        <w:spacing w:after="0"/>
        <w:tabs>
          <w:tab w:leader="none" w:pos="1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(225)</w:t>
      </w:r>
    </w:p>
    <w:p>
      <w:pPr>
        <w:spacing w:after="0" w:line="181" w:lineRule="exact"/>
        <w:rPr>
          <w:sz w:val="20"/>
          <w:szCs w:val="20"/>
          <w:color w:val="auto"/>
        </w:rPr>
      </w:pPr>
    </w:p>
    <w:p>
      <w:pPr>
        <w:ind w:left="60"/>
        <w:spacing w:after="0"/>
        <w:tabs>
          <w:tab w:leader="none" w:pos="1720" w:val="left"/>
        </w:tabs>
        <w:rPr>
          <w:sz w:val="20"/>
          <w:szCs w:val="20"/>
          <w:color w:val="auto"/>
        </w:rPr>
      </w:pPr>
      <w:r>
        <w:rPr>
          <w:rFonts w:ascii="Arial" w:cs="Arial" w:eastAsia="Arial" w:hAnsi="Arial"/>
          <w:sz w:val="16"/>
          <w:szCs w:val="16"/>
          <w:color w:val="auto"/>
        </w:rPr>
        <w:t>6,797</w:t>
      </w:r>
      <w:r>
        <w:rPr>
          <w:sz w:val="20"/>
          <w:szCs w:val="20"/>
          <w:color w:val="auto"/>
        </w:rPr>
        <w:tab/>
      </w:r>
      <w:r>
        <w:rPr>
          <w:rFonts w:ascii="Arial" w:cs="Arial" w:eastAsia="Arial" w:hAnsi="Arial"/>
          <w:sz w:val="16"/>
          <w:szCs w:val="16"/>
          <w:color w:val="auto"/>
        </w:rPr>
        <w:t>6,707</w:t>
      </w:r>
    </w:p>
    <w:p>
      <w:pPr>
        <w:spacing w:after="0" w:line="73" w:lineRule="exact"/>
        <w:rPr>
          <w:sz w:val="20"/>
          <w:szCs w:val="20"/>
          <w:color w:val="auto"/>
        </w:rPr>
      </w:pPr>
    </w:p>
    <w:p>
      <w:pPr>
        <w:ind w:left="60"/>
        <w:spacing w:after="0"/>
        <w:tabs>
          <w:tab w:leader="none" w:pos="1720" w:val="left"/>
        </w:tabs>
        <w:rPr>
          <w:sz w:val="20"/>
          <w:szCs w:val="20"/>
          <w:color w:val="auto"/>
        </w:rPr>
      </w:pPr>
      <w:r>
        <w:rPr>
          <w:rFonts w:ascii="Arial" w:cs="Arial" w:eastAsia="Arial" w:hAnsi="Arial"/>
          <w:sz w:val="16"/>
          <w:szCs w:val="16"/>
          <w:color w:val="auto"/>
        </w:rPr>
        <w:t>6,795</w:t>
      </w:r>
      <w:r>
        <w:rPr>
          <w:sz w:val="20"/>
          <w:szCs w:val="20"/>
          <w:color w:val="auto"/>
        </w:rPr>
        <w:tab/>
      </w:r>
      <w:r>
        <w:rPr>
          <w:rFonts w:ascii="Arial" w:cs="Arial" w:eastAsia="Arial" w:hAnsi="Arial"/>
          <w:sz w:val="16"/>
          <w:szCs w:val="16"/>
          <w:color w:val="auto"/>
        </w:rPr>
        <w:t>5,281</w:t>
      </w:r>
    </w:p>
    <w:p>
      <w:pPr>
        <w:spacing w:after="0" w:line="73"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(1,459)</w:t>
      </w:r>
      <w:r>
        <w:rPr>
          <w:sz w:val="20"/>
          <w:szCs w:val="20"/>
          <w:color w:val="auto"/>
        </w:rPr>
        <w:tab/>
      </w:r>
      <w:r>
        <w:rPr>
          <w:rFonts w:ascii="Arial" w:cs="Arial" w:eastAsia="Arial" w:hAnsi="Arial"/>
          <w:sz w:val="16"/>
          <w:szCs w:val="16"/>
          <w:color w:val="auto"/>
        </w:rPr>
        <w:t>(1,388)</w:t>
      </w:r>
    </w:p>
    <w:p>
      <w:pPr>
        <w:spacing w:after="0" w:line="40" w:lineRule="exact"/>
        <w:rPr>
          <w:sz w:val="20"/>
          <w:szCs w:val="20"/>
          <w:color w:val="auto"/>
        </w:rPr>
      </w:pPr>
    </w:p>
    <w:p>
      <w:pPr>
        <w:sectPr>
          <w:pgSz w:w="11900" w:h="16838" w:orient="portrait"/>
          <w:cols w:equalWidth="0" w:num="2">
            <w:col w:w="8280" w:space="720"/>
            <w:col w:w="2220"/>
          </w:cols>
          <w:pgMar w:left="320" w:top="130" w:right="359" w:bottom="1440" w:gutter="0" w:footer="0" w:header="0"/>
          <w:type w:val="continuous"/>
        </w:sectPr>
      </w:pPr>
    </w:p>
    <w:tbl>
      <w:tblPr>
        <w:tblLayout w:type="fixed"/>
        <w:tblInd w:w="20" w:type="dxa"/>
        <w:tblCellMar>
          <w:top w:w="0" w:type="dxa"/>
          <w:left w:w="0" w:type="dxa"/>
          <w:bottom w:w="0" w:type="dxa"/>
          <w:right w:w="0" w:type="dxa"/>
        </w:tblCellMar>
      </w:tblPr>
      <w:tr>
        <w:trPr>
          <w:trHeight w:val="250"/>
        </w:trPr>
        <w:tc>
          <w:tcPr>
            <w:tcW w:w="640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equity attributable to GE HealthCare</w:t>
            </w:r>
          </w:p>
        </w:tc>
        <w:tc>
          <w:tcPr>
            <w:tcW w:w="2060" w:type="dxa"/>
            <w:vAlign w:val="bottom"/>
            <w:tcBorders>
              <w:top w:val="single" w:sz="8" w:color="auto"/>
              <w:bottom w:val="single" w:sz="8" w:color="E4E4E4"/>
            </w:tcBorders>
            <w:shd w:val="clear" w:color="auto" w:fill="E4E4E4"/>
          </w:tcPr>
          <w:p>
            <w:pPr>
              <w:spacing w:after="0"/>
              <w:rPr>
                <w:sz w:val="21"/>
                <w:szCs w:val="21"/>
                <w:color w:val="auto"/>
              </w:rPr>
            </w:pPr>
          </w:p>
        </w:tc>
        <w:tc>
          <w:tcPr>
            <w:tcW w:w="10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11,614</w:t>
            </w:r>
          </w:p>
        </w:tc>
        <w:tc>
          <w:tcPr>
            <w:tcW w:w="640" w:type="dxa"/>
            <w:vAlign w:val="bottom"/>
            <w:tcBorders>
              <w:top w:val="single" w:sz="8" w:color="auto"/>
              <w:bottom w:val="single" w:sz="8" w:color="E4E4E4"/>
            </w:tcBorders>
            <w:shd w:val="clear" w:color="auto" w:fill="E4E4E4"/>
          </w:tcPr>
          <w:p>
            <w:pPr>
              <w:spacing w:after="0"/>
              <w:rPr>
                <w:sz w:val="21"/>
                <w:szCs w:val="21"/>
                <w:color w:val="auto"/>
              </w:rPr>
            </w:pPr>
          </w:p>
        </w:tc>
        <w:tc>
          <w:tcPr>
            <w:tcW w:w="10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10,379</w:t>
            </w:r>
          </w:p>
        </w:tc>
      </w:tr>
      <w:tr>
        <w:trPr>
          <w:trHeight w:val="228"/>
        </w:trPr>
        <w:tc>
          <w:tcPr>
            <w:tcW w:w="640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20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9"/>
        </w:trPr>
        <w:tc>
          <w:tcPr>
            <w:tcW w:w="64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equity</w:t>
            </w:r>
          </w:p>
        </w:tc>
        <w:tc>
          <w:tcPr>
            <w:tcW w:w="206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11,630</w:t>
            </w:r>
          </w:p>
        </w:tc>
        <w:tc>
          <w:tcPr>
            <w:tcW w:w="64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10,390</w:t>
            </w:r>
          </w:p>
        </w:tc>
      </w:tr>
      <w:tr>
        <w:trPr>
          <w:trHeight w:val="229"/>
        </w:trPr>
        <w:tc>
          <w:tcPr>
            <w:tcW w:w="6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redeemable noncontrolling interests, and equity</w:t>
            </w:r>
          </w:p>
        </w:tc>
        <w:tc>
          <w:tcPr>
            <w:tcW w:w="206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38,371</w:t>
            </w:r>
          </w:p>
        </w:tc>
        <w:tc>
          <w:tcPr>
            <w:tcW w:w="64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36,906</w:t>
            </w:r>
          </w:p>
        </w:tc>
      </w:tr>
      <w:tr>
        <w:trPr>
          <w:trHeight w:val="21"/>
        </w:trPr>
        <w:tc>
          <w:tcPr>
            <w:tcW w:w="64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20"/>
          </w:cols>
          <w:pgMar w:left="320" w:top="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00" w:type="dxa"/>
            <w:vAlign w:val="bottom"/>
            <w:gridSpan w:val="5"/>
          </w:tcPr>
          <w:p>
            <w:pPr>
              <w:ind w:left="20"/>
              <w:spacing w:after="0"/>
              <w:rPr>
                <w:sz w:val="20"/>
                <w:szCs w:val="20"/>
                <w:color w:val="auto"/>
              </w:rPr>
            </w:pPr>
            <w:r>
              <w:rPr>
                <w:rFonts w:ascii="Arial" w:cs="Arial" w:eastAsia="Arial" w:hAnsi="Arial"/>
                <w:sz w:val="16"/>
                <w:szCs w:val="16"/>
                <w:b w:val="1"/>
                <w:bCs w:val="1"/>
                <w:color w:val="auto"/>
              </w:rPr>
              <w:t>Condensed Consolidated Statements of Changes in Equity (Unaudited)</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2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Common stock</w:t>
            </w:r>
          </w:p>
        </w:tc>
        <w:tc>
          <w:tcPr>
            <w:tcW w:w="180" w:type="dxa"/>
            <w:vAlign w:val="bottom"/>
          </w:tcPr>
          <w:p>
            <w:pPr>
              <w:spacing w:after="0"/>
              <w:rPr>
                <w:sz w:val="24"/>
                <w:szCs w:val="24"/>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454545"/>
              </w:rPr>
              <w:t>Treasury stock</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454545"/>
                <w:w w:val="99"/>
              </w:rPr>
              <w:t>Accumulated</w:t>
            </w:r>
          </w:p>
        </w:tc>
        <w:tc>
          <w:tcPr>
            <w:tcW w:w="180" w:type="dxa"/>
            <w:vAlign w:val="bottom"/>
          </w:tcPr>
          <w:p>
            <w:pPr>
              <w:spacing w:after="0" w:line="20" w:lineRule="exact"/>
              <w:rPr>
                <w:sz w:val="1"/>
                <w:szCs w:val="1"/>
                <w:color w:val="auto"/>
              </w:rPr>
            </w:pPr>
          </w:p>
        </w:tc>
        <w:tc>
          <w:tcPr>
            <w:tcW w:w="102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454545"/>
              </w:rPr>
              <w:t>Equity</w:t>
            </w: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Additional</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other</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comprehensive</w:t>
            </w:r>
          </w:p>
        </w:tc>
        <w:tc>
          <w:tcPr>
            <w:tcW w:w="12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attributable to</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454545"/>
              </w:rPr>
              <w:t>Shares</w:t>
            </w:r>
          </w:p>
        </w:tc>
        <w:tc>
          <w:tcPr>
            <w:tcW w:w="7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454545"/>
              </w:rPr>
              <w:t>Amount</w:t>
            </w:r>
          </w:p>
        </w:tc>
        <w:tc>
          <w:tcPr>
            <w:tcW w:w="7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454545"/>
              </w:rPr>
              <w:t>Shares</w:t>
            </w:r>
          </w:p>
        </w:tc>
        <w:tc>
          <w:tcPr>
            <w:tcW w:w="740" w:type="dxa"/>
            <w:vAlign w:val="bottom"/>
            <w:vMerge w:val="restart"/>
          </w:tcPr>
          <w:p>
            <w:pPr>
              <w:jc w:val="center"/>
              <w:spacing w:after="0"/>
              <w:rPr>
                <w:sz w:val="20"/>
                <w:szCs w:val="20"/>
                <w:color w:val="auto"/>
              </w:rPr>
            </w:pPr>
            <w:r>
              <w:rPr>
                <w:rFonts w:ascii="Arial" w:cs="Arial" w:eastAsia="Arial" w:hAnsi="Arial"/>
                <w:sz w:val="16"/>
                <w:szCs w:val="16"/>
                <w:b w:val="1"/>
                <w:bCs w:val="1"/>
                <w:color w:val="454545"/>
              </w:rPr>
              <w:t>Amount</w:t>
            </w:r>
          </w:p>
        </w:tc>
        <w:tc>
          <w:tcPr>
            <w:tcW w:w="140" w:type="dxa"/>
            <w:vAlign w:val="bottom"/>
          </w:tcPr>
          <w:p>
            <w:pPr>
              <w:spacing w:after="0"/>
              <w:rPr>
                <w:sz w:val="15"/>
                <w:szCs w:val="15"/>
                <w:color w:val="auto"/>
              </w:rPr>
            </w:pPr>
          </w:p>
        </w:tc>
        <w:tc>
          <w:tcPr>
            <w:tcW w:w="740" w:type="dxa"/>
            <w:vAlign w:val="bottom"/>
          </w:tcPr>
          <w:p>
            <w:pPr>
              <w:jc w:val="center"/>
              <w:ind w:right="59"/>
              <w:spacing w:after="0" w:line="176" w:lineRule="exact"/>
              <w:rPr>
                <w:sz w:val="20"/>
                <w:szCs w:val="20"/>
                <w:color w:val="auto"/>
              </w:rPr>
            </w:pPr>
            <w:r>
              <w:rPr>
                <w:rFonts w:ascii="Arial" w:cs="Arial" w:eastAsia="Arial" w:hAnsi="Arial"/>
                <w:sz w:val="16"/>
                <w:szCs w:val="16"/>
                <w:b w:val="1"/>
                <w:bCs w:val="1"/>
                <w:color w:val="454545"/>
                <w:w w:val="99"/>
              </w:rPr>
              <w:t>paid-in</w:t>
            </w:r>
          </w:p>
        </w:tc>
        <w:tc>
          <w:tcPr>
            <w:tcW w:w="800" w:type="dxa"/>
            <w:vAlign w:val="bottom"/>
          </w:tcPr>
          <w:p>
            <w:pPr>
              <w:jc w:val="right"/>
              <w:spacing w:after="0" w:line="176" w:lineRule="exact"/>
              <w:rPr>
                <w:sz w:val="20"/>
                <w:szCs w:val="20"/>
                <w:color w:val="auto"/>
              </w:rPr>
            </w:pPr>
            <w:r>
              <w:rPr>
                <w:rFonts w:ascii="Arial" w:cs="Arial" w:eastAsia="Arial" w:hAnsi="Arial"/>
                <w:sz w:val="16"/>
                <w:szCs w:val="16"/>
                <w:b w:val="1"/>
                <w:bCs w:val="1"/>
                <w:color w:val="454545"/>
              </w:rPr>
              <w:t>Retained</w:t>
            </w:r>
          </w:p>
        </w:tc>
        <w:tc>
          <w:tcPr>
            <w:tcW w:w="2500" w:type="dxa"/>
            <w:vAlign w:val="bottom"/>
            <w:gridSpan w:val="4"/>
          </w:tcPr>
          <w:p>
            <w:pPr>
              <w:ind w:left="80"/>
              <w:spacing w:after="0" w:line="176" w:lineRule="exact"/>
              <w:rPr>
                <w:sz w:val="20"/>
                <w:szCs w:val="20"/>
                <w:color w:val="auto"/>
              </w:rPr>
            </w:pPr>
            <w:r>
              <w:rPr>
                <w:rFonts w:ascii="Arial" w:cs="Arial" w:eastAsia="Arial" w:hAnsi="Arial"/>
                <w:sz w:val="16"/>
                <w:szCs w:val="16"/>
                <w:b w:val="1"/>
                <w:bCs w:val="1"/>
                <w:color w:val="454545"/>
              </w:rPr>
              <w:t>income (loss) – noncontrolling</w:t>
            </w:r>
          </w:p>
        </w:tc>
        <w:tc>
          <w:tcPr>
            <w:tcW w:w="140" w:type="dxa"/>
            <w:vAlign w:val="bottom"/>
          </w:tcPr>
          <w:p>
            <w:pPr>
              <w:spacing w:after="0"/>
              <w:rPr>
                <w:sz w:val="15"/>
                <w:szCs w:val="15"/>
                <w:color w:val="auto"/>
              </w:rPr>
            </w:pPr>
          </w:p>
        </w:tc>
        <w:tc>
          <w:tcPr>
            <w:tcW w:w="680" w:type="dxa"/>
            <w:vAlign w:val="bottom"/>
          </w:tcPr>
          <w:p>
            <w:pPr>
              <w:jc w:val="center"/>
              <w:ind w:right="59"/>
              <w:spacing w:after="0" w:line="176" w:lineRule="exact"/>
              <w:rPr>
                <w:sz w:val="20"/>
                <w:szCs w:val="20"/>
                <w:color w:val="auto"/>
              </w:rPr>
            </w:pPr>
            <w:r>
              <w:rPr>
                <w:rFonts w:ascii="Arial" w:cs="Arial" w:eastAsia="Arial" w:hAnsi="Arial"/>
                <w:sz w:val="16"/>
                <w:szCs w:val="16"/>
                <w:b w:val="1"/>
                <w:bCs w:val="1"/>
                <w:color w:val="454545"/>
                <w:w w:val="99"/>
              </w:rPr>
              <w:t>Total</w:t>
            </w:r>
          </w:p>
        </w:tc>
        <w:tc>
          <w:tcPr>
            <w:tcW w:w="0" w:type="dxa"/>
            <w:vAlign w:val="bottom"/>
          </w:tcPr>
          <w:p>
            <w:pPr>
              <w:spacing w:after="0"/>
              <w:rPr>
                <w:sz w:val="1"/>
                <w:szCs w:val="1"/>
                <w:color w:val="auto"/>
              </w:rPr>
            </w:pPr>
          </w:p>
        </w:tc>
      </w:tr>
      <w:tr>
        <w:trPr>
          <w:trHeight w:val="239"/>
        </w:trPr>
        <w:tc>
          <w:tcPr>
            <w:tcW w:w="3240" w:type="dxa"/>
            <w:vAlign w:val="bottom"/>
            <w:tcBorders>
              <w:bottom w:val="single" w:sz="8" w:color="6022A6"/>
            </w:tcBorders>
            <w:vMerge w:val="continue"/>
          </w:tcPr>
          <w:p>
            <w:pPr>
              <w:spacing w:after="0"/>
              <w:rPr>
                <w:sz w:val="20"/>
                <w:szCs w:val="20"/>
                <w:color w:val="auto"/>
              </w:rPr>
            </w:pPr>
          </w:p>
        </w:tc>
        <w:tc>
          <w:tcPr>
            <w:tcW w:w="720" w:type="dxa"/>
            <w:vAlign w:val="bottom"/>
            <w:tcBorders>
              <w:bottom w:val="single" w:sz="8" w:color="6022A6"/>
            </w:tcBorders>
            <w:vMerge w:val="continue"/>
          </w:tcPr>
          <w:p>
            <w:pPr>
              <w:spacing w:after="0"/>
              <w:rPr>
                <w:sz w:val="20"/>
                <w:szCs w:val="20"/>
                <w:color w:val="auto"/>
              </w:rPr>
            </w:pPr>
          </w:p>
        </w:tc>
        <w:tc>
          <w:tcPr>
            <w:tcW w:w="780" w:type="dxa"/>
            <w:vAlign w:val="bottom"/>
            <w:tcBorders>
              <w:bottom w:val="single" w:sz="8" w:color="6022A6"/>
            </w:tcBorders>
            <w:gridSpan w:val="2"/>
            <w:vMerge w:val="continue"/>
          </w:tcPr>
          <w:p>
            <w:pPr>
              <w:spacing w:after="0"/>
              <w:rPr>
                <w:sz w:val="20"/>
                <w:szCs w:val="20"/>
                <w:color w:val="auto"/>
              </w:rPr>
            </w:pPr>
          </w:p>
        </w:tc>
        <w:tc>
          <w:tcPr>
            <w:tcW w:w="760" w:type="dxa"/>
            <w:vAlign w:val="bottom"/>
            <w:tcBorders>
              <w:bottom w:val="single" w:sz="8" w:color="6022A6"/>
            </w:tcBorders>
            <w:vMerge w:val="continue"/>
          </w:tcPr>
          <w:p>
            <w:pPr>
              <w:spacing w:after="0"/>
              <w:rPr>
                <w:sz w:val="20"/>
                <w:szCs w:val="20"/>
                <w:color w:val="auto"/>
              </w:rPr>
            </w:pPr>
          </w:p>
        </w:tc>
        <w:tc>
          <w:tcPr>
            <w:tcW w:w="740" w:type="dxa"/>
            <w:vAlign w:val="bottom"/>
            <w:tcBorders>
              <w:bottom w:val="single" w:sz="8" w:color="6022A6"/>
            </w:tcBorders>
            <w:vMerge w:val="continue"/>
          </w:tcPr>
          <w:p>
            <w:pPr>
              <w:spacing w:after="0"/>
              <w:rPr>
                <w:sz w:val="20"/>
                <w:szCs w:val="20"/>
                <w:color w:val="auto"/>
              </w:rPr>
            </w:pPr>
          </w:p>
        </w:tc>
        <w:tc>
          <w:tcPr>
            <w:tcW w:w="140" w:type="dxa"/>
            <w:vAlign w:val="bottom"/>
            <w:tcBorders>
              <w:bottom w:val="single" w:sz="8" w:color="6022A6"/>
            </w:tcBorders>
          </w:tcPr>
          <w:p>
            <w:pPr>
              <w:spacing w:after="0"/>
              <w:rPr>
                <w:sz w:val="20"/>
                <w:szCs w:val="20"/>
                <w:color w:val="auto"/>
              </w:rPr>
            </w:pPr>
          </w:p>
        </w:tc>
        <w:tc>
          <w:tcPr>
            <w:tcW w:w="740" w:type="dxa"/>
            <w:vAlign w:val="bottom"/>
            <w:tcBorders>
              <w:bottom w:val="single" w:sz="8" w:color="6022A6"/>
            </w:tcBorders>
          </w:tcPr>
          <w:p>
            <w:pPr>
              <w:jc w:val="center"/>
              <w:ind w:right="59"/>
              <w:spacing w:after="0"/>
              <w:rPr>
                <w:sz w:val="20"/>
                <w:szCs w:val="20"/>
                <w:color w:val="auto"/>
              </w:rPr>
            </w:pPr>
            <w:r>
              <w:rPr>
                <w:rFonts w:ascii="Arial" w:cs="Arial" w:eastAsia="Arial" w:hAnsi="Arial"/>
                <w:sz w:val="16"/>
                <w:szCs w:val="16"/>
                <w:b w:val="1"/>
                <w:bCs w:val="1"/>
                <w:color w:val="454545"/>
              </w:rPr>
              <w:t>capital</w:t>
            </w:r>
          </w:p>
        </w:tc>
        <w:tc>
          <w:tcPr>
            <w:tcW w:w="80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earnings</w:t>
            </w:r>
          </w:p>
        </w:tc>
        <w:tc>
          <w:tcPr>
            <w:tcW w:w="140" w:type="dxa"/>
            <w:vAlign w:val="bottom"/>
            <w:tcBorders>
              <w:bottom w:val="single" w:sz="8" w:color="6022A6"/>
            </w:tcBorders>
          </w:tcPr>
          <w:p>
            <w:pPr>
              <w:spacing w:after="0"/>
              <w:rPr>
                <w:sz w:val="20"/>
                <w:szCs w:val="20"/>
                <w:color w:val="auto"/>
              </w:rPr>
            </w:pPr>
          </w:p>
        </w:tc>
        <w:tc>
          <w:tcPr>
            <w:tcW w:w="116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w w:val="99"/>
              </w:rPr>
              <w:t>net</w:t>
            </w:r>
          </w:p>
        </w:tc>
        <w:tc>
          <w:tcPr>
            <w:tcW w:w="180" w:type="dxa"/>
            <w:vAlign w:val="bottom"/>
            <w:tcBorders>
              <w:bottom w:val="single" w:sz="8" w:color="6022A6"/>
            </w:tcBorders>
          </w:tcPr>
          <w:p>
            <w:pPr>
              <w:spacing w:after="0"/>
              <w:rPr>
                <w:sz w:val="20"/>
                <w:szCs w:val="20"/>
                <w:color w:val="auto"/>
              </w:rPr>
            </w:pPr>
          </w:p>
        </w:tc>
        <w:tc>
          <w:tcPr>
            <w:tcW w:w="102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interests</w:t>
            </w:r>
          </w:p>
        </w:tc>
        <w:tc>
          <w:tcPr>
            <w:tcW w:w="140" w:type="dxa"/>
            <w:vAlign w:val="bottom"/>
            <w:tcBorders>
              <w:bottom w:val="single" w:sz="8" w:color="6022A6"/>
            </w:tcBorders>
          </w:tcPr>
          <w:p>
            <w:pPr>
              <w:spacing w:after="0"/>
              <w:rPr>
                <w:sz w:val="20"/>
                <w:szCs w:val="20"/>
                <w:color w:val="auto"/>
              </w:rPr>
            </w:pPr>
          </w:p>
        </w:tc>
        <w:tc>
          <w:tcPr>
            <w:tcW w:w="68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324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June 30, 2026</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459</w:t>
            </w:r>
          </w:p>
        </w:tc>
        <w:tc>
          <w:tcPr>
            <w:tcW w:w="600" w:type="dxa"/>
            <w:vAlign w:val="bottom"/>
            <w:shd w:val="clear" w:color="auto" w:fill="E4E4E4"/>
          </w:tcPr>
          <w:p>
            <w:pPr>
              <w:jc w:val="right"/>
              <w:ind w:right="379"/>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5</w:t>
            </w:r>
          </w:p>
        </w:tc>
        <w:tc>
          <w:tcPr>
            <w:tcW w:w="760" w:type="dxa"/>
            <w:vAlign w:val="bottom"/>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8</w:t>
            </w: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   (525)</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6,776</w:t>
            </w: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   6,199</w:t>
            </w:r>
          </w:p>
        </w:tc>
        <w:tc>
          <w:tcPr>
            <w:tcW w:w="140" w:type="dxa"/>
            <w:vAlign w:val="bottom"/>
            <w:shd w:val="clear" w:color="auto" w:fill="E4E4E4"/>
          </w:tcPr>
          <w:p>
            <w:pPr>
              <w:ind w:left="60"/>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(1,480)</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14</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10,989</w:t>
            </w:r>
          </w:p>
        </w:tc>
        <w:tc>
          <w:tcPr>
            <w:tcW w:w="0" w:type="dxa"/>
            <w:vAlign w:val="bottom"/>
          </w:tcPr>
          <w:p>
            <w:pPr>
              <w:spacing w:after="0"/>
              <w:rPr>
                <w:sz w:val="1"/>
                <w:szCs w:val="1"/>
                <w:color w:val="auto"/>
              </w:rPr>
            </w:pPr>
          </w:p>
        </w:tc>
      </w:tr>
      <w:tr>
        <w:trPr>
          <w:trHeight w:val="21"/>
        </w:trPr>
        <w:tc>
          <w:tcPr>
            <w:tcW w:w="324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60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760" w:type="dxa"/>
            <w:vAlign w:val="bottom"/>
            <w:shd w:val="clear" w:color="auto" w:fill="E4E4E4"/>
          </w:tcPr>
          <w:p>
            <w:pPr>
              <w:spacing w:after="0" w:line="20" w:lineRule="exact"/>
              <w:rPr>
                <w:sz w:val="1"/>
                <w:szCs w:val="1"/>
                <w:color w:val="auto"/>
              </w:rPr>
            </w:pPr>
          </w:p>
        </w:tc>
        <w:tc>
          <w:tcPr>
            <w:tcW w:w="74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740" w:type="dxa"/>
            <w:vAlign w:val="bottom"/>
            <w:shd w:val="clear" w:color="auto" w:fill="E4E4E4"/>
          </w:tcPr>
          <w:p>
            <w:pPr>
              <w:spacing w:after="0" w:line="20" w:lineRule="exact"/>
              <w:rPr>
                <w:sz w:val="1"/>
                <w:szCs w:val="1"/>
                <w:color w:val="auto"/>
              </w:rPr>
            </w:pPr>
          </w:p>
        </w:tc>
        <w:tc>
          <w:tcPr>
            <w:tcW w:w="80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16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102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68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130" w:right="339" w:bottom="1440" w:gutter="0" w:footer="0" w:header="0"/>
        </w:sectPr>
      </w:pPr>
    </w:p>
    <w:p>
      <w:pPr>
        <w:ind w:left="20"/>
        <w:spacing w:after="0" w:line="299" w:lineRule="auto"/>
        <w:rPr>
          <w:sz w:val="20"/>
          <w:szCs w:val="20"/>
          <w:color w:val="auto"/>
        </w:rPr>
      </w:pPr>
      <w:r>
        <w:rPr>
          <w:rFonts w:ascii="Arial" w:cs="Arial" w:eastAsia="Arial" w:hAnsi="Arial"/>
          <w:sz w:val="16"/>
          <w:szCs w:val="16"/>
          <w:color w:val="auto"/>
        </w:rPr>
        <w:t>Issuance of shares under equity awards, net of shares withheld for taxes and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20" w:right="340"/>
        <w:spacing w:after="0" w:line="299" w:lineRule="auto"/>
        <w:rPr>
          <w:sz w:val="20"/>
          <w:szCs w:val="20"/>
          <w:color w:val="auto"/>
        </w:rPr>
      </w:pPr>
      <w:r>
        <w:rPr>
          <w:rFonts w:ascii="Arial" w:cs="Arial" w:eastAsia="Arial" w:hAnsi="Arial"/>
          <w:sz w:val="16"/>
          <w:szCs w:val="16"/>
          <w:color w:val="auto"/>
        </w:rPr>
        <w:t>Dividends declared ($0.04 per common share)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20" w:right="86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280"/>
              <w:spacing w:after="0"/>
              <w:rPr>
                <w:sz w:val="20"/>
                <w:szCs w:val="20"/>
                <w:color w:val="auto"/>
              </w:rPr>
            </w:pPr>
            <w:r>
              <w:rPr>
                <w:rFonts w:ascii="Arial" w:cs="Arial" w:eastAsia="Arial" w:hAnsi="Arial"/>
                <w:sz w:val="16"/>
                <w:szCs w:val="16"/>
                <w:color w:val="auto"/>
              </w:rPr>
              <w:t>—</w:t>
            </w:r>
          </w:p>
        </w:tc>
        <w:tc>
          <w:tcPr>
            <w:tcW w:w="780" w:type="dxa"/>
            <w:vAlign w:val="bottom"/>
          </w:tcPr>
          <w:p>
            <w:pPr>
              <w:ind w:left="3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(14)</w:t>
            </w: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64"/>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280"/>
              <w:spacing w:after="0"/>
              <w:rPr>
                <w:sz w:val="20"/>
                <w:szCs w:val="20"/>
                <w:color w:val="auto"/>
              </w:rPr>
            </w:pPr>
            <w:r>
              <w:rPr>
                <w:rFonts w:ascii="Arial" w:cs="Arial" w:eastAsia="Arial" w:hAnsi="Arial"/>
                <w:sz w:val="16"/>
                <w:szCs w:val="16"/>
                <w:color w:val="auto"/>
              </w:rPr>
              <w:t>—</w:t>
            </w:r>
          </w:p>
        </w:tc>
        <w:tc>
          <w:tcPr>
            <w:tcW w:w="780" w:type="dxa"/>
            <w:vAlign w:val="bottom"/>
          </w:tcPr>
          <w:p>
            <w:pPr>
              <w:ind w:left="3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615</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351"/>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280"/>
              <w:spacing w:after="0"/>
              <w:rPr>
                <w:sz w:val="20"/>
                <w:szCs w:val="20"/>
                <w:color w:val="auto"/>
              </w:rPr>
            </w:pPr>
            <w:r>
              <w:rPr>
                <w:rFonts w:ascii="Arial" w:cs="Arial" w:eastAsia="Arial" w:hAnsi="Arial"/>
                <w:sz w:val="16"/>
                <w:szCs w:val="16"/>
                <w:color w:val="auto"/>
              </w:rPr>
              <w:t>—</w:t>
            </w:r>
          </w:p>
        </w:tc>
        <w:tc>
          <w:tcPr>
            <w:tcW w:w="780" w:type="dxa"/>
            <w:vAlign w:val="bottom"/>
          </w:tcPr>
          <w:p>
            <w:pPr>
              <w:ind w:left="3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39"/>
              <w:spacing w:after="0"/>
              <w:rPr>
                <w:sz w:val="20"/>
                <w:szCs w:val="20"/>
                <w:color w:val="auto"/>
              </w:rPr>
            </w:pPr>
            <w:r>
              <w:rPr>
                <w:rFonts w:ascii="Arial" w:cs="Arial" w:eastAsia="Arial" w:hAnsi="Arial"/>
                <w:sz w:val="16"/>
                <w:szCs w:val="16"/>
                <w:color w:val="auto"/>
              </w:rPr>
              <w:t>(18)</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459"/>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280"/>
              <w:spacing w:after="0"/>
              <w:rPr>
                <w:sz w:val="20"/>
                <w:szCs w:val="20"/>
                <w:color w:val="auto"/>
              </w:rPr>
            </w:pPr>
            <w:r>
              <w:rPr>
                <w:rFonts w:ascii="Arial" w:cs="Arial" w:eastAsia="Arial" w:hAnsi="Arial"/>
                <w:sz w:val="16"/>
                <w:szCs w:val="16"/>
                <w:color w:val="auto"/>
              </w:rPr>
              <w:t>—</w:t>
            </w:r>
          </w:p>
        </w:tc>
        <w:tc>
          <w:tcPr>
            <w:tcW w:w="780" w:type="dxa"/>
            <w:vAlign w:val="bottom"/>
          </w:tcPr>
          <w:p>
            <w:pPr>
              <w:ind w:left="3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21</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459"/>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280"/>
              <w:spacing w:after="0"/>
              <w:rPr>
                <w:sz w:val="20"/>
                <w:szCs w:val="20"/>
                <w:color w:val="auto"/>
              </w:rPr>
            </w:pPr>
            <w:r>
              <w:rPr>
                <w:rFonts w:ascii="Arial" w:cs="Arial" w:eastAsia="Arial" w:hAnsi="Arial"/>
                <w:sz w:val="16"/>
                <w:szCs w:val="16"/>
                <w:color w:val="auto"/>
              </w:rPr>
              <w:t>—</w:t>
            </w:r>
          </w:p>
        </w:tc>
        <w:tc>
          <w:tcPr>
            <w:tcW w:w="780" w:type="dxa"/>
            <w:vAlign w:val="bottom"/>
          </w:tcPr>
          <w:p>
            <w:pPr>
              <w:ind w:left="3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64"/>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ind w:left="280"/>
              <w:spacing w:after="0"/>
              <w:rPr>
                <w:sz w:val="20"/>
                <w:szCs w:val="20"/>
                <w:color w:val="auto"/>
              </w:rPr>
            </w:pPr>
            <w:r>
              <w:rPr>
                <w:rFonts w:ascii="Arial" w:cs="Arial" w:eastAsia="Arial" w:hAnsi="Arial"/>
                <w:sz w:val="16"/>
                <w:szCs w:val="16"/>
                <w:color w:val="auto"/>
              </w:rPr>
              <w:t>—</w:t>
            </w:r>
          </w:p>
        </w:tc>
        <w:tc>
          <w:tcPr>
            <w:tcW w:w="780" w:type="dxa"/>
            <w:vAlign w:val="bottom"/>
          </w:tcPr>
          <w:p>
            <w:pPr>
              <w:ind w:left="3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35</w:t>
            </w: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-1181100</wp:posOffset>
            </wp:positionV>
            <wp:extent cx="713232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-726440</wp:posOffset>
            </wp:positionV>
            <wp:extent cx="713232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-143510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200" w:space="540"/>
            <w:col w:w="750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Balances as of September 30, 2026</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460</w:t>
            </w:r>
          </w:p>
        </w:tc>
        <w:tc>
          <w:tcPr>
            <w:tcW w:w="60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5</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2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(525)</w:t>
            </w:r>
          </w:p>
        </w:tc>
        <w:tc>
          <w:tcPr>
            <w:tcW w:w="1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6,797</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6,795</w:t>
            </w: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(1,459)</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11,630</w:t>
            </w:r>
          </w:p>
        </w:tc>
        <w:tc>
          <w:tcPr>
            <w:tcW w:w="0" w:type="dxa"/>
            <w:vAlign w:val="bottom"/>
          </w:tcPr>
          <w:p>
            <w:pPr>
              <w:spacing w:after="0"/>
              <w:rPr>
                <w:sz w:val="1"/>
                <w:szCs w:val="1"/>
                <w:color w:val="auto"/>
              </w:rPr>
            </w:pPr>
          </w:p>
        </w:tc>
      </w:tr>
      <w:tr>
        <w:trPr>
          <w:trHeight w:val="21"/>
        </w:trPr>
        <w:tc>
          <w:tcPr>
            <w:tcW w:w="3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0"/>
        </w:trPr>
        <w:tc>
          <w:tcPr>
            <w:tcW w:w="32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Common stock</w:t>
            </w:r>
          </w:p>
        </w:tc>
        <w:tc>
          <w:tcPr>
            <w:tcW w:w="180" w:type="dxa"/>
            <w:vAlign w:val="bottom"/>
          </w:tcPr>
          <w:p>
            <w:pPr>
              <w:spacing w:after="0"/>
              <w:rPr>
                <w:sz w:val="24"/>
                <w:szCs w:val="24"/>
                <w:color w:val="auto"/>
              </w:rPr>
            </w:pPr>
          </w:p>
        </w:tc>
        <w:tc>
          <w:tcPr>
            <w:tcW w:w="15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454545"/>
              </w:rPr>
              <w:t>Treasury stock</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454545"/>
                <w:w w:val="99"/>
              </w:rPr>
              <w:t>Accumulated</w:t>
            </w:r>
          </w:p>
        </w:tc>
        <w:tc>
          <w:tcPr>
            <w:tcW w:w="180" w:type="dxa"/>
            <w:vAlign w:val="bottom"/>
          </w:tcPr>
          <w:p>
            <w:pPr>
              <w:spacing w:after="0" w:line="20" w:lineRule="exact"/>
              <w:rPr>
                <w:sz w:val="1"/>
                <w:szCs w:val="1"/>
                <w:color w:val="auto"/>
              </w:rPr>
            </w:pPr>
          </w:p>
        </w:tc>
        <w:tc>
          <w:tcPr>
            <w:tcW w:w="102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454545"/>
              </w:rPr>
              <w:t>Equity</w:t>
            </w: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other</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454545"/>
              </w:rPr>
              <w:t>Additional</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454545"/>
              </w:rPr>
              <w:t>Retained</w:t>
            </w: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454545"/>
              </w:rPr>
              <w:t>comprehensive</w:t>
            </w: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140" w:type="dxa"/>
            <w:vAlign w:val="bottom"/>
          </w:tcPr>
          <w:p>
            <w:pPr>
              <w:spacing w:after="0"/>
              <w:rPr>
                <w:sz w:val="16"/>
                <w:szCs w:val="16"/>
                <w:color w:val="auto"/>
              </w:rPr>
            </w:pPr>
          </w:p>
        </w:tc>
        <w:tc>
          <w:tcPr>
            <w:tcW w:w="6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454545"/>
              </w:rPr>
              <w:t>Total</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9"/>
              <w:spacing w:after="0" w:line="175" w:lineRule="exact"/>
              <w:rPr>
                <w:sz w:val="20"/>
                <w:szCs w:val="20"/>
                <w:color w:val="auto"/>
              </w:rPr>
            </w:pPr>
            <w:r>
              <w:rPr>
                <w:rFonts w:ascii="Arial" w:cs="Arial" w:eastAsia="Arial" w:hAnsi="Arial"/>
                <w:sz w:val="16"/>
                <w:szCs w:val="16"/>
                <w:b w:val="1"/>
                <w:bCs w:val="1"/>
                <w:color w:val="454545"/>
              </w:rPr>
              <w:t>paid-in</w:t>
            </w:r>
          </w:p>
        </w:tc>
        <w:tc>
          <w:tcPr>
            <w:tcW w:w="800" w:type="dxa"/>
            <w:vAlign w:val="bottom"/>
            <w:gridSpan w:val="2"/>
            <w:vMerge w:val="continue"/>
          </w:tcPr>
          <w:p>
            <w:pPr>
              <w:spacing w:after="0"/>
              <w:rPr>
                <w:sz w:val="15"/>
                <w:szCs w:val="15"/>
                <w:color w:val="auto"/>
              </w:rPr>
            </w:pPr>
          </w:p>
        </w:tc>
        <w:tc>
          <w:tcPr>
            <w:tcW w:w="2500" w:type="dxa"/>
            <w:vAlign w:val="bottom"/>
            <w:gridSpan w:val="4"/>
          </w:tcPr>
          <w:p>
            <w:pPr>
              <w:ind w:left="80"/>
              <w:spacing w:after="0" w:line="175" w:lineRule="exact"/>
              <w:rPr>
                <w:sz w:val="20"/>
                <w:szCs w:val="20"/>
                <w:color w:val="auto"/>
              </w:rPr>
            </w:pPr>
            <w:r>
              <w:rPr>
                <w:rFonts w:ascii="Arial" w:cs="Arial" w:eastAsia="Arial" w:hAnsi="Arial"/>
                <w:sz w:val="16"/>
                <w:szCs w:val="16"/>
                <w:b w:val="1"/>
                <w:bCs w:val="1"/>
                <w:color w:val="454545"/>
              </w:rPr>
              <w:t>income (loss) – noncontrolling</w:t>
            </w: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4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72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Shares</w:t>
            </w:r>
          </w:p>
        </w:tc>
        <w:tc>
          <w:tcPr>
            <w:tcW w:w="78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Amount</w:t>
            </w:r>
          </w:p>
        </w:tc>
        <w:tc>
          <w:tcPr>
            <w:tcW w:w="72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Shares</w:t>
            </w:r>
          </w:p>
        </w:tc>
        <w:tc>
          <w:tcPr>
            <w:tcW w:w="78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Amount</w:t>
            </w:r>
          </w:p>
        </w:tc>
        <w:tc>
          <w:tcPr>
            <w:tcW w:w="140" w:type="dxa"/>
            <w:vAlign w:val="bottom"/>
            <w:tcBorders>
              <w:bottom w:val="single" w:sz="8" w:color="6022A6"/>
            </w:tcBorders>
          </w:tcPr>
          <w:p>
            <w:pPr>
              <w:spacing w:after="0"/>
              <w:rPr>
                <w:sz w:val="20"/>
                <w:szCs w:val="20"/>
                <w:color w:val="auto"/>
              </w:rPr>
            </w:pPr>
          </w:p>
        </w:tc>
        <w:tc>
          <w:tcPr>
            <w:tcW w:w="740" w:type="dxa"/>
            <w:vAlign w:val="bottom"/>
            <w:tcBorders>
              <w:bottom w:val="single" w:sz="8" w:color="6022A6"/>
            </w:tcBorders>
          </w:tcPr>
          <w:p>
            <w:pPr>
              <w:jc w:val="right"/>
              <w:ind w:right="99"/>
              <w:spacing w:after="0"/>
              <w:rPr>
                <w:sz w:val="20"/>
                <w:szCs w:val="20"/>
                <w:color w:val="auto"/>
              </w:rPr>
            </w:pPr>
            <w:r>
              <w:rPr>
                <w:rFonts w:ascii="Arial" w:cs="Arial" w:eastAsia="Arial" w:hAnsi="Arial"/>
                <w:sz w:val="16"/>
                <w:szCs w:val="16"/>
                <w:b w:val="1"/>
                <w:bCs w:val="1"/>
                <w:color w:val="454545"/>
              </w:rPr>
              <w:t>capital</w:t>
            </w:r>
          </w:p>
        </w:tc>
        <w:tc>
          <w:tcPr>
            <w:tcW w:w="8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earnings</w:t>
            </w:r>
          </w:p>
        </w:tc>
        <w:tc>
          <w:tcPr>
            <w:tcW w:w="140" w:type="dxa"/>
            <w:vAlign w:val="bottom"/>
            <w:tcBorders>
              <w:bottom w:val="single" w:sz="8" w:color="6022A6"/>
            </w:tcBorders>
          </w:tcPr>
          <w:p>
            <w:pPr>
              <w:spacing w:after="0"/>
              <w:rPr>
                <w:sz w:val="20"/>
                <w:szCs w:val="20"/>
                <w:color w:val="auto"/>
              </w:rPr>
            </w:pPr>
          </w:p>
        </w:tc>
        <w:tc>
          <w:tcPr>
            <w:tcW w:w="116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w w:val="99"/>
              </w:rPr>
              <w:t>net</w:t>
            </w:r>
          </w:p>
        </w:tc>
        <w:tc>
          <w:tcPr>
            <w:tcW w:w="180" w:type="dxa"/>
            <w:vAlign w:val="bottom"/>
            <w:tcBorders>
              <w:bottom w:val="single" w:sz="8" w:color="6022A6"/>
            </w:tcBorders>
          </w:tcPr>
          <w:p>
            <w:pPr>
              <w:spacing w:after="0"/>
              <w:rPr>
                <w:sz w:val="20"/>
                <w:szCs w:val="20"/>
                <w:color w:val="auto"/>
              </w:rPr>
            </w:pPr>
          </w:p>
        </w:tc>
        <w:tc>
          <w:tcPr>
            <w:tcW w:w="102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interests</w:t>
            </w:r>
          </w:p>
        </w:tc>
        <w:tc>
          <w:tcPr>
            <w:tcW w:w="140" w:type="dxa"/>
            <w:vAlign w:val="bottom"/>
            <w:tcBorders>
              <w:bottom w:val="single" w:sz="8" w:color="6022A6"/>
            </w:tcBorders>
          </w:tcPr>
          <w:p>
            <w:pPr>
              <w:spacing w:after="0"/>
              <w:rPr>
                <w:sz w:val="20"/>
                <w:szCs w:val="20"/>
                <w:color w:val="auto"/>
              </w:rPr>
            </w:pPr>
          </w:p>
        </w:tc>
        <w:tc>
          <w:tcPr>
            <w:tcW w:w="680" w:type="dxa"/>
            <w:vAlign w:val="bottom"/>
            <w:tcBorders>
              <w:bottom w:val="single" w:sz="8" w:color="6022A6"/>
            </w:tcBorders>
          </w:tcPr>
          <w:p>
            <w:pPr>
              <w:jc w:val="right"/>
              <w:ind w:right="9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324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June 30, 2025</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458</w:t>
            </w:r>
          </w:p>
        </w:tc>
        <w:tc>
          <w:tcPr>
            <w:tcW w:w="600" w:type="dxa"/>
            <w:vAlign w:val="bottom"/>
            <w:shd w:val="clear" w:color="auto" w:fill="E4E4E4"/>
          </w:tcPr>
          <w:p>
            <w:pPr>
              <w:jc w:val="right"/>
              <w:ind w:right="379"/>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5</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260" w:type="dxa"/>
            <w:vAlign w:val="bottom"/>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(125)</w:t>
            </w:r>
          </w:p>
        </w:tc>
        <w:tc>
          <w:tcPr>
            <w:tcW w:w="14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6,628</w:t>
            </w:r>
          </w:p>
        </w:tc>
        <w:tc>
          <w:tcPr>
            <w:tcW w:w="240" w:type="dxa"/>
            <w:vAlign w:val="bottom"/>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4,295</w:t>
            </w:r>
          </w:p>
        </w:tc>
        <w:tc>
          <w:tcPr>
            <w:tcW w:w="140" w:type="dxa"/>
            <w:vAlign w:val="bottom"/>
            <w:shd w:val="clear" w:color="auto" w:fill="E4E4E4"/>
          </w:tcPr>
          <w:p>
            <w:pPr>
              <w:ind w:left="60"/>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(1,090)</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9,733</w:t>
            </w:r>
          </w:p>
        </w:tc>
        <w:tc>
          <w:tcPr>
            <w:tcW w:w="0" w:type="dxa"/>
            <w:vAlign w:val="bottom"/>
          </w:tcPr>
          <w:p>
            <w:pPr>
              <w:spacing w:after="0"/>
              <w:rPr>
                <w:sz w:val="1"/>
                <w:szCs w:val="1"/>
                <w:color w:val="auto"/>
              </w:rPr>
            </w:pPr>
          </w:p>
        </w:tc>
      </w:tr>
      <w:tr>
        <w:trPr>
          <w:trHeight w:val="21"/>
        </w:trPr>
        <w:tc>
          <w:tcPr>
            <w:tcW w:w="324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60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260" w:type="dxa"/>
            <w:vAlign w:val="bottom"/>
            <w:shd w:val="clear" w:color="auto" w:fill="E4E4E4"/>
          </w:tcPr>
          <w:p>
            <w:pPr>
              <w:spacing w:after="0" w:line="20" w:lineRule="exact"/>
              <w:rPr>
                <w:sz w:val="1"/>
                <w:szCs w:val="1"/>
                <w:color w:val="auto"/>
              </w:rPr>
            </w:pPr>
          </w:p>
        </w:tc>
        <w:tc>
          <w:tcPr>
            <w:tcW w:w="52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740" w:type="dxa"/>
            <w:vAlign w:val="bottom"/>
            <w:shd w:val="clear" w:color="auto" w:fill="E4E4E4"/>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c>
          <w:tcPr>
            <w:tcW w:w="56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16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102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68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130" w:right="339" w:bottom="1440" w:gutter="0" w:footer="0" w:header="0"/>
          <w:type w:val="continuous"/>
        </w:sectPr>
      </w:pPr>
    </w:p>
    <w:p>
      <w:pPr>
        <w:ind w:left="20"/>
        <w:spacing w:after="0" w:line="299" w:lineRule="auto"/>
        <w:rPr>
          <w:sz w:val="20"/>
          <w:szCs w:val="20"/>
          <w:color w:val="auto"/>
        </w:rPr>
      </w:pPr>
      <w:r>
        <w:rPr>
          <w:rFonts w:ascii="Arial" w:cs="Arial" w:eastAsia="Arial" w:hAnsi="Arial"/>
          <w:sz w:val="16"/>
          <w:szCs w:val="16"/>
          <w:color w:val="auto"/>
        </w:rPr>
        <w:t>Issuance of shares under equity awards, net of shares withheld for taxes and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Repurchase of common stock</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20" w:right="340"/>
        <w:spacing w:after="0" w:line="299" w:lineRule="auto"/>
        <w:rPr>
          <w:sz w:val="20"/>
          <w:szCs w:val="20"/>
          <w:color w:val="auto"/>
        </w:rPr>
      </w:pPr>
      <w:r>
        <w:rPr>
          <w:rFonts w:ascii="Arial" w:cs="Arial" w:eastAsia="Arial" w:hAnsi="Arial"/>
          <w:sz w:val="16"/>
          <w:szCs w:val="16"/>
          <w:color w:val="auto"/>
        </w:rPr>
        <w:t>Dividends declared ($0.07 per common share)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20" w:right="86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(4)</w:t>
            </w: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920" w:type="dxa"/>
            <w:vAlign w:val="bottom"/>
          </w:tcPr>
          <w:p>
            <w:pPr>
              <w:ind w:left="200"/>
              <w:spacing w:after="0"/>
              <w:rPr>
                <w:sz w:val="20"/>
                <w:szCs w:val="20"/>
                <w:color w:val="auto"/>
              </w:rPr>
            </w:pPr>
            <w:r>
              <w:rPr>
                <w:rFonts w:ascii="Arial" w:cs="Arial" w:eastAsia="Arial" w:hAnsi="Arial"/>
                <w:sz w:val="16"/>
                <w:szCs w:val="16"/>
                <w:color w:val="auto"/>
              </w:rPr>
              <w:t>(100)</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56"/>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446</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446</w:t>
            </w:r>
          </w:p>
        </w:tc>
      </w:tr>
      <w:tr>
        <w:trPr>
          <w:trHeight w:val="351"/>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9"/>
              <w:spacing w:after="0"/>
              <w:rPr>
                <w:sz w:val="20"/>
                <w:szCs w:val="20"/>
                <w:color w:val="auto"/>
              </w:rPr>
            </w:pPr>
            <w:r>
              <w:rPr>
                <w:rFonts w:ascii="Arial" w:cs="Arial" w:eastAsia="Arial" w:hAnsi="Arial"/>
                <w:sz w:val="16"/>
                <w:szCs w:val="16"/>
                <w:color w:val="auto"/>
              </w:rPr>
              <w:t>(32)</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459"/>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(66)</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459"/>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2</w:t>
            </w: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65"/>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9"/>
              <w:spacing w:after="0"/>
              <w:rPr>
                <w:sz w:val="20"/>
                <w:szCs w:val="20"/>
                <w:color w:val="auto"/>
              </w:rPr>
            </w:pPr>
            <w:r>
              <w:rPr>
                <w:rFonts w:ascii="Arial" w:cs="Arial" w:eastAsia="Arial" w:hAnsi="Arial"/>
                <w:sz w:val="16"/>
                <w:szCs w:val="16"/>
                <w:color w:val="auto"/>
              </w:rPr>
              <w:t>37</w:t>
            </w: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-1344295</wp:posOffset>
            </wp:positionV>
            <wp:extent cx="713232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-1018540</wp:posOffset>
            </wp:positionV>
            <wp:extent cx="71323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-435610</wp:posOffset>
            </wp:positionV>
            <wp:extent cx="713232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18415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200" w:space="540"/>
            <w:col w:w="7500"/>
          </w:cols>
          <w:pgMar w:left="320" w:top="130" w:right="339" w:bottom="1440" w:gutter="0" w:footer="0" w:header="0"/>
          <w:type w:val="continuous"/>
        </w:sectPr>
      </w:pPr>
    </w:p>
    <w:p>
      <w:pPr>
        <w:ind w:left="20"/>
        <w:spacing w:after="0"/>
        <w:tabs>
          <w:tab w:leader="none" w:pos="3620" w:val="left"/>
          <w:tab w:leader="none" w:pos="4560" w:val="left"/>
          <w:tab w:leader="none" w:pos="5300" w:val="left"/>
          <w:tab w:leader="none" w:pos="5800" w:val="left"/>
          <w:tab w:leader="none" w:pos="6620" w:val="left"/>
          <w:tab w:leader="none" w:pos="7440" w:val="left"/>
          <w:tab w:leader="none" w:pos="8660" w:val="left"/>
          <w:tab w:leader="none" w:pos="10140" w:val="left"/>
        </w:tabs>
        <w:rPr>
          <w:sz w:val="20"/>
          <w:szCs w:val="20"/>
          <w:color w:val="auto"/>
        </w:rPr>
      </w:pPr>
      <w:r>
        <w:rPr>
          <w:rFonts w:ascii="Arial" w:cs="Arial" w:eastAsia="Arial" w:hAnsi="Arial"/>
          <w:sz w:val="16"/>
          <w:szCs w:val="16"/>
          <w:b w:val="1"/>
          <w:bCs w:val="1"/>
          <w:color w:val="auto"/>
        </w:rPr>
        <w:t>Balances as of September 30, 2025</w:t>
      </w:r>
      <w:r>
        <w:rPr>
          <w:sz w:val="20"/>
          <w:szCs w:val="20"/>
          <w:color w:val="auto"/>
        </w:rPr>
        <w:tab/>
      </w:r>
      <w:r>
        <w:rPr>
          <w:rFonts w:ascii="Arial" w:cs="Arial" w:eastAsia="Arial" w:hAnsi="Arial"/>
          <w:sz w:val="16"/>
          <w:szCs w:val="16"/>
          <w:b w:val="1"/>
          <w:bCs w:val="1"/>
          <w:color w:val="auto"/>
        </w:rPr>
        <w:t>459 $</w:t>
      </w:r>
      <w:r>
        <w:rPr>
          <w:sz w:val="20"/>
          <w:szCs w:val="20"/>
          <w:color w:val="auto"/>
        </w:rPr>
        <w:tab/>
      </w:r>
      <w:r>
        <w:rPr>
          <w:rFonts w:ascii="Arial" w:cs="Arial" w:eastAsia="Arial" w:hAnsi="Arial"/>
          <w:sz w:val="16"/>
          <w:szCs w:val="16"/>
          <w:b w:val="1"/>
          <w:bCs w:val="1"/>
          <w:color w:val="auto"/>
        </w:rPr>
        <w:t>5</w:t>
      </w:r>
      <w:r>
        <w:rPr>
          <w:sz w:val="20"/>
          <w:szCs w:val="20"/>
          <w:color w:val="auto"/>
        </w:rPr>
        <w:tab/>
      </w:r>
      <w:r>
        <w:rPr>
          <w:rFonts w:ascii="Arial" w:cs="Arial" w:eastAsia="Arial" w:hAnsi="Arial"/>
          <w:sz w:val="16"/>
          <w:szCs w:val="16"/>
          <w:b w:val="1"/>
          <w:bCs w:val="1"/>
          <w:color w:val="auto"/>
        </w:rPr>
        <w:t>3 $</w:t>
        <w:tab/>
        <w:t>(225) $</w:t>
      </w:r>
      <w:r>
        <w:rPr>
          <w:sz w:val="20"/>
          <w:szCs w:val="20"/>
          <w:color w:val="auto"/>
        </w:rPr>
        <w:tab/>
      </w:r>
      <w:r>
        <w:rPr>
          <w:rFonts w:ascii="Arial" w:cs="Arial" w:eastAsia="Arial" w:hAnsi="Arial"/>
          <w:sz w:val="16"/>
          <w:szCs w:val="16"/>
          <w:b w:val="1"/>
          <w:bCs w:val="1"/>
          <w:color w:val="auto"/>
        </w:rPr>
        <w:t>6,661 $</w:t>
        <w:tab/>
        <w:t>4,709 $</w:t>
      </w:r>
      <w:r>
        <w:rPr>
          <w:sz w:val="20"/>
          <w:szCs w:val="20"/>
          <w:color w:val="auto"/>
        </w:rPr>
        <w:tab/>
      </w:r>
      <w:r>
        <w:rPr>
          <w:rFonts w:ascii="Arial" w:cs="Arial" w:eastAsia="Arial" w:hAnsi="Arial"/>
          <w:sz w:val="16"/>
          <w:szCs w:val="16"/>
          <w:b w:val="1"/>
          <w:bCs w:val="1"/>
          <w:color w:val="auto"/>
        </w:rPr>
        <w:t>(1,156) $</w:t>
      </w:r>
      <w:r>
        <w:rPr>
          <w:sz w:val="20"/>
          <w:szCs w:val="20"/>
          <w:color w:val="auto"/>
        </w:rPr>
        <w:tab/>
      </w:r>
      <w:r>
        <w:rPr>
          <w:rFonts w:ascii="Arial" w:cs="Arial" w:eastAsia="Arial" w:hAnsi="Arial"/>
          <w:sz w:val="16"/>
          <w:szCs w:val="16"/>
          <w:b w:val="1"/>
          <w:bCs w:val="1"/>
          <w:color w:val="auto"/>
        </w:rPr>
        <w:t>23 $  10,016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00" w:type="dxa"/>
            <w:vAlign w:val="bottom"/>
            <w:gridSpan w:val="5"/>
          </w:tcPr>
          <w:p>
            <w:pPr>
              <w:ind w:left="20"/>
              <w:spacing w:after="0"/>
              <w:rPr>
                <w:sz w:val="20"/>
                <w:szCs w:val="20"/>
                <w:color w:val="auto"/>
              </w:rPr>
            </w:pPr>
            <w:r>
              <w:rPr>
                <w:rFonts w:ascii="Arial" w:cs="Arial" w:eastAsia="Arial" w:hAnsi="Arial"/>
                <w:sz w:val="16"/>
                <w:szCs w:val="16"/>
                <w:b w:val="1"/>
                <w:bCs w:val="1"/>
                <w:color w:val="auto"/>
              </w:rPr>
              <w:t>Condensed Consolidated Statements of Changes in Equity (Unaudited)</w:t>
            </w: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2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Common stock</w:t>
            </w:r>
          </w:p>
        </w:tc>
        <w:tc>
          <w:tcPr>
            <w:tcW w:w="180" w:type="dxa"/>
            <w:vAlign w:val="bottom"/>
          </w:tcPr>
          <w:p>
            <w:pPr>
              <w:spacing w:after="0"/>
              <w:rPr>
                <w:sz w:val="24"/>
                <w:szCs w:val="24"/>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454545"/>
              </w:rPr>
              <w:t>Treasury stock</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454545"/>
                <w:w w:val="99"/>
              </w:rPr>
              <w:t>Accumulated</w:t>
            </w:r>
          </w:p>
        </w:tc>
        <w:tc>
          <w:tcPr>
            <w:tcW w:w="180" w:type="dxa"/>
            <w:vAlign w:val="bottom"/>
          </w:tcPr>
          <w:p>
            <w:pPr>
              <w:spacing w:after="0" w:line="20" w:lineRule="exact"/>
              <w:rPr>
                <w:sz w:val="1"/>
                <w:szCs w:val="1"/>
                <w:color w:val="auto"/>
              </w:rPr>
            </w:pPr>
          </w:p>
        </w:tc>
        <w:tc>
          <w:tcPr>
            <w:tcW w:w="102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454545"/>
              </w:rPr>
              <w:t>Equity</w:t>
            </w: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454545"/>
              </w:rPr>
              <w:t>Additional</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other</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comprehensive</w:t>
            </w:r>
          </w:p>
        </w:tc>
        <w:tc>
          <w:tcPr>
            <w:tcW w:w="12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attributable to</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454545"/>
              </w:rPr>
              <w:t>Shares</w:t>
            </w:r>
          </w:p>
        </w:tc>
        <w:tc>
          <w:tcPr>
            <w:tcW w:w="7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454545"/>
              </w:rPr>
              <w:t>Amount</w:t>
            </w:r>
          </w:p>
        </w:tc>
        <w:tc>
          <w:tcPr>
            <w:tcW w:w="7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454545"/>
              </w:rPr>
              <w:t>Shares</w:t>
            </w:r>
          </w:p>
        </w:tc>
        <w:tc>
          <w:tcPr>
            <w:tcW w:w="740" w:type="dxa"/>
            <w:vAlign w:val="bottom"/>
            <w:vMerge w:val="restart"/>
          </w:tcPr>
          <w:p>
            <w:pPr>
              <w:jc w:val="center"/>
              <w:spacing w:after="0"/>
              <w:rPr>
                <w:sz w:val="20"/>
                <w:szCs w:val="20"/>
                <w:color w:val="auto"/>
              </w:rPr>
            </w:pPr>
            <w:r>
              <w:rPr>
                <w:rFonts w:ascii="Arial" w:cs="Arial" w:eastAsia="Arial" w:hAnsi="Arial"/>
                <w:sz w:val="16"/>
                <w:szCs w:val="16"/>
                <w:b w:val="1"/>
                <w:bCs w:val="1"/>
                <w:color w:val="454545"/>
              </w:rPr>
              <w:t>Amount</w:t>
            </w: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454545"/>
                <w:w w:val="99"/>
              </w:rPr>
              <w:t>paid-in</w:t>
            </w:r>
          </w:p>
        </w:tc>
        <w:tc>
          <w:tcPr>
            <w:tcW w:w="800" w:type="dxa"/>
            <w:vAlign w:val="bottom"/>
          </w:tcPr>
          <w:p>
            <w:pPr>
              <w:jc w:val="right"/>
              <w:spacing w:after="0" w:line="176" w:lineRule="exact"/>
              <w:rPr>
                <w:sz w:val="20"/>
                <w:szCs w:val="20"/>
                <w:color w:val="auto"/>
              </w:rPr>
            </w:pPr>
            <w:r>
              <w:rPr>
                <w:rFonts w:ascii="Arial" w:cs="Arial" w:eastAsia="Arial" w:hAnsi="Arial"/>
                <w:sz w:val="16"/>
                <w:szCs w:val="16"/>
                <w:b w:val="1"/>
                <w:bCs w:val="1"/>
                <w:color w:val="454545"/>
              </w:rPr>
              <w:t>Retained</w:t>
            </w:r>
          </w:p>
        </w:tc>
        <w:tc>
          <w:tcPr>
            <w:tcW w:w="2500" w:type="dxa"/>
            <w:vAlign w:val="bottom"/>
            <w:gridSpan w:val="4"/>
          </w:tcPr>
          <w:p>
            <w:pPr>
              <w:ind w:left="80"/>
              <w:spacing w:after="0" w:line="176" w:lineRule="exact"/>
              <w:rPr>
                <w:sz w:val="20"/>
                <w:szCs w:val="20"/>
                <w:color w:val="auto"/>
              </w:rPr>
            </w:pPr>
            <w:r>
              <w:rPr>
                <w:rFonts w:ascii="Arial" w:cs="Arial" w:eastAsia="Arial" w:hAnsi="Arial"/>
                <w:sz w:val="16"/>
                <w:szCs w:val="16"/>
                <w:b w:val="1"/>
                <w:bCs w:val="1"/>
                <w:color w:val="454545"/>
              </w:rPr>
              <w:t>income (loss) – noncontrolling</w:t>
            </w:r>
          </w:p>
        </w:tc>
        <w:tc>
          <w:tcPr>
            <w:tcW w:w="140" w:type="dxa"/>
            <w:vAlign w:val="bottom"/>
          </w:tcPr>
          <w:p>
            <w:pPr>
              <w:spacing w:after="0"/>
              <w:rPr>
                <w:sz w:val="15"/>
                <w:szCs w:val="15"/>
                <w:color w:val="auto"/>
              </w:rPr>
            </w:pPr>
          </w:p>
        </w:tc>
        <w:tc>
          <w:tcPr>
            <w:tcW w:w="680" w:type="dxa"/>
            <w:vAlign w:val="bottom"/>
          </w:tcPr>
          <w:p>
            <w:pPr>
              <w:jc w:val="center"/>
              <w:ind w:right="59"/>
              <w:spacing w:after="0" w:line="176" w:lineRule="exact"/>
              <w:rPr>
                <w:sz w:val="20"/>
                <w:szCs w:val="20"/>
                <w:color w:val="auto"/>
              </w:rPr>
            </w:pPr>
            <w:r>
              <w:rPr>
                <w:rFonts w:ascii="Arial" w:cs="Arial" w:eastAsia="Arial" w:hAnsi="Arial"/>
                <w:sz w:val="16"/>
                <w:szCs w:val="16"/>
                <w:b w:val="1"/>
                <w:bCs w:val="1"/>
                <w:color w:val="454545"/>
                <w:w w:val="99"/>
              </w:rPr>
              <w:t>Total</w:t>
            </w:r>
          </w:p>
        </w:tc>
        <w:tc>
          <w:tcPr>
            <w:tcW w:w="0" w:type="dxa"/>
            <w:vAlign w:val="bottom"/>
          </w:tcPr>
          <w:p>
            <w:pPr>
              <w:spacing w:after="0"/>
              <w:rPr>
                <w:sz w:val="1"/>
                <w:szCs w:val="1"/>
                <w:color w:val="auto"/>
              </w:rPr>
            </w:pPr>
          </w:p>
        </w:tc>
      </w:tr>
      <w:tr>
        <w:trPr>
          <w:trHeight w:val="239"/>
        </w:trPr>
        <w:tc>
          <w:tcPr>
            <w:tcW w:w="3240" w:type="dxa"/>
            <w:vAlign w:val="bottom"/>
            <w:tcBorders>
              <w:bottom w:val="single" w:sz="8" w:color="6400A0"/>
            </w:tcBorders>
            <w:vMerge w:val="continue"/>
          </w:tcPr>
          <w:p>
            <w:pPr>
              <w:spacing w:after="0"/>
              <w:rPr>
                <w:sz w:val="20"/>
                <w:szCs w:val="20"/>
                <w:color w:val="auto"/>
              </w:rPr>
            </w:pPr>
          </w:p>
        </w:tc>
        <w:tc>
          <w:tcPr>
            <w:tcW w:w="720" w:type="dxa"/>
            <w:vAlign w:val="bottom"/>
            <w:tcBorders>
              <w:bottom w:val="single" w:sz="8" w:color="6400A0"/>
            </w:tcBorders>
            <w:vMerge w:val="continue"/>
          </w:tcPr>
          <w:p>
            <w:pPr>
              <w:spacing w:after="0"/>
              <w:rPr>
                <w:sz w:val="20"/>
                <w:szCs w:val="20"/>
                <w:color w:val="auto"/>
              </w:rPr>
            </w:pPr>
          </w:p>
        </w:tc>
        <w:tc>
          <w:tcPr>
            <w:tcW w:w="780" w:type="dxa"/>
            <w:vAlign w:val="bottom"/>
            <w:tcBorders>
              <w:bottom w:val="single" w:sz="8" w:color="6400A0"/>
            </w:tcBorders>
            <w:gridSpan w:val="2"/>
            <w:vMerge w:val="continue"/>
          </w:tcPr>
          <w:p>
            <w:pPr>
              <w:spacing w:after="0"/>
              <w:rPr>
                <w:sz w:val="20"/>
                <w:szCs w:val="20"/>
                <w:color w:val="auto"/>
              </w:rPr>
            </w:pPr>
          </w:p>
        </w:tc>
        <w:tc>
          <w:tcPr>
            <w:tcW w:w="760" w:type="dxa"/>
            <w:vAlign w:val="bottom"/>
            <w:tcBorders>
              <w:bottom w:val="single" w:sz="8" w:color="6400A0"/>
            </w:tcBorders>
            <w:vMerge w:val="continue"/>
          </w:tcPr>
          <w:p>
            <w:pPr>
              <w:spacing w:after="0"/>
              <w:rPr>
                <w:sz w:val="20"/>
                <w:szCs w:val="20"/>
                <w:color w:val="auto"/>
              </w:rPr>
            </w:pPr>
          </w:p>
        </w:tc>
        <w:tc>
          <w:tcPr>
            <w:tcW w:w="740" w:type="dxa"/>
            <w:vAlign w:val="bottom"/>
            <w:tcBorders>
              <w:bottom w:val="single" w:sz="8" w:color="6400A0"/>
            </w:tcBorders>
            <w:vMerge w:val="continue"/>
          </w:tcPr>
          <w:p>
            <w:pPr>
              <w:spacing w:after="0"/>
              <w:rPr>
                <w:sz w:val="20"/>
                <w:szCs w:val="20"/>
                <w:color w:val="auto"/>
              </w:rPr>
            </w:pPr>
          </w:p>
        </w:tc>
        <w:tc>
          <w:tcPr>
            <w:tcW w:w="880" w:type="dxa"/>
            <w:vAlign w:val="bottom"/>
            <w:tcBorders>
              <w:bottom w:val="single" w:sz="8" w:color="6400A0"/>
            </w:tcBorders>
          </w:tcPr>
          <w:p>
            <w:pPr>
              <w:jc w:val="center"/>
              <w:spacing w:after="0"/>
              <w:rPr>
                <w:sz w:val="20"/>
                <w:szCs w:val="20"/>
                <w:color w:val="auto"/>
              </w:rPr>
            </w:pPr>
            <w:r>
              <w:rPr>
                <w:rFonts w:ascii="Arial" w:cs="Arial" w:eastAsia="Arial" w:hAnsi="Arial"/>
                <w:sz w:val="16"/>
                <w:szCs w:val="16"/>
                <w:b w:val="1"/>
                <w:bCs w:val="1"/>
                <w:color w:val="454545"/>
              </w:rPr>
              <w:t>capital</w:t>
            </w:r>
          </w:p>
        </w:tc>
        <w:tc>
          <w:tcPr>
            <w:tcW w:w="800" w:type="dxa"/>
            <w:vAlign w:val="bottom"/>
            <w:tcBorders>
              <w:bottom w:val="single" w:sz="8" w:color="6400A0"/>
            </w:tcBorders>
          </w:tcPr>
          <w:p>
            <w:pPr>
              <w:jc w:val="right"/>
              <w:spacing w:after="0"/>
              <w:rPr>
                <w:sz w:val="20"/>
                <w:szCs w:val="20"/>
                <w:color w:val="auto"/>
              </w:rPr>
            </w:pPr>
            <w:r>
              <w:rPr>
                <w:rFonts w:ascii="Arial" w:cs="Arial" w:eastAsia="Arial" w:hAnsi="Arial"/>
                <w:sz w:val="16"/>
                <w:szCs w:val="16"/>
                <w:b w:val="1"/>
                <w:bCs w:val="1"/>
                <w:color w:val="454545"/>
              </w:rPr>
              <w:t>earnings</w:t>
            </w:r>
          </w:p>
        </w:tc>
        <w:tc>
          <w:tcPr>
            <w:tcW w:w="140" w:type="dxa"/>
            <w:vAlign w:val="bottom"/>
            <w:tcBorders>
              <w:bottom w:val="single" w:sz="8" w:color="6400A0"/>
            </w:tcBorders>
          </w:tcPr>
          <w:p>
            <w:pPr>
              <w:spacing w:after="0"/>
              <w:rPr>
                <w:sz w:val="20"/>
                <w:szCs w:val="20"/>
                <w:color w:val="auto"/>
              </w:rPr>
            </w:pPr>
          </w:p>
        </w:tc>
        <w:tc>
          <w:tcPr>
            <w:tcW w:w="1160" w:type="dxa"/>
            <w:vAlign w:val="bottom"/>
            <w:tcBorders>
              <w:bottom w:val="single" w:sz="8" w:color="6400A0"/>
            </w:tcBorders>
          </w:tcPr>
          <w:p>
            <w:pPr>
              <w:jc w:val="center"/>
              <w:ind w:right="39"/>
              <w:spacing w:after="0"/>
              <w:rPr>
                <w:sz w:val="20"/>
                <w:szCs w:val="20"/>
                <w:color w:val="auto"/>
              </w:rPr>
            </w:pPr>
            <w:r>
              <w:rPr>
                <w:rFonts w:ascii="Arial" w:cs="Arial" w:eastAsia="Arial" w:hAnsi="Arial"/>
                <w:sz w:val="16"/>
                <w:szCs w:val="16"/>
                <w:b w:val="1"/>
                <w:bCs w:val="1"/>
                <w:color w:val="454545"/>
                <w:w w:val="99"/>
              </w:rPr>
              <w:t>net</w:t>
            </w:r>
          </w:p>
        </w:tc>
        <w:tc>
          <w:tcPr>
            <w:tcW w:w="180" w:type="dxa"/>
            <w:vAlign w:val="bottom"/>
            <w:tcBorders>
              <w:bottom w:val="single" w:sz="8" w:color="6400A0"/>
            </w:tcBorders>
          </w:tcPr>
          <w:p>
            <w:pPr>
              <w:spacing w:after="0"/>
              <w:rPr>
                <w:sz w:val="20"/>
                <w:szCs w:val="20"/>
                <w:color w:val="auto"/>
              </w:rPr>
            </w:pPr>
          </w:p>
        </w:tc>
        <w:tc>
          <w:tcPr>
            <w:tcW w:w="1020" w:type="dxa"/>
            <w:vAlign w:val="bottom"/>
            <w:tcBorders>
              <w:bottom w:val="single" w:sz="8" w:color="6400A0"/>
            </w:tcBorders>
          </w:tcPr>
          <w:p>
            <w:pPr>
              <w:jc w:val="center"/>
              <w:ind w:right="99"/>
              <w:spacing w:after="0"/>
              <w:rPr>
                <w:sz w:val="20"/>
                <w:szCs w:val="20"/>
                <w:color w:val="auto"/>
              </w:rPr>
            </w:pPr>
            <w:r>
              <w:rPr>
                <w:rFonts w:ascii="Arial" w:cs="Arial" w:eastAsia="Arial" w:hAnsi="Arial"/>
                <w:sz w:val="16"/>
                <w:szCs w:val="16"/>
                <w:b w:val="1"/>
                <w:bCs w:val="1"/>
                <w:color w:val="454545"/>
              </w:rPr>
              <w:t>interests</w:t>
            </w:r>
          </w:p>
        </w:tc>
        <w:tc>
          <w:tcPr>
            <w:tcW w:w="140" w:type="dxa"/>
            <w:vAlign w:val="bottom"/>
            <w:tcBorders>
              <w:bottom w:val="single" w:sz="8" w:color="6400A0"/>
            </w:tcBorders>
          </w:tcPr>
          <w:p>
            <w:pPr>
              <w:spacing w:after="0"/>
              <w:rPr>
                <w:sz w:val="20"/>
                <w:szCs w:val="20"/>
                <w:color w:val="auto"/>
              </w:rPr>
            </w:pPr>
          </w:p>
        </w:tc>
        <w:tc>
          <w:tcPr>
            <w:tcW w:w="680" w:type="dxa"/>
            <w:vAlign w:val="bottom"/>
            <w:tcBorders>
              <w:bottom w:val="single" w:sz="8" w:color="6400A0"/>
            </w:tcBorders>
          </w:tcPr>
          <w:p>
            <w:pPr>
              <w:jc w:val="center"/>
              <w:ind w:right="7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324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December 31, 2025</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459</w:t>
            </w:r>
          </w:p>
        </w:tc>
        <w:tc>
          <w:tcPr>
            <w:tcW w:w="600" w:type="dxa"/>
            <w:vAlign w:val="bottom"/>
            <w:shd w:val="clear" w:color="auto" w:fill="E4E4E4"/>
          </w:tcPr>
          <w:p>
            <w:pPr>
              <w:jc w:val="right"/>
              <w:ind w:right="379"/>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5</w:t>
            </w:r>
          </w:p>
        </w:tc>
        <w:tc>
          <w:tcPr>
            <w:tcW w:w="760" w:type="dxa"/>
            <w:vAlign w:val="bottom"/>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3</w:t>
            </w: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   (225)</w:t>
            </w:r>
          </w:p>
        </w:tc>
        <w:tc>
          <w:tcPr>
            <w:tcW w:w="880" w:type="dxa"/>
            <w:vAlign w:val="bottom"/>
            <w:shd w:val="clear" w:color="auto" w:fill="E4E4E4"/>
          </w:tcPr>
          <w:p>
            <w:pPr>
              <w:jc w:val="center"/>
              <w:spacing w:after="0"/>
              <w:rPr>
                <w:sz w:val="20"/>
                <w:szCs w:val="20"/>
                <w:color w:val="auto"/>
              </w:rPr>
            </w:pPr>
            <w:r>
              <w:rPr>
                <w:rFonts w:ascii="Arial" w:cs="Arial" w:eastAsia="Arial" w:hAnsi="Arial"/>
                <w:sz w:val="16"/>
                <w:szCs w:val="16"/>
                <w:b w:val="1"/>
                <w:bCs w:val="1"/>
                <w:color w:val="auto"/>
              </w:rPr>
              <w:t>$   6,707</w:t>
            </w: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   5,281</w:t>
            </w:r>
          </w:p>
        </w:tc>
        <w:tc>
          <w:tcPr>
            <w:tcW w:w="140" w:type="dxa"/>
            <w:vAlign w:val="bottom"/>
            <w:shd w:val="clear" w:color="auto" w:fill="E4E4E4"/>
          </w:tcPr>
          <w:p>
            <w:pPr>
              <w:ind w:left="60"/>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(1,388)</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10,390</w:t>
            </w:r>
          </w:p>
        </w:tc>
        <w:tc>
          <w:tcPr>
            <w:tcW w:w="0" w:type="dxa"/>
            <w:vAlign w:val="bottom"/>
          </w:tcPr>
          <w:p>
            <w:pPr>
              <w:spacing w:after="0"/>
              <w:rPr>
                <w:sz w:val="1"/>
                <w:szCs w:val="1"/>
                <w:color w:val="auto"/>
              </w:rPr>
            </w:pPr>
          </w:p>
        </w:tc>
      </w:tr>
      <w:tr>
        <w:trPr>
          <w:trHeight w:val="21"/>
        </w:trPr>
        <w:tc>
          <w:tcPr>
            <w:tcW w:w="324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60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760" w:type="dxa"/>
            <w:vAlign w:val="bottom"/>
            <w:shd w:val="clear" w:color="auto" w:fill="E4E4E4"/>
          </w:tcPr>
          <w:p>
            <w:pPr>
              <w:spacing w:after="0" w:line="20" w:lineRule="exact"/>
              <w:rPr>
                <w:sz w:val="1"/>
                <w:szCs w:val="1"/>
                <w:color w:val="auto"/>
              </w:rPr>
            </w:pPr>
          </w:p>
        </w:tc>
        <w:tc>
          <w:tcPr>
            <w:tcW w:w="740" w:type="dxa"/>
            <w:vAlign w:val="bottom"/>
            <w:shd w:val="clear" w:color="auto" w:fill="E4E4E4"/>
          </w:tcPr>
          <w:p>
            <w:pPr>
              <w:spacing w:after="0" w:line="20" w:lineRule="exact"/>
              <w:rPr>
                <w:sz w:val="1"/>
                <w:szCs w:val="1"/>
                <w:color w:val="auto"/>
              </w:rPr>
            </w:pPr>
          </w:p>
        </w:tc>
        <w:tc>
          <w:tcPr>
            <w:tcW w:w="880" w:type="dxa"/>
            <w:vAlign w:val="bottom"/>
            <w:shd w:val="clear" w:color="auto" w:fill="E4E4E4"/>
          </w:tcPr>
          <w:p>
            <w:pPr>
              <w:spacing w:after="0" w:line="20" w:lineRule="exact"/>
              <w:rPr>
                <w:sz w:val="1"/>
                <w:szCs w:val="1"/>
                <w:color w:val="auto"/>
              </w:rPr>
            </w:pPr>
          </w:p>
        </w:tc>
        <w:tc>
          <w:tcPr>
            <w:tcW w:w="80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16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102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68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130" w:right="339" w:bottom="1440" w:gutter="0" w:footer="0" w:header="0"/>
        </w:sectPr>
      </w:pPr>
    </w:p>
    <w:p>
      <w:pPr>
        <w:ind w:left="20"/>
        <w:spacing w:after="0" w:line="299" w:lineRule="auto"/>
        <w:rPr>
          <w:sz w:val="20"/>
          <w:szCs w:val="20"/>
          <w:color w:val="auto"/>
        </w:rPr>
      </w:pPr>
      <w:r>
        <w:rPr>
          <w:rFonts w:ascii="Arial" w:cs="Arial" w:eastAsia="Arial" w:hAnsi="Arial"/>
          <w:sz w:val="16"/>
          <w:szCs w:val="16"/>
          <w:color w:val="auto"/>
        </w:rPr>
        <w:t>Issuance of shares under equity awards, net of shares withheld for taxes and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Repurchase of common stock</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20" w:right="360"/>
        <w:spacing w:after="0" w:line="299" w:lineRule="auto"/>
        <w:rPr>
          <w:sz w:val="20"/>
          <w:szCs w:val="20"/>
          <w:color w:val="auto"/>
        </w:rPr>
      </w:pPr>
      <w:r>
        <w:rPr>
          <w:rFonts w:ascii="Arial" w:cs="Arial" w:eastAsia="Arial" w:hAnsi="Arial"/>
          <w:sz w:val="16"/>
          <w:szCs w:val="16"/>
          <w:color w:val="auto"/>
        </w:rPr>
        <w:t>Dividends declared ($0.11 per common share)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20" w:right="86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60" w:type="dxa"/>
            <w:vAlign w:val="bottom"/>
          </w:tcPr>
          <w:p>
            <w:pPr>
              <w:jc w:val="right"/>
              <w:ind w:right="219"/>
              <w:spacing w:after="0"/>
              <w:rPr>
                <w:sz w:val="20"/>
                <w:szCs w:val="20"/>
                <w:color w:val="auto"/>
              </w:rPr>
            </w:pPr>
            <w:r>
              <w:rPr>
                <w:rFonts w:ascii="Arial" w:cs="Arial" w:eastAsia="Arial" w:hAnsi="Arial"/>
                <w:sz w:val="16"/>
                <w:szCs w:val="16"/>
                <w:color w:val="auto"/>
              </w:rPr>
              <w:t>1</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ind w:left="3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(24)</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64"/>
        </w:trPr>
        <w:tc>
          <w:tcPr>
            <w:tcW w:w="460" w:type="dxa"/>
            <w:vAlign w:val="bottom"/>
          </w:tcPr>
          <w:p>
            <w:pPr>
              <w:jc w:val="right"/>
              <w:ind w:right="219"/>
              <w:spacing w:after="0"/>
              <w:rPr>
                <w:sz w:val="20"/>
                <w:szCs w:val="20"/>
                <w:color w:val="auto"/>
              </w:rPr>
            </w:pPr>
            <w:r>
              <w:rPr>
                <w:rFonts w:ascii="Arial" w:cs="Arial" w:eastAsia="Arial" w:hAnsi="Arial"/>
                <w:sz w:val="16"/>
                <w:szCs w:val="16"/>
                <w:color w:val="auto"/>
                <w:w w:val="87"/>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880" w:type="dxa"/>
            <w:vAlign w:val="bottom"/>
          </w:tcPr>
          <w:p>
            <w:pPr>
              <w:ind w:left="200"/>
              <w:spacing w:after="0"/>
              <w:rPr>
                <w:sz w:val="20"/>
                <w:szCs w:val="20"/>
                <w:color w:val="auto"/>
              </w:rPr>
            </w:pPr>
            <w:r>
              <w:rPr>
                <w:rFonts w:ascii="Arial" w:cs="Arial" w:eastAsia="Arial" w:hAnsi="Arial"/>
                <w:sz w:val="16"/>
                <w:szCs w:val="16"/>
                <w:color w:val="auto"/>
              </w:rPr>
              <w:t>(300)</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57"/>
        </w:trPr>
        <w:tc>
          <w:tcPr>
            <w:tcW w:w="460" w:type="dxa"/>
            <w:vAlign w:val="bottom"/>
          </w:tcPr>
          <w:p>
            <w:pPr>
              <w:jc w:val="right"/>
              <w:ind w:right="219"/>
              <w:spacing w:after="0"/>
              <w:rPr>
                <w:sz w:val="20"/>
                <w:szCs w:val="20"/>
                <w:color w:val="auto"/>
              </w:rPr>
            </w:pPr>
            <w:r>
              <w:rPr>
                <w:rFonts w:ascii="Arial" w:cs="Arial" w:eastAsia="Arial" w:hAnsi="Arial"/>
                <w:sz w:val="16"/>
                <w:szCs w:val="16"/>
                <w:color w:val="auto"/>
                <w:w w:val="87"/>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ind w:left="3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1,564</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1,564</w:t>
            </w:r>
          </w:p>
        </w:tc>
      </w:tr>
      <w:tr>
        <w:trPr>
          <w:trHeight w:val="351"/>
        </w:trPr>
        <w:tc>
          <w:tcPr>
            <w:tcW w:w="460" w:type="dxa"/>
            <w:vAlign w:val="bottom"/>
          </w:tcPr>
          <w:p>
            <w:pPr>
              <w:jc w:val="right"/>
              <w:ind w:right="219"/>
              <w:spacing w:after="0"/>
              <w:rPr>
                <w:sz w:val="20"/>
                <w:szCs w:val="20"/>
                <w:color w:val="auto"/>
              </w:rPr>
            </w:pPr>
            <w:r>
              <w:rPr>
                <w:rFonts w:ascii="Arial" w:cs="Arial" w:eastAsia="Arial" w:hAnsi="Arial"/>
                <w:sz w:val="16"/>
                <w:szCs w:val="16"/>
                <w:color w:val="auto"/>
                <w:w w:val="87"/>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ind w:left="3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9"/>
              <w:spacing w:after="0"/>
              <w:rPr>
                <w:sz w:val="20"/>
                <w:szCs w:val="20"/>
                <w:color w:val="auto"/>
              </w:rPr>
            </w:pPr>
            <w:r>
              <w:rPr>
                <w:rFonts w:ascii="Arial" w:cs="Arial" w:eastAsia="Arial" w:hAnsi="Arial"/>
                <w:sz w:val="16"/>
                <w:szCs w:val="16"/>
                <w:color w:val="auto"/>
              </w:rPr>
              <w:t>(50)</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459"/>
        </w:trPr>
        <w:tc>
          <w:tcPr>
            <w:tcW w:w="460" w:type="dxa"/>
            <w:vAlign w:val="bottom"/>
          </w:tcPr>
          <w:p>
            <w:pPr>
              <w:jc w:val="right"/>
              <w:ind w:right="219"/>
              <w:spacing w:after="0"/>
              <w:rPr>
                <w:sz w:val="20"/>
                <w:szCs w:val="20"/>
                <w:color w:val="auto"/>
              </w:rPr>
            </w:pPr>
            <w:r>
              <w:rPr>
                <w:rFonts w:ascii="Arial" w:cs="Arial" w:eastAsia="Arial" w:hAnsi="Arial"/>
                <w:sz w:val="16"/>
                <w:szCs w:val="16"/>
                <w:color w:val="auto"/>
                <w:w w:val="87"/>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ind w:left="3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(71)</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459"/>
        </w:trPr>
        <w:tc>
          <w:tcPr>
            <w:tcW w:w="460" w:type="dxa"/>
            <w:vAlign w:val="bottom"/>
          </w:tcPr>
          <w:p>
            <w:pPr>
              <w:jc w:val="right"/>
              <w:ind w:right="219"/>
              <w:spacing w:after="0"/>
              <w:rPr>
                <w:sz w:val="20"/>
                <w:szCs w:val="20"/>
                <w:color w:val="auto"/>
              </w:rPr>
            </w:pPr>
            <w:r>
              <w:rPr>
                <w:rFonts w:ascii="Arial" w:cs="Arial" w:eastAsia="Arial" w:hAnsi="Arial"/>
                <w:sz w:val="16"/>
                <w:szCs w:val="16"/>
                <w:color w:val="auto"/>
                <w:w w:val="87"/>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ind w:left="3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64"/>
        </w:trPr>
        <w:tc>
          <w:tcPr>
            <w:tcW w:w="460" w:type="dxa"/>
            <w:vAlign w:val="bottom"/>
          </w:tcPr>
          <w:p>
            <w:pPr>
              <w:jc w:val="right"/>
              <w:ind w:right="219"/>
              <w:spacing w:after="0"/>
              <w:rPr>
                <w:sz w:val="20"/>
                <w:szCs w:val="20"/>
                <w:color w:val="auto"/>
              </w:rPr>
            </w:pPr>
            <w:r>
              <w:rPr>
                <w:rFonts w:ascii="Arial" w:cs="Arial" w:eastAsia="Arial" w:hAnsi="Arial"/>
                <w:sz w:val="16"/>
                <w:szCs w:val="16"/>
                <w:color w:val="auto"/>
                <w:w w:val="87"/>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ind w:left="3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115</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-1343660</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-1017905</wp:posOffset>
            </wp:positionV>
            <wp:extent cx="71323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-434975</wp:posOffset>
            </wp:positionV>
            <wp:extent cx="713232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3200" w:space="540"/>
            <w:col w:w="750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324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September 30, 2026</w:t>
            </w:r>
          </w:p>
        </w:tc>
        <w:tc>
          <w:tcPr>
            <w:tcW w:w="7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460</w:t>
            </w:r>
          </w:p>
        </w:tc>
        <w:tc>
          <w:tcPr>
            <w:tcW w:w="600" w:type="dxa"/>
            <w:vAlign w:val="bottom"/>
            <w:tcBorders>
              <w:top w:val="single" w:sz="8" w:color="auto"/>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5</w:t>
            </w:r>
          </w:p>
        </w:tc>
        <w:tc>
          <w:tcPr>
            <w:tcW w:w="7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c>
          <w:tcPr>
            <w:tcW w:w="24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(525)</w:t>
            </w:r>
          </w:p>
        </w:tc>
        <w:tc>
          <w:tcPr>
            <w:tcW w:w="14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6,797</w:t>
            </w:r>
          </w:p>
        </w:tc>
        <w:tc>
          <w:tcPr>
            <w:tcW w:w="24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6,795</w:t>
            </w:r>
          </w:p>
        </w:tc>
        <w:tc>
          <w:tcPr>
            <w:tcW w:w="140" w:type="dxa"/>
            <w:vAlign w:val="bottom"/>
            <w:tcBorders>
              <w:top w:val="single" w:sz="8" w:color="auto"/>
              <w:bottom w:val="single" w:sz="8" w:color="E4E4E4"/>
            </w:tcBorders>
            <w:shd w:val="clear" w:color="auto" w:fill="E4E4E4"/>
          </w:tcPr>
          <w:p>
            <w:pPr>
              <w:ind w:left="60"/>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(1,459)</w:t>
            </w:r>
          </w:p>
        </w:tc>
        <w:tc>
          <w:tcPr>
            <w:tcW w:w="18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w:t>
            </w:r>
          </w:p>
        </w:tc>
        <w:tc>
          <w:tcPr>
            <w:tcW w:w="1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11,630</w:t>
            </w:r>
          </w:p>
        </w:tc>
        <w:tc>
          <w:tcPr>
            <w:tcW w:w="0" w:type="dxa"/>
            <w:vAlign w:val="bottom"/>
          </w:tcPr>
          <w:p>
            <w:pPr>
              <w:spacing w:after="0"/>
              <w:rPr>
                <w:sz w:val="1"/>
                <w:szCs w:val="1"/>
                <w:color w:val="auto"/>
              </w:rPr>
            </w:pPr>
          </w:p>
        </w:tc>
      </w:tr>
      <w:tr>
        <w:trPr>
          <w:trHeight w:val="580"/>
        </w:trPr>
        <w:tc>
          <w:tcPr>
            <w:tcW w:w="32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454545"/>
              </w:rPr>
              <w:t>Common stock</w:t>
            </w:r>
          </w:p>
        </w:tc>
        <w:tc>
          <w:tcPr>
            <w:tcW w:w="1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454545"/>
              </w:rPr>
              <w:t>Treasury stock</w:t>
            </w: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454545"/>
                <w:w w:val="99"/>
              </w:rPr>
              <w:t>Accumulated</w:t>
            </w:r>
          </w:p>
        </w:tc>
        <w:tc>
          <w:tcPr>
            <w:tcW w:w="180" w:type="dxa"/>
            <w:vAlign w:val="bottom"/>
          </w:tcPr>
          <w:p>
            <w:pPr>
              <w:spacing w:after="0" w:line="20" w:lineRule="exact"/>
              <w:rPr>
                <w:sz w:val="1"/>
                <w:szCs w:val="1"/>
                <w:color w:val="auto"/>
              </w:rPr>
            </w:pPr>
          </w:p>
        </w:tc>
        <w:tc>
          <w:tcPr>
            <w:tcW w:w="102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454545"/>
              </w:rPr>
              <w:t>Equity</w:t>
            </w: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other</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454545"/>
              </w:rPr>
              <w:t>Additional</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454545"/>
              </w:rPr>
              <w:t>Retained</w:t>
            </w: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454545"/>
              </w:rPr>
              <w:t>comprehensive</w:t>
            </w: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140" w:type="dxa"/>
            <w:vAlign w:val="bottom"/>
          </w:tcPr>
          <w:p>
            <w:pPr>
              <w:spacing w:after="0"/>
              <w:rPr>
                <w:sz w:val="16"/>
                <w:szCs w:val="16"/>
                <w:color w:val="auto"/>
              </w:rPr>
            </w:pPr>
          </w:p>
        </w:tc>
        <w:tc>
          <w:tcPr>
            <w:tcW w:w="68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454545"/>
              </w:rPr>
              <w:t>Total</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9"/>
              <w:spacing w:after="0" w:line="175" w:lineRule="exact"/>
              <w:rPr>
                <w:sz w:val="20"/>
                <w:szCs w:val="20"/>
                <w:color w:val="auto"/>
              </w:rPr>
            </w:pPr>
            <w:r>
              <w:rPr>
                <w:rFonts w:ascii="Arial" w:cs="Arial" w:eastAsia="Arial" w:hAnsi="Arial"/>
                <w:sz w:val="16"/>
                <w:szCs w:val="16"/>
                <w:b w:val="1"/>
                <w:bCs w:val="1"/>
                <w:color w:val="454545"/>
              </w:rPr>
              <w:t>paid-in</w:t>
            </w:r>
          </w:p>
        </w:tc>
        <w:tc>
          <w:tcPr>
            <w:tcW w:w="800" w:type="dxa"/>
            <w:vAlign w:val="bottom"/>
            <w:gridSpan w:val="2"/>
            <w:vMerge w:val="continue"/>
          </w:tcPr>
          <w:p>
            <w:pPr>
              <w:spacing w:after="0"/>
              <w:rPr>
                <w:sz w:val="15"/>
                <w:szCs w:val="15"/>
                <w:color w:val="auto"/>
              </w:rPr>
            </w:pPr>
          </w:p>
        </w:tc>
        <w:tc>
          <w:tcPr>
            <w:tcW w:w="2500" w:type="dxa"/>
            <w:vAlign w:val="bottom"/>
            <w:gridSpan w:val="4"/>
          </w:tcPr>
          <w:p>
            <w:pPr>
              <w:ind w:left="80"/>
              <w:spacing w:after="0" w:line="175" w:lineRule="exact"/>
              <w:rPr>
                <w:sz w:val="20"/>
                <w:szCs w:val="20"/>
                <w:color w:val="auto"/>
              </w:rPr>
            </w:pPr>
            <w:r>
              <w:rPr>
                <w:rFonts w:ascii="Arial" w:cs="Arial" w:eastAsia="Arial" w:hAnsi="Arial"/>
                <w:sz w:val="16"/>
                <w:szCs w:val="16"/>
                <w:b w:val="1"/>
                <w:bCs w:val="1"/>
                <w:color w:val="454545"/>
              </w:rPr>
              <w:t>income (loss) – noncontrolling</w:t>
            </w: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4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72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Shares</w:t>
            </w:r>
          </w:p>
        </w:tc>
        <w:tc>
          <w:tcPr>
            <w:tcW w:w="78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Amount</w:t>
            </w:r>
          </w:p>
        </w:tc>
        <w:tc>
          <w:tcPr>
            <w:tcW w:w="740" w:type="dxa"/>
            <w:vAlign w:val="bottom"/>
            <w:tcBorders>
              <w:bottom w:val="single" w:sz="8" w:color="6022A6"/>
            </w:tcBorders>
          </w:tcPr>
          <w:p>
            <w:pPr>
              <w:jc w:val="right"/>
              <w:ind w:right="19"/>
              <w:spacing w:after="0"/>
              <w:rPr>
                <w:sz w:val="20"/>
                <w:szCs w:val="20"/>
                <w:color w:val="auto"/>
              </w:rPr>
            </w:pPr>
            <w:r>
              <w:rPr>
                <w:rFonts w:ascii="Arial" w:cs="Arial" w:eastAsia="Arial" w:hAnsi="Arial"/>
                <w:sz w:val="16"/>
                <w:szCs w:val="16"/>
                <w:b w:val="1"/>
                <w:bCs w:val="1"/>
                <w:color w:val="454545"/>
              </w:rPr>
              <w:t>Shares</w:t>
            </w:r>
          </w:p>
        </w:tc>
        <w:tc>
          <w:tcPr>
            <w:tcW w:w="760" w:type="dxa"/>
            <w:vAlign w:val="bottom"/>
            <w:tcBorders>
              <w:bottom w:val="single" w:sz="8" w:color="6400A0"/>
            </w:tcBorders>
            <w:gridSpan w:val="2"/>
          </w:tcPr>
          <w:p>
            <w:pPr>
              <w:jc w:val="right"/>
              <w:spacing w:after="0"/>
              <w:rPr>
                <w:sz w:val="20"/>
                <w:szCs w:val="20"/>
                <w:color w:val="auto"/>
              </w:rPr>
            </w:pPr>
            <w:r>
              <w:rPr>
                <w:rFonts w:ascii="Arial" w:cs="Arial" w:eastAsia="Arial" w:hAnsi="Arial"/>
                <w:sz w:val="16"/>
                <w:szCs w:val="16"/>
                <w:b w:val="1"/>
                <w:bCs w:val="1"/>
                <w:color w:val="454545"/>
              </w:rPr>
              <w:t>Amount</w:t>
            </w:r>
          </w:p>
        </w:tc>
        <w:tc>
          <w:tcPr>
            <w:tcW w:w="140" w:type="dxa"/>
            <w:vAlign w:val="bottom"/>
            <w:tcBorders>
              <w:bottom w:val="single" w:sz="8" w:color="6022A6"/>
            </w:tcBorders>
          </w:tcPr>
          <w:p>
            <w:pPr>
              <w:spacing w:after="0"/>
              <w:rPr>
                <w:sz w:val="20"/>
                <w:szCs w:val="20"/>
                <w:color w:val="auto"/>
              </w:rPr>
            </w:pPr>
          </w:p>
        </w:tc>
        <w:tc>
          <w:tcPr>
            <w:tcW w:w="740" w:type="dxa"/>
            <w:vAlign w:val="bottom"/>
            <w:tcBorders>
              <w:bottom w:val="single" w:sz="8" w:color="6022A6"/>
            </w:tcBorders>
          </w:tcPr>
          <w:p>
            <w:pPr>
              <w:jc w:val="right"/>
              <w:ind w:right="99"/>
              <w:spacing w:after="0"/>
              <w:rPr>
                <w:sz w:val="20"/>
                <w:szCs w:val="20"/>
                <w:color w:val="auto"/>
              </w:rPr>
            </w:pPr>
            <w:r>
              <w:rPr>
                <w:rFonts w:ascii="Arial" w:cs="Arial" w:eastAsia="Arial" w:hAnsi="Arial"/>
                <w:sz w:val="16"/>
                <w:szCs w:val="16"/>
                <w:b w:val="1"/>
                <w:bCs w:val="1"/>
                <w:color w:val="454545"/>
              </w:rPr>
              <w:t>capital</w:t>
            </w:r>
          </w:p>
        </w:tc>
        <w:tc>
          <w:tcPr>
            <w:tcW w:w="8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earnings</w:t>
            </w:r>
          </w:p>
        </w:tc>
        <w:tc>
          <w:tcPr>
            <w:tcW w:w="140" w:type="dxa"/>
            <w:vAlign w:val="bottom"/>
            <w:tcBorders>
              <w:bottom w:val="single" w:sz="8" w:color="6022A6"/>
            </w:tcBorders>
          </w:tcPr>
          <w:p>
            <w:pPr>
              <w:spacing w:after="0"/>
              <w:rPr>
                <w:sz w:val="20"/>
                <w:szCs w:val="20"/>
                <w:color w:val="auto"/>
              </w:rPr>
            </w:pPr>
          </w:p>
        </w:tc>
        <w:tc>
          <w:tcPr>
            <w:tcW w:w="116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w w:val="99"/>
              </w:rPr>
              <w:t>net</w:t>
            </w:r>
          </w:p>
        </w:tc>
        <w:tc>
          <w:tcPr>
            <w:tcW w:w="180" w:type="dxa"/>
            <w:vAlign w:val="bottom"/>
            <w:tcBorders>
              <w:bottom w:val="single" w:sz="8" w:color="6022A6"/>
            </w:tcBorders>
          </w:tcPr>
          <w:p>
            <w:pPr>
              <w:spacing w:after="0"/>
              <w:rPr>
                <w:sz w:val="20"/>
                <w:szCs w:val="20"/>
                <w:color w:val="auto"/>
              </w:rPr>
            </w:pPr>
          </w:p>
        </w:tc>
        <w:tc>
          <w:tcPr>
            <w:tcW w:w="102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interests</w:t>
            </w:r>
          </w:p>
        </w:tc>
        <w:tc>
          <w:tcPr>
            <w:tcW w:w="140" w:type="dxa"/>
            <w:vAlign w:val="bottom"/>
            <w:tcBorders>
              <w:bottom w:val="single" w:sz="8" w:color="6022A6"/>
            </w:tcBorders>
          </w:tcPr>
          <w:p>
            <w:pPr>
              <w:spacing w:after="0"/>
              <w:rPr>
                <w:sz w:val="20"/>
                <w:szCs w:val="20"/>
                <w:color w:val="auto"/>
              </w:rPr>
            </w:pPr>
          </w:p>
        </w:tc>
        <w:tc>
          <w:tcPr>
            <w:tcW w:w="680" w:type="dxa"/>
            <w:vAlign w:val="bottom"/>
            <w:tcBorders>
              <w:bottom w:val="single" w:sz="8" w:color="6022A6"/>
            </w:tcBorders>
          </w:tcPr>
          <w:p>
            <w:pPr>
              <w:jc w:val="right"/>
              <w:ind w:right="9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324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December 31, 2024</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457</w:t>
            </w:r>
          </w:p>
        </w:tc>
        <w:tc>
          <w:tcPr>
            <w:tcW w:w="600" w:type="dxa"/>
            <w:vAlign w:val="bottom"/>
            <w:shd w:val="clear" w:color="auto" w:fill="E4E4E4"/>
          </w:tcPr>
          <w:p>
            <w:pPr>
              <w:jc w:val="right"/>
              <w:ind w:right="379"/>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5</w:t>
            </w: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c>
          <w:tcPr>
            <w:tcW w:w="14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6,583</w:t>
            </w:r>
          </w:p>
        </w:tc>
        <w:tc>
          <w:tcPr>
            <w:tcW w:w="240" w:type="dxa"/>
            <w:vAlign w:val="bottom"/>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3,262</w:t>
            </w:r>
          </w:p>
        </w:tc>
        <w:tc>
          <w:tcPr>
            <w:tcW w:w="140" w:type="dxa"/>
            <w:vAlign w:val="bottom"/>
            <w:shd w:val="clear" w:color="auto" w:fill="E4E4E4"/>
          </w:tcPr>
          <w:p>
            <w:pPr>
              <w:ind w:left="60"/>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(1,379)</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8,464</w:t>
            </w:r>
          </w:p>
        </w:tc>
        <w:tc>
          <w:tcPr>
            <w:tcW w:w="0" w:type="dxa"/>
            <w:vAlign w:val="bottom"/>
          </w:tcPr>
          <w:p>
            <w:pPr>
              <w:spacing w:after="0"/>
              <w:rPr>
                <w:sz w:val="1"/>
                <w:szCs w:val="1"/>
                <w:color w:val="auto"/>
              </w:rPr>
            </w:pPr>
          </w:p>
        </w:tc>
      </w:tr>
      <w:tr>
        <w:trPr>
          <w:trHeight w:val="21"/>
        </w:trPr>
        <w:tc>
          <w:tcPr>
            <w:tcW w:w="324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60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740" w:type="dxa"/>
            <w:vAlign w:val="bottom"/>
            <w:shd w:val="clear" w:color="auto" w:fill="E4E4E4"/>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c>
          <w:tcPr>
            <w:tcW w:w="52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740" w:type="dxa"/>
            <w:vAlign w:val="bottom"/>
            <w:shd w:val="clear" w:color="auto" w:fill="E4E4E4"/>
          </w:tcPr>
          <w:p>
            <w:pPr>
              <w:spacing w:after="0" w:line="20" w:lineRule="exact"/>
              <w:rPr>
                <w:sz w:val="1"/>
                <w:szCs w:val="1"/>
                <w:color w:val="auto"/>
              </w:rPr>
            </w:pPr>
          </w:p>
        </w:tc>
        <w:tc>
          <w:tcPr>
            <w:tcW w:w="240" w:type="dxa"/>
            <w:vAlign w:val="bottom"/>
            <w:shd w:val="clear" w:color="auto" w:fill="E4E4E4"/>
          </w:tcPr>
          <w:p>
            <w:pPr>
              <w:spacing w:after="0" w:line="20" w:lineRule="exact"/>
              <w:rPr>
                <w:sz w:val="1"/>
                <w:szCs w:val="1"/>
                <w:color w:val="auto"/>
              </w:rPr>
            </w:pPr>
          </w:p>
        </w:tc>
        <w:tc>
          <w:tcPr>
            <w:tcW w:w="56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16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102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68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130" w:right="339" w:bottom="1440" w:gutter="0" w:footer="0" w:header="0"/>
          <w:type w:val="continuous"/>
        </w:sectPr>
      </w:pPr>
    </w:p>
    <w:p>
      <w:pPr>
        <w:ind w:left="20"/>
        <w:spacing w:after="0" w:line="299" w:lineRule="auto"/>
        <w:rPr>
          <w:sz w:val="20"/>
          <w:szCs w:val="20"/>
          <w:color w:val="auto"/>
        </w:rPr>
      </w:pPr>
      <w:r>
        <w:rPr>
          <w:rFonts w:ascii="Arial" w:cs="Arial" w:eastAsia="Arial" w:hAnsi="Arial"/>
          <w:sz w:val="16"/>
          <w:szCs w:val="16"/>
          <w:color w:val="auto"/>
        </w:rPr>
        <w:t>Issuance of shares under equity awards, net of shares withheld for taxes and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Repurchase of common stock</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20" w:right="260"/>
        <w:spacing w:after="0" w:line="299" w:lineRule="auto"/>
        <w:rPr>
          <w:sz w:val="20"/>
          <w:szCs w:val="20"/>
          <w:color w:val="auto"/>
        </w:rPr>
      </w:pPr>
      <w:r>
        <w:rPr>
          <w:rFonts w:ascii="Arial" w:cs="Arial" w:eastAsia="Arial" w:hAnsi="Arial"/>
          <w:sz w:val="16"/>
          <w:szCs w:val="16"/>
          <w:color w:val="auto"/>
        </w:rPr>
        <w:t>Dividends declared ($0.105 per common share)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20" w:right="86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60" w:type="dxa"/>
            <w:vAlign w:val="bottom"/>
          </w:tcPr>
          <w:p>
            <w:pPr>
              <w:jc w:val="right"/>
              <w:ind w:right="219"/>
              <w:spacing w:after="0"/>
              <w:rPr>
                <w:sz w:val="20"/>
                <w:szCs w:val="20"/>
                <w:color w:val="auto"/>
              </w:rPr>
            </w:pPr>
            <w:r>
              <w:rPr>
                <w:rFonts w:ascii="Arial" w:cs="Arial" w:eastAsia="Arial" w:hAnsi="Arial"/>
                <w:sz w:val="16"/>
                <w:szCs w:val="16"/>
                <w:color w:val="auto"/>
              </w:rPr>
              <w:t>1</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ind w:left="3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65"/>
        </w:trPr>
        <w:tc>
          <w:tcPr>
            <w:tcW w:w="460" w:type="dxa"/>
            <w:vAlign w:val="bottom"/>
          </w:tcPr>
          <w:p>
            <w:pPr>
              <w:jc w:val="right"/>
              <w:ind w:right="219"/>
              <w:spacing w:after="0"/>
              <w:rPr>
                <w:sz w:val="20"/>
                <w:szCs w:val="20"/>
                <w:color w:val="auto"/>
              </w:rPr>
            </w:pPr>
            <w:r>
              <w:rPr>
                <w:rFonts w:ascii="Arial" w:cs="Arial" w:eastAsia="Arial" w:hAnsi="Arial"/>
                <w:sz w:val="16"/>
                <w:szCs w:val="16"/>
                <w:color w:val="auto"/>
                <w:w w:val="87"/>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880" w:type="dxa"/>
            <w:vAlign w:val="bottom"/>
          </w:tcPr>
          <w:p>
            <w:pPr>
              <w:ind w:left="200"/>
              <w:spacing w:after="0"/>
              <w:rPr>
                <w:sz w:val="20"/>
                <w:szCs w:val="20"/>
                <w:color w:val="auto"/>
              </w:rPr>
            </w:pPr>
            <w:r>
              <w:rPr>
                <w:rFonts w:ascii="Arial" w:cs="Arial" w:eastAsia="Arial" w:hAnsi="Arial"/>
                <w:sz w:val="16"/>
                <w:szCs w:val="16"/>
                <w:color w:val="auto"/>
              </w:rPr>
              <w:t>(200)</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56"/>
        </w:trPr>
        <w:tc>
          <w:tcPr>
            <w:tcW w:w="460" w:type="dxa"/>
            <w:vAlign w:val="bottom"/>
          </w:tcPr>
          <w:p>
            <w:pPr>
              <w:jc w:val="right"/>
              <w:ind w:right="219"/>
              <w:spacing w:after="0"/>
              <w:rPr>
                <w:sz w:val="20"/>
                <w:szCs w:val="20"/>
                <w:color w:val="auto"/>
              </w:rPr>
            </w:pPr>
            <w:r>
              <w:rPr>
                <w:rFonts w:ascii="Arial" w:cs="Arial" w:eastAsia="Arial" w:hAnsi="Arial"/>
                <w:sz w:val="16"/>
                <w:szCs w:val="16"/>
                <w:color w:val="auto"/>
                <w:w w:val="87"/>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ind w:left="3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1,495</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1,495</w:t>
            </w:r>
          </w:p>
        </w:tc>
      </w:tr>
      <w:tr>
        <w:trPr>
          <w:trHeight w:val="351"/>
        </w:trPr>
        <w:tc>
          <w:tcPr>
            <w:tcW w:w="460" w:type="dxa"/>
            <w:vAlign w:val="bottom"/>
          </w:tcPr>
          <w:p>
            <w:pPr>
              <w:jc w:val="right"/>
              <w:ind w:right="219"/>
              <w:spacing w:after="0"/>
              <w:rPr>
                <w:sz w:val="20"/>
                <w:szCs w:val="20"/>
                <w:color w:val="auto"/>
              </w:rPr>
            </w:pPr>
            <w:r>
              <w:rPr>
                <w:rFonts w:ascii="Arial" w:cs="Arial" w:eastAsia="Arial" w:hAnsi="Arial"/>
                <w:sz w:val="16"/>
                <w:szCs w:val="16"/>
                <w:color w:val="auto"/>
                <w:w w:val="87"/>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ind w:left="3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9"/>
              <w:spacing w:after="0"/>
              <w:rPr>
                <w:sz w:val="20"/>
                <w:szCs w:val="20"/>
                <w:color w:val="auto"/>
              </w:rPr>
            </w:pPr>
            <w:r>
              <w:rPr>
                <w:rFonts w:ascii="Arial" w:cs="Arial" w:eastAsia="Arial" w:hAnsi="Arial"/>
                <w:sz w:val="16"/>
                <w:szCs w:val="16"/>
                <w:color w:val="auto"/>
              </w:rPr>
              <w:t>(48)</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459"/>
        </w:trPr>
        <w:tc>
          <w:tcPr>
            <w:tcW w:w="460" w:type="dxa"/>
            <w:vAlign w:val="bottom"/>
          </w:tcPr>
          <w:p>
            <w:pPr>
              <w:jc w:val="right"/>
              <w:ind w:right="219"/>
              <w:spacing w:after="0"/>
              <w:rPr>
                <w:sz w:val="20"/>
                <w:szCs w:val="20"/>
                <w:color w:val="auto"/>
              </w:rPr>
            </w:pPr>
            <w:r>
              <w:rPr>
                <w:rFonts w:ascii="Arial" w:cs="Arial" w:eastAsia="Arial" w:hAnsi="Arial"/>
                <w:sz w:val="16"/>
                <w:szCs w:val="16"/>
                <w:color w:val="auto"/>
                <w:w w:val="87"/>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ind w:left="3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223</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459"/>
        </w:trPr>
        <w:tc>
          <w:tcPr>
            <w:tcW w:w="460" w:type="dxa"/>
            <w:vAlign w:val="bottom"/>
          </w:tcPr>
          <w:p>
            <w:pPr>
              <w:jc w:val="right"/>
              <w:ind w:right="219"/>
              <w:spacing w:after="0"/>
              <w:rPr>
                <w:sz w:val="20"/>
                <w:szCs w:val="20"/>
                <w:color w:val="auto"/>
              </w:rPr>
            </w:pPr>
            <w:r>
              <w:rPr>
                <w:rFonts w:ascii="Arial" w:cs="Arial" w:eastAsia="Arial" w:hAnsi="Arial"/>
                <w:sz w:val="16"/>
                <w:szCs w:val="16"/>
                <w:color w:val="auto"/>
                <w:w w:val="87"/>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ind w:left="3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65"/>
        </w:trPr>
        <w:tc>
          <w:tcPr>
            <w:tcW w:w="460" w:type="dxa"/>
            <w:vAlign w:val="bottom"/>
          </w:tcPr>
          <w:p>
            <w:pPr>
              <w:jc w:val="right"/>
              <w:ind w:right="219"/>
              <w:spacing w:after="0"/>
              <w:rPr>
                <w:sz w:val="20"/>
                <w:szCs w:val="20"/>
                <w:color w:val="auto"/>
              </w:rPr>
            </w:pPr>
            <w:r>
              <w:rPr>
                <w:rFonts w:ascii="Arial" w:cs="Arial" w:eastAsia="Arial" w:hAnsi="Arial"/>
                <w:sz w:val="16"/>
                <w:szCs w:val="16"/>
                <w:color w:val="auto"/>
                <w:w w:val="87"/>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ind w:left="3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93</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-1344295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-1018540</wp:posOffset>
            </wp:positionV>
            <wp:extent cx="713232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-434975</wp:posOffset>
            </wp:positionV>
            <wp:extent cx="7132320"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18415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200" w:space="540"/>
            <w:col w:w="7500"/>
          </w:cols>
          <w:pgMar w:left="320" w:top="130" w:right="339" w:bottom="1440" w:gutter="0" w:footer="0" w:header="0"/>
          <w:type w:val="continuous"/>
        </w:sectPr>
      </w:pPr>
    </w:p>
    <w:p>
      <w:pPr>
        <w:ind w:left="20"/>
        <w:spacing w:after="0"/>
        <w:tabs>
          <w:tab w:leader="none" w:pos="3620" w:val="left"/>
          <w:tab w:leader="none" w:pos="4560" w:val="left"/>
          <w:tab w:leader="none" w:pos="5300" w:val="left"/>
          <w:tab w:leader="none" w:pos="5800" w:val="left"/>
          <w:tab w:leader="none" w:pos="6620" w:val="left"/>
          <w:tab w:leader="none" w:pos="7440" w:val="left"/>
          <w:tab w:leader="none" w:pos="8660" w:val="left"/>
          <w:tab w:leader="none" w:pos="10140" w:val="left"/>
        </w:tabs>
        <w:rPr>
          <w:sz w:val="20"/>
          <w:szCs w:val="20"/>
          <w:color w:val="auto"/>
        </w:rPr>
      </w:pPr>
      <w:r>
        <w:rPr>
          <w:rFonts w:ascii="Arial" w:cs="Arial" w:eastAsia="Arial" w:hAnsi="Arial"/>
          <w:sz w:val="16"/>
          <w:szCs w:val="16"/>
          <w:b w:val="1"/>
          <w:bCs w:val="1"/>
          <w:color w:val="auto"/>
        </w:rPr>
        <w:t>Balances as of September 30, 2025</w:t>
      </w:r>
      <w:r>
        <w:rPr>
          <w:sz w:val="20"/>
          <w:szCs w:val="20"/>
          <w:color w:val="auto"/>
        </w:rPr>
        <w:tab/>
      </w:r>
      <w:r>
        <w:rPr>
          <w:rFonts w:ascii="Arial" w:cs="Arial" w:eastAsia="Arial" w:hAnsi="Arial"/>
          <w:sz w:val="16"/>
          <w:szCs w:val="16"/>
          <w:b w:val="1"/>
          <w:bCs w:val="1"/>
          <w:color w:val="auto"/>
        </w:rPr>
        <w:t>459 $</w:t>
      </w:r>
      <w:r>
        <w:rPr>
          <w:sz w:val="20"/>
          <w:szCs w:val="20"/>
          <w:color w:val="auto"/>
        </w:rPr>
        <w:tab/>
      </w:r>
      <w:r>
        <w:rPr>
          <w:rFonts w:ascii="Arial" w:cs="Arial" w:eastAsia="Arial" w:hAnsi="Arial"/>
          <w:sz w:val="16"/>
          <w:szCs w:val="16"/>
          <w:b w:val="1"/>
          <w:bCs w:val="1"/>
          <w:color w:val="auto"/>
        </w:rPr>
        <w:t>5</w:t>
      </w:r>
      <w:r>
        <w:rPr>
          <w:sz w:val="20"/>
          <w:szCs w:val="20"/>
          <w:color w:val="auto"/>
        </w:rPr>
        <w:tab/>
      </w:r>
      <w:r>
        <w:rPr>
          <w:rFonts w:ascii="Arial" w:cs="Arial" w:eastAsia="Arial" w:hAnsi="Arial"/>
          <w:sz w:val="16"/>
          <w:szCs w:val="16"/>
          <w:b w:val="1"/>
          <w:bCs w:val="1"/>
          <w:color w:val="auto"/>
        </w:rPr>
        <w:t>3 $</w:t>
        <w:tab/>
        <w:t>(225) $</w:t>
      </w:r>
      <w:r>
        <w:rPr>
          <w:sz w:val="20"/>
          <w:szCs w:val="20"/>
          <w:color w:val="auto"/>
        </w:rPr>
        <w:tab/>
      </w:r>
      <w:r>
        <w:rPr>
          <w:rFonts w:ascii="Arial" w:cs="Arial" w:eastAsia="Arial" w:hAnsi="Arial"/>
          <w:sz w:val="16"/>
          <w:szCs w:val="16"/>
          <w:b w:val="1"/>
          <w:bCs w:val="1"/>
          <w:color w:val="auto"/>
        </w:rPr>
        <w:t>6,661 $</w:t>
        <w:tab/>
        <w:t>4,709 $</w:t>
      </w:r>
      <w:r>
        <w:rPr>
          <w:sz w:val="20"/>
          <w:szCs w:val="20"/>
          <w:color w:val="auto"/>
        </w:rPr>
        <w:tab/>
      </w:r>
      <w:r>
        <w:rPr>
          <w:rFonts w:ascii="Arial" w:cs="Arial" w:eastAsia="Arial" w:hAnsi="Arial"/>
          <w:sz w:val="16"/>
          <w:szCs w:val="16"/>
          <w:b w:val="1"/>
          <w:bCs w:val="1"/>
          <w:color w:val="auto"/>
        </w:rPr>
        <w:t>(1,156) $</w:t>
      </w:r>
      <w:r>
        <w:rPr>
          <w:sz w:val="20"/>
          <w:szCs w:val="20"/>
          <w:color w:val="auto"/>
        </w:rPr>
        <w:tab/>
      </w:r>
      <w:r>
        <w:rPr>
          <w:rFonts w:ascii="Arial" w:cs="Arial" w:eastAsia="Arial" w:hAnsi="Arial"/>
          <w:sz w:val="16"/>
          <w:szCs w:val="16"/>
          <w:b w:val="1"/>
          <w:bCs w:val="1"/>
          <w:color w:val="auto"/>
        </w:rPr>
        <w:t>23 $  10,016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0"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Cash Flows (Unaudited)</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000" w:type="dxa"/>
            <w:vAlign w:val="bottom"/>
          </w:tcPr>
          <w:p>
            <w:pPr>
              <w:spacing w:after="0"/>
              <w:rPr>
                <w:sz w:val="24"/>
                <w:szCs w:val="24"/>
                <w:color w:val="auto"/>
              </w:rPr>
            </w:pPr>
          </w:p>
        </w:tc>
        <w:tc>
          <w:tcPr>
            <w:tcW w:w="3240" w:type="dxa"/>
            <w:vAlign w:val="bottom"/>
            <w:gridSpan w:val="4"/>
          </w:tcPr>
          <w:p>
            <w:pPr>
              <w:ind w:left="20"/>
              <w:spacing w:after="0"/>
              <w:rPr>
                <w:sz w:val="20"/>
                <w:szCs w:val="20"/>
                <w:color w:val="auto"/>
              </w:rPr>
            </w:pPr>
            <w:r>
              <w:rPr>
                <w:rFonts w:ascii="Arial" w:cs="Arial" w:eastAsia="Arial" w:hAnsi="Arial"/>
                <w:sz w:val="16"/>
                <w:szCs w:val="16"/>
                <w:b w:val="1"/>
                <w:bCs w:val="1"/>
                <w:color w:val="454545"/>
              </w:rPr>
              <w:t>For the nine months ended September 30</w:t>
            </w:r>
          </w:p>
        </w:tc>
        <w:tc>
          <w:tcPr>
            <w:tcW w:w="0" w:type="dxa"/>
            <w:vAlign w:val="bottom"/>
          </w:tcPr>
          <w:p>
            <w:pPr>
              <w:spacing w:after="0"/>
              <w:rPr>
                <w:sz w:val="1"/>
                <w:szCs w:val="1"/>
                <w:color w:val="auto"/>
              </w:rPr>
            </w:pPr>
          </w:p>
        </w:tc>
      </w:tr>
      <w:tr>
        <w:trPr>
          <w:trHeight w:val="21"/>
        </w:trPr>
        <w:tc>
          <w:tcPr>
            <w:tcW w:w="80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38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80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2026</w:t>
            </w:r>
          </w:p>
        </w:tc>
        <w:tc>
          <w:tcPr>
            <w:tcW w:w="380" w:type="dxa"/>
            <w:vAlign w:val="bottom"/>
          </w:tcPr>
          <w:p>
            <w:pPr>
              <w:spacing w:after="0"/>
              <w:rPr>
                <w:sz w:val="19"/>
                <w:szCs w:val="19"/>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2025</w:t>
            </w:r>
          </w:p>
        </w:tc>
        <w:tc>
          <w:tcPr>
            <w:tcW w:w="0" w:type="dxa"/>
            <w:vAlign w:val="bottom"/>
          </w:tcPr>
          <w:p>
            <w:pPr>
              <w:spacing w:after="0"/>
              <w:rPr>
                <w:sz w:val="1"/>
                <w:szCs w:val="1"/>
                <w:color w:val="auto"/>
              </w:rPr>
            </w:pPr>
          </w:p>
        </w:tc>
      </w:tr>
      <w:tr>
        <w:trPr>
          <w:trHeight w:val="21"/>
        </w:trPr>
        <w:tc>
          <w:tcPr>
            <w:tcW w:w="800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1,608</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1,552</w:t>
            </w:r>
          </w:p>
        </w:tc>
        <w:tc>
          <w:tcPr>
            <w:tcW w:w="0" w:type="dxa"/>
            <w:vAlign w:val="bottom"/>
          </w:tcPr>
          <w:p>
            <w:pPr>
              <w:spacing w:after="0"/>
              <w:rPr>
                <w:sz w:val="1"/>
                <w:szCs w:val="1"/>
                <w:color w:val="auto"/>
              </w:rPr>
            </w:pPr>
          </w:p>
        </w:tc>
      </w:tr>
      <w:tr>
        <w:trPr>
          <w:trHeight w:val="227"/>
        </w:trPr>
        <w:tc>
          <w:tcPr>
            <w:tcW w:w="8000" w:type="dxa"/>
            <w:vAlign w:val="bottom"/>
          </w:tcPr>
          <w:p>
            <w:pPr>
              <w:ind w:left="20"/>
              <w:spacing w:after="0"/>
              <w:rPr>
                <w:sz w:val="20"/>
                <w:szCs w:val="20"/>
                <w:color w:val="auto"/>
              </w:rPr>
            </w:pPr>
            <w:r>
              <w:rPr>
                <w:rFonts w:ascii="Arial" w:cs="Arial" w:eastAsia="Arial" w:hAnsi="Arial"/>
                <w:sz w:val="16"/>
                <w:szCs w:val="16"/>
                <w:color w:val="auto"/>
              </w:rPr>
              <w:t>Adjustments to reconcile Net income to Cash from (used for) operating activities: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Depreciation of property, plant, and equipment</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235</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28"/>
        </w:trPr>
        <w:tc>
          <w:tcPr>
            <w:tcW w:w="800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241</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Gain on remeasurement of Nihon Medi-Physics equity method investment</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27"/>
        </w:trPr>
        <w:tc>
          <w:tcPr>
            <w:tcW w:w="8000" w:type="dxa"/>
            <w:vAlign w:val="bottom"/>
          </w:tcPr>
          <w:p>
            <w:pPr>
              <w:ind w:left="140"/>
              <w:spacing w:after="0"/>
              <w:rPr>
                <w:sz w:val="20"/>
                <w:szCs w:val="20"/>
                <w:color w:val="auto"/>
              </w:rPr>
            </w:pPr>
            <w:r>
              <w:rPr>
                <w:rFonts w:ascii="Arial" w:cs="Arial" w:eastAsia="Arial" w:hAnsi="Arial"/>
                <w:sz w:val="16"/>
                <w:szCs w:val="16"/>
                <w:color w:val="auto"/>
              </w:rPr>
              <w:t>Net periodic postretirement benefit plan (income) expense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(140)</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Postretirement plan contributions</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(243)</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28"/>
        </w:trPr>
        <w:tc>
          <w:tcPr>
            <w:tcW w:w="80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116</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Provision for income taxes</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342</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28"/>
        </w:trPr>
        <w:tc>
          <w:tcPr>
            <w:tcW w:w="8000" w:type="dxa"/>
            <w:vAlign w:val="bottom"/>
          </w:tcPr>
          <w:p>
            <w:pPr>
              <w:ind w:left="140"/>
              <w:spacing w:after="0"/>
              <w:rPr>
                <w:sz w:val="20"/>
                <w:szCs w:val="20"/>
                <w:color w:val="auto"/>
              </w:rPr>
            </w:pPr>
            <w:r>
              <w:rPr>
                <w:rFonts w:ascii="Arial" w:cs="Arial" w:eastAsia="Arial" w:hAnsi="Arial"/>
                <w:sz w:val="16"/>
                <w:szCs w:val="16"/>
                <w:color w:val="auto"/>
              </w:rPr>
              <w:t>Cash paid during the year for income taxes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(301)</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Changes in operating assets and liabilities, excluding the effects of acquisitions:</w:t>
            </w:r>
          </w:p>
        </w:tc>
        <w:tc>
          <w:tcPr>
            <w:tcW w:w="380" w:type="dxa"/>
            <w:vAlign w:val="bottom"/>
            <w:shd w:val="clear" w:color="auto" w:fill="E4E4E4"/>
          </w:tcPr>
          <w:p>
            <w:pPr>
              <w:spacing w:after="0"/>
              <w:rPr>
                <w:sz w:val="20"/>
                <w:szCs w:val="20"/>
                <w:color w:val="auto"/>
              </w:rPr>
            </w:pPr>
          </w:p>
        </w:tc>
        <w:tc>
          <w:tcPr>
            <w:tcW w:w="1240" w:type="dxa"/>
            <w:vAlign w:val="bottom"/>
            <w:shd w:val="clear" w:color="auto" w:fill="E4E4E4"/>
          </w:tcPr>
          <w:p>
            <w:pPr>
              <w:spacing w:after="0"/>
              <w:rPr>
                <w:sz w:val="20"/>
                <w:szCs w:val="20"/>
                <w:color w:val="auto"/>
              </w:rPr>
            </w:pPr>
          </w:p>
        </w:tc>
        <w:tc>
          <w:tcPr>
            <w:tcW w:w="380" w:type="dxa"/>
            <w:vAlign w:val="bottom"/>
            <w:shd w:val="clear" w:color="auto" w:fill="E4E4E4"/>
          </w:tcPr>
          <w:p>
            <w:pPr>
              <w:spacing w:after="0"/>
              <w:rPr>
                <w:sz w:val="20"/>
                <w:szCs w:val="20"/>
                <w:color w:val="auto"/>
              </w:rPr>
            </w:pPr>
          </w:p>
        </w:tc>
        <w:tc>
          <w:tcPr>
            <w:tcW w:w="124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000" w:type="dxa"/>
            <w:vAlign w:val="bottom"/>
          </w:tcPr>
          <w:p>
            <w:pPr>
              <w:ind w:left="240"/>
              <w:spacing w:after="0"/>
              <w:rPr>
                <w:sz w:val="20"/>
                <w:szCs w:val="20"/>
                <w:color w:val="auto"/>
              </w:rPr>
            </w:pPr>
            <w:r>
              <w:rPr>
                <w:rFonts w:ascii="Arial" w:cs="Arial" w:eastAsia="Arial" w:hAnsi="Arial"/>
                <w:sz w:val="16"/>
                <w:szCs w:val="16"/>
                <w:color w:val="auto"/>
              </w:rPr>
              <w:t>Receivables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Inventories</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(430)</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28"/>
        </w:trPr>
        <w:tc>
          <w:tcPr>
            <w:tcW w:w="8000" w:type="dxa"/>
            <w:vAlign w:val="bottom"/>
          </w:tcPr>
          <w:p>
            <w:pPr>
              <w:ind w:left="240"/>
              <w:spacing w:after="0"/>
              <w:rPr>
                <w:sz w:val="20"/>
                <w:szCs w:val="20"/>
                <w:color w:val="auto"/>
              </w:rPr>
            </w:pPr>
            <w:r>
              <w:rPr>
                <w:rFonts w:ascii="Arial" w:cs="Arial" w:eastAsia="Arial" w:hAnsi="Arial"/>
                <w:sz w:val="16"/>
                <w:szCs w:val="16"/>
                <w:color w:val="auto"/>
              </w:rPr>
              <w:t>Contract and other deferred assets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(265)</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Accounts payable</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27"/>
        </w:trPr>
        <w:tc>
          <w:tcPr>
            <w:tcW w:w="8000" w:type="dxa"/>
            <w:vAlign w:val="bottom"/>
          </w:tcPr>
          <w:p>
            <w:pPr>
              <w:ind w:left="240"/>
              <w:spacing w:after="0"/>
              <w:rPr>
                <w:sz w:val="20"/>
                <w:szCs w:val="20"/>
                <w:color w:val="auto"/>
              </w:rPr>
            </w:pPr>
            <w:r>
              <w:rPr>
                <w:rFonts w:ascii="Arial" w:cs="Arial" w:eastAsia="Arial" w:hAnsi="Arial"/>
                <w:sz w:val="16"/>
                <w:szCs w:val="16"/>
                <w:color w:val="auto"/>
              </w:rPr>
              <w:t>Contract liabilities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130</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Current compensation and benefits</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8"/>
        </w:trPr>
        <w:tc>
          <w:tcPr>
            <w:tcW w:w="8000" w:type="dxa"/>
            <w:vAlign w:val="bottom"/>
          </w:tcPr>
          <w:p>
            <w:pPr>
              <w:ind w:left="140"/>
              <w:spacing w:after="0"/>
              <w:rPr>
                <w:sz w:val="20"/>
                <w:szCs w:val="20"/>
                <w:color w:val="auto"/>
              </w:rPr>
            </w:pPr>
            <w:r>
              <w:rPr>
                <w:rFonts w:ascii="Arial" w:cs="Arial" w:eastAsia="Arial" w:hAnsi="Arial"/>
                <w:sz w:val="16"/>
                <w:szCs w:val="16"/>
                <w:color w:val="auto"/>
              </w:rPr>
              <w:t>All other operating activities – net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9"/>
        </w:trPr>
        <w:tc>
          <w:tcPr>
            <w:tcW w:w="8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operating activities</w:t>
            </w:r>
          </w:p>
        </w:tc>
        <w:tc>
          <w:tcPr>
            <w:tcW w:w="380" w:type="dxa"/>
            <w:vAlign w:val="bottom"/>
            <w:tcBorders>
              <w:bottom w:val="single" w:sz="8" w:color="E4E4E4"/>
            </w:tcBorders>
            <w:shd w:val="clear" w:color="auto" w:fill="E4E4E4"/>
          </w:tcPr>
          <w:p>
            <w:pPr>
              <w:spacing w:after="0"/>
              <w:rPr>
                <w:sz w:val="21"/>
                <w:szCs w:val="21"/>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1,365</w:t>
            </w:r>
          </w:p>
        </w:tc>
        <w:tc>
          <w:tcPr>
            <w:tcW w:w="380" w:type="dxa"/>
            <w:vAlign w:val="bottom"/>
            <w:tcBorders>
              <w:bottom w:val="single" w:sz="8" w:color="E4E4E4"/>
            </w:tcBorders>
            <w:shd w:val="clear" w:color="auto" w:fill="E4E4E4"/>
          </w:tcPr>
          <w:p>
            <w:pPr>
              <w:spacing w:after="0"/>
              <w:rPr>
                <w:sz w:val="21"/>
                <w:szCs w:val="21"/>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937</w:t>
            </w:r>
          </w:p>
        </w:tc>
        <w:tc>
          <w:tcPr>
            <w:tcW w:w="0" w:type="dxa"/>
            <w:vAlign w:val="bottom"/>
          </w:tcPr>
          <w:p>
            <w:pPr>
              <w:spacing w:after="0"/>
              <w:rPr>
                <w:sz w:val="1"/>
                <w:szCs w:val="1"/>
                <w:color w:val="auto"/>
              </w:rPr>
            </w:pPr>
          </w:p>
        </w:tc>
      </w:tr>
      <w:tr>
        <w:trPr>
          <w:trHeight w:val="229"/>
        </w:trPr>
        <w:tc>
          <w:tcPr>
            <w:tcW w:w="80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 investing activities</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Additions to property, plant and equipment and internal-use software</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(392)</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28"/>
        </w:trPr>
        <w:tc>
          <w:tcPr>
            <w:tcW w:w="8000" w:type="dxa"/>
            <w:vAlign w:val="bottom"/>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(2,293)</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Purchases of investments</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28"/>
        </w:trPr>
        <w:tc>
          <w:tcPr>
            <w:tcW w:w="8000" w:type="dxa"/>
            <w:vAlign w:val="bottom"/>
          </w:tcPr>
          <w:p>
            <w:pPr>
              <w:ind w:left="20"/>
              <w:spacing w:after="0"/>
              <w:rPr>
                <w:sz w:val="20"/>
                <w:szCs w:val="20"/>
                <w:color w:val="auto"/>
              </w:rPr>
            </w:pPr>
            <w:r>
              <w:rPr>
                <w:rFonts w:ascii="Arial" w:cs="Arial" w:eastAsia="Arial" w:hAnsi="Arial"/>
                <w:sz w:val="16"/>
                <w:szCs w:val="16"/>
                <w:color w:val="auto"/>
              </w:rPr>
              <w:t>All other investing activities – net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9"/>
        </w:trPr>
        <w:tc>
          <w:tcPr>
            <w:tcW w:w="8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investing activities</w:t>
            </w:r>
          </w:p>
        </w:tc>
        <w:tc>
          <w:tcPr>
            <w:tcW w:w="380" w:type="dxa"/>
            <w:vAlign w:val="bottom"/>
            <w:tcBorders>
              <w:bottom w:val="single" w:sz="8" w:color="E4E4E4"/>
            </w:tcBorders>
            <w:shd w:val="clear" w:color="auto" w:fill="E4E4E4"/>
          </w:tcPr>
          <w:p>
            <w:pPr>
              <w:spacing w:after="0"/>
              <w:rPr>
                <w:sz w:val="21"/>
                <w:szCs w:val="21"/>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(2,726)</w:t>
            </w:r>
          </w:p>
        </w:tc>
        <w:tc>
          <w:tcPr>
            <w:tcW w:w="380" w:type="dxa"/>
            <w:vAlign w:val="bottom"/>
            <w:tcBorders>
              <w:bottom w:val="single" w:sz="8" w:color="E4E4E4"/>
            </w:tcBorders>
            <w:shd w:val="clear" w:color="auto" w:fill="E4E4E4"/>
          </w:tcPr>
          <w:p>
            <w:pPr>
              <w:spacing w:after="0"/>
              <w:rPr>
                <w:sz w:val="21"/>
                <w:szCs w:val="21"/>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(778)</w:t>
            </w:r>
          </w:p>
        </w:tc>
        <w:tc>
          <w:tcPr>
            <w:tcW w:w="0" w:type="dxa"/>
            <w:vAlign w:val="bottom"/>
          </w:tcPr>
          <w:p>
            <w:pPr>
              <w:spacing w:after="0"/>
              <w:rPr>
                <w:sz w:val="1"/>
                <w:szCs w:val="1"/>
                <w:color w:val="auto"/>
              </w:rPr>
            </w:pPr>
          </w:p>
        </w:tc>
      </w:tr>
      <w:tr>
        <w:trPr>
          <w:trHeight w:val="229"/>
        </w:trPr>
        <w:tc>
          <w:tcPr>
            <w:tcW w:w="80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 financing activities</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increase (decrease) in borrowings (maturities of 90 days or less)</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8000" w:type="dxa"/>
            <w:vAlign w:val="bottom"/>
          </w:tcPr>
          <w:p>
            <w:pPr>
              <w:ind w:left="20"/>
              <w:spacing w:after="0"/>
              <w:rPr>
                <w:sz w:val="20"/>
                <w:szCs w:val="20"/>
                <w:color w:val="auto"/>
              </w:rPr>
            </w:pPr>
            <w:r>
              <w:rPr>
                <w:rFonts w:ascii="Arial" w:cs="Arial" w:eastAsia="Arial" w:hAnsi="Arial"/>
                <w:sz w:val="16"/>
                <w:szCs w:val="16"/>
                <w:color w:val="auto"/>
              </w:rPr>
              <w:t>Newly issued debt, net of debt issuance costs (maturities longer than 90 days)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1,151</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1,494</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Repayments and other reductions (maturities longer than 90 days)</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(1,013)</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28"/>
        </w:trPr>
        <w:tc>
          <w:tcPr>
            <w:tcW w:w="8000" w:type="dxa"/>
            <w:vAlign w:val="bottom"/>
          </w:tcPr>
          <w:p>
            <w:pPr>
              <w:ind w:left="20"/>
              <w:spacing w:after="0"/>
              <w:rPr>
                <w:sz w:val="20"/>
                <w:szCs w:val="20"/>
                <w:color w:val="auto"/>
              </w:rPr>
            </w:pPr>
            <w:r>
              <w:rPr>
                <w:rFonts w:ascii="Arial" w:cs="Arial" w:eastAsia="Arial" w:hAnsi="Arial"/>
                <w:sz w:val="16"/>
                <w:szCs w:val="16"/>
                <w:color w:val="auto"/>
              </w:rPr>
              <w:t>Dividends paid to stockholders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Repurchase of common stock</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(300)</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28"/>
        </w:trPr>
        <w:tc>
          <w:tcPr>
            <w:tcW w:w="8000" w:type="dxa"/>
            <w:vAlign w:val="bottom"/>
          </w:tcPr>
          <w:p>
            <w:pPr>
              <w:ind w:left="20"/>
              <w:spacing w:after="0"/>
              <w:rPr>
                <w:sz w:val="20"/>
                <w:szCs w:val="20"/>
                <w:color w:val="auto"/>
              </w:rPr>
            </w:pPr>
            <w:r>
              <w:rPr>
                <w:rFonts w:ascii="Arial" w:cs="Arial" w:eastAsia="Arial" w:hAnsi="Arial"/>
                <w:sz w:val="16"/>
                <w:szCs w:val="16"/>
                <w:color w:val="auto"/>
              </w:rPr>
              <w:t>Proceeds from stock issued under employee benefit plans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Taxes paid related to net share settlement of equity awards</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8"/>
        </w:trPr>
        <w:tc>
          <w:tcPr>
            <w:tcW w:w="8000" w:type="dxa"/>
            <w:vAlign w:val="bottom"/>
          </w:tcPr>
          <w:p>
            <w:pPr>
              <w:ind w:left="20"/>
              <w:spacing w:after="0"/>
              <w:rPr>
                <w:sz w:val="20"/>
                <w:szCs w:val="20"/>
                <w:color w:val="auto"/>
              </w:rPr>
            </w:pPr>
            <w:r>
              <w:rPr>
                <w:rFonts w:ascii="Arial" w:cs="Arial" w:eastAsia="Arial" w:hAnsi="Arial"/>
                <w:sz w:val="16"/>
                <w:szCs w:val="16"/>
                <w:color w:val="auto"/>
              </w:rPr>
              <w:t>All other financing activities – net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9"/>
        </w:trPr>
        <w:tc>
          <w:tcPr>
            <w:tcW w:w="8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financing activities</w:t>
            </w:r>
          </w:p>
        </w:tc>
        <w:tc>
          <w:tcPr>
            <w:tcW w:w="380" w:type="dxa"/>
            <w:vAlign w:val="bottom"/>
            <w:tcBorders>
              <w:bottom w:val="single" w:sz="8" w:color="E4E4E4"/>
            </w:tcBorders>
            <w:shd w:val="clear" w:color="auto" w:fill="E4E4E4"/>
          </w:tcPr>
          <w:p>
            <w:pPr>
              <w:spacing w:after="0"/>
              <w:rPr>
                <w:sz w:val="21"/>
                <w:szCs w:val="21"/>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(255)</w:t>
            </w:r>
          </w:p>
        </w:tc>
        <w:tc>
          <w:tcPr>
            <w:tcW w:w="380" w:type="dxa"/>
            <w:vAlign w:val="bottom"/>
            <w:tcBorders>
              <w:bottom w:val="single" w:sz="8" w:color="E4E4E4"/>
            </w:tcBorders>
            <w:shd w:val="clear" w:color="auto" w:fill="E4E4E4"/>
          </w:tcPr>
          <w:p>
            <w:pPr>
              <w:spacing w:after="0"/>
              <w:rPr>
                <w:sz w:val="21"/>
                <w:szCs w:val="21"/>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910</w:t>
            </w:r>
          </w:p>
        </w:tc>
        <w:tc>
          <w:tcPr>
            <w:tcW w:w="0" w:type="dxa"/>
            <w:vAlign w:val="bottom"/>
          </w:tcPr>
          <w:p>
            <w:pPr>
              <w:spacing w:after="0"/>
              <w:rPr>
                <w:sz w:val="1"/>
                <w:szCs w:val="1"/>
                <w:color w:val="auto"/>
              </w:rPr>
            </w:pPr>
          </w:p>
        </w:tc>
      </w:tr>
      <w:tr>
        <w:trPr>
          <w:trHeight w:val="221"/>
        </w:trPr>
        <w:tc>
          <w:tcPr>
            <w:tcW w:w="80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Effect of foreign currency rate changes on cash, cash equivalents, and restricted cash</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9"/>
        </w:trPr>
        <w:tc>
          <w:tcPr>
            <w:tcW w:w="8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Increase (decrease) in cash, cash equivalents, and restricted cash</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(1,658)</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1,137</w:t>
            </w:r>
          </w:p>
        </w:tc>
        <w:tc>
          <w:tcPr>
            <w:tcW w:w="0" w:type="dxa"/>
            <w:vAlign w:val="bottom"/>
          </w:tcPr>
          <w:p>
            <w:pPr>
              <w:spacing w:after="0"/>
              <w:rPr>
                <w:sz w:val="1"/>
                <w:szCs w:val="1"/>
                <w:color w:val="auto"/>
              </w:rPr>
            </w:pPr>
          </w:p>
        </w:tc>
      </w:tr>
      <w:tr>
        <w:trPr>
          <w:trHeight w:val="228"/>
        </w:trPr>
        <w:tc>
          <w:tcPr>
            <w:tcW w:w="80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4,515</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2,893</w:t>
            </w:r>
          </w:p>
        </w:tc>
        <w:tc>
          <w:tcPr>
            <w:tcW w:w="0" w:type="dxa"/>
            <w:vAlign w:val="bottom"/>
          </w:tcPr>
          <w:p>
            <w:pPr>
              <w:spacing w:after="0"/>
              <w:rPr>
                <w:sz w:val="1"/>
                <w:szCs w:val="1"/>
                <w:color w:val="auto"/>
              </w:rPr>
            </w:pPr>
          </w:p>
        </w:tc>
      </w:tr>
      <w:tr>
        <w:trPr>
          <w:trHeight w:val="29"/>
        </w:trPr>
        <w:tc>
          <w:tcPr>
            <w:tcW w:w="8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2,857</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4,030</w:t>
            </w:r>
          </w:p>
        </w:tc>
        <w:tc>
          <w:tcPr>
            <w:tcW w:w="0" w:type="dxa"/>
            <w:vAlign w:val="bottom"/>
          </w:tcPr>
          <w:p>
            <w:pPr>
              <w:spacing w:after="0"/>
              <w:rPr>
                <w:sz w:val="1"/>
                <w:szCs w:val="1"/>
                <w:color w:val="auto"/>
              </w:rPr>
            </w:pPr>
          </w:p>
        </w:tc>
      </w:tr>
      <w:tr>
        <w:trPr>
          <w:trHeight w:val="250"/>
        </w:trPr>
        <w:tc>
          <w:tcPr>
            <w:tcW w:w="80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0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Supplemental disclosure of cash flows information</w:t>
            </w:r>
          </w:p>
        </w:tc>
        <w:tc>
          <w:tcPr>
            <w:tcW w:w="380" w:type="dxa"/>
            <w:vAlign w:val="bottom"/>
            <w:shd w:val="clear" w:color="auto" w:fill="E4E4E4"/>
          </w:tcPr>
          <w:p>
            <w:pPr>
              <w:spacing w:after="0"/>
              <w:rPr>
                <w:sz w:val="22"/>
                <w:szCs w:val="22"/>
                <w:color w:val="auto"/>
              </w:rPr>
            </w:pPr>
          </w:p>
        </w:tc>
        <w:tc>
          <w:tcPr>
            <w:tcW w:w="1240" w:type="dxa"/>
            <w:vAlign w:val="bottom"/>
            <w:shd w:val="clear" w:color="auto" w:fill="E4E4E4"/>
          </w:tcPr>
          <w:p>
            <w:pPr>
              <w:spacing w:after="0"/>
              <w:rPr>
                <w:sz w:val="22"/>
                <w:szCs w:val="22"/>
                <w:color w:val="auto"/>
              </w:rPr>
            </w:pPr>
          </w:p>
        </w:tc>
        <w:tc>
          <w:tcPr>
            <w:tcW w:w="380" w:type="dxa"/>
            <w:vAlign w:val="bottom"/>
            <w:shd w:val="clear" w:color="auto" w:fill="E4E4E4"/>
          </w:tcPr>
          <w:p>
            <w:pPr>
              <w:spacing w:after="0"/>
              <w:rPr>
                <w:sz w:val="22"/>
                <w:szCs w:val="22"/>
                <w:color w:val="auto"/>
              </w:rPr>
            </w:pPr>
          </w:p>
        </w:tc>
        <w:tc>
          <w:tcPr>
            <w:tcW w:w="124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8000" w:type="dxa"/>
            <w:vAlign w:val="bottom"/>
          </w:tcPr>
          <w:p>
            <w:pPr>
              <w:ind w:left="20"/>
              <w:spacing w:after="0"/>
              <w:rPr>
                <w:sz w:val="20"/>
                <w:szCs w:val="20"/>
                <w:color w:val="auto"/>
              </w:rPr>
            </w:pPr>
            <w:r>
              <w:rPr>
                <w:rFonts w:ascii="Arial" w:cs="Arial" w:eastAsia="Arial" w:hAnsi="Arial"/>
                <w:sz w:val="16"/>
                <w:szCs w:val="16"/>
                <w:color w:val="auto"/>
              </w:rPr>
              <w:t>Cash paid during the year for interest</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(364)</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0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380" w:type="dxa"/>
            <w:vAlign w:val="bottom"/>
            <w:shd w:val="clear" w:color="auto" w:fill="E4E4E4"/>
          </w:tcPr>
          <w:p>
            <w:pPr>
              <w:spacing w:after="0"/>
              <w:rPr>
                <w:sz w:val="22"/>
                <w:szCs w:val="22"/>
                <w:color w:val="auto"/>
              </w:rPr>
            </w:pPr>
          </w:p>
        </w:tc>
        <w:tc>
          <w:tcPr>
            <w:tcW w:w="1240" w:type="dxa"/>
            <w:vAlign w:val="bottom"/>
            <w:shd w:val="clear" w:color="auto" w:fill="E4E4E4"/>
          </w:tcPr>
          <w:p>
            <w:pPr>
              <w:spacing w:after="0"/>
              <w:rPr>
                <w:sz w:val="22"/>
                <w:szCs w:val="22"/>
                <w:color w:val="auto"/>
              </w:rPr>
            </w:pPr>
          </w:p>
        </w:tc>
        <w:tc>
          <w:tcPr>
            <w:tcW w:w="380" w:type="dxa"/>
            <w:vAlign w:val="bottom"/>
            <w:shd w:val="clear" w:color="auto" w:fill="E4E4E4"/>
          </w:tcPr>
          <w:p>
            <w:pPr>
              <w:spacing w:after="0"/>
              <w:rPr>
                <w:sz w:val="22"/>
                <w:szCs w:val="22"/>
                <w:color w:val="auto"/>
              </w:rPr>
            </w:pPr>
          </w:p>
        </w:tc>
        <w:tc>
          <w:tcPr>
            <w:tcW w:w="124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8000" w:type="dxa"/>
            <w:vAlign w:val="bottom"/>
          </w:tcPr>
          <w:p>
            <w:pPr>
              <w:ind w:left="20"/>
              <w:spacing w:after="0"/>
              <w:rPr>
                <w:sz w:val="20"/>
                <w:szCs w:val="20"/>
                <w:color w:val="auto"/>
              </w:rPr>
            </w:pPr>
            <w:r>
              <w:rPr>
                <w:rFonts w:ascii="Arial" w:cs="Arial" w:eastAsia="Arial" w:hAnsi="Arial"/>
                <w:sz w:val="16"/>
                <w:szCs w:val="16"/>
                <w:color w:val="auto"/>
              </w:rPr>
              <w:t>Acquired but unpaid property, plant, and equipment</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124</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9"/>
        </w:trPr>
        <w:tc>
          <w:tcPr>
            <w:tcW w:w="8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57"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GE HealthCare Technologies Inc. is a leading global healthcare solutions provider of advanced medical technology, pharmaceutical diagnostics, and AI, cloud and software solutions.</w:t>
      </w:r>
    </w:p>
    <w:p>
      <w:pPr>
        <w:spacing w:after="0" w:line="196"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condensed consolidated financial statements (the “financial statements”) of GE HealthCare Technologies Inc. and its subsidiaries (“GE HealthCare,” the “Company,” “our,” “us,” or “we”) have been prepared in accordance with United States (“U.S.”) generally accepted accounting principles (“U.S. GAAP”) for interim financial information and in accordance with the instructions to Form 10-Q and Article 10 of Regulation S-X. Accordingly, the financial statements do not include all of the information and notes required by U.S. GAAP for complete financial statements. In the opinion of management, all adjustments, including normal recurring adjustments, considered necessary for a fair presentation of the Company’s financial position and operating results have been included. All intercompany balances and transactions within the Company have been eliminated in the financial statements. Operating results for the three and nine months ended September 30, 2026 and 2025 are not necessarily indicative of the results that may be expected for the fiscal year as a whole. The December 31, 2025 period presented on the Condensed Consolidated Statement of Financial Position was derived from audited financial statements but does not include all disclosures required by U.S. GAAP.</w:t>
      </w:r>
    </w:p>
    <w:p>
      <w:pPr>
        <w:spacing w:after="0" w:line="204"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financial statements and notes should be read in conjunction with the Company’s audited consolidated financial statements and notes included in our Annual Report on Form 10-K for the fiscal year ended December 31, 2025. Tables throughout this document are presented in millions of U.S. dollars unless otherwise stated and certain columns and rows may not sum due to the use of rounded numbers. Percentages presented are calculated from the underlying whole-dollar amounts. References to the “Spin-Off” are related to the spin-off of GE HealthCare Technologies Inc. from General Electric Company, which now operates as GE Aerospace (“GE”).</w:t>
      </w:r>
    </w:p>
    <w:p>
      <w:pPr>
        <w:spacing w:after="0" w:line="199"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In the second quarter of 2026, we made a strategic change to our executive leadership and to our segments, combining our Imaging and Advanced Visualization Solutions (“AVS”) businesses into a new operating and reportable segment, Advanced Imaging Solutions (“AIS”). Following this organizational change, the Company has three reportable segments: AIS, Pharmaceutical Diagnostics (“PDx”), and Patient Care Solutions (“PCS”), which is aligned with how the Company’s Chief Operating Decision Maker (“CODM”) reviews the business for the purpose of assessing performance and allocating resources. Historical segment financial information presented within this report has been recast to conform to the new reportable segment structure. See Note 3, “Segment Information” for more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ESTIMATES AND ASSUMPTIONS.</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based on assumptions about current, and for some estimates, future, economic and market conditions, which affect the reported amounts and related disclosures in the financial statements. We base our estimates and judgments on historical experience and on various other assumptions and information that we believe to be reasonable under the circumstances. Although our estimates contemplate current and expected future conditions, as applicable, it is reasonably possible that actual conditions could differ from our expectations, which could materially affect our results of operations, financial position, and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4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We evaluate Accounting Standards Updates (“ASUs”) issued by the Financial Accounting Standards Board (“FASB”). ASUs not included in our disclosures were assessed and determined to either be not applicable or are not expected to have a significant impact on our financial statements or disclosures.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November 2024, the FASB issued ASU No. 2024-03 (“ASU 2024-03”), </w:t>
      </w:r>
      <w:r>
        <w:rPr>
          <w:rFonts w:ascii="Arial" w:cs="Arial" w:eastAsia="Arial" w:hAnsi="Arial"/>
          <w:sz w:val="16"/>
          <w:szCs w:val="16"/>
          <w:i w:val="1"/>
          <w:iCs w:val="1"/>
          <w:color w:val="auto"/>
        </w:rPr>
        <w:t>Income Statement - Reporting Comprehensive Income - Expense Disaggregation</w:t>
      </w:r>
    </w:p>
    <w:p>
      <w:pPr>
        <w:spacing w:after="0" w:line="31"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i w:val="1"/>
          <w:iCs w:val="1"/>
          <w:color w:val="auto"/>
        </w:rPr>
        <w:t>Disclosures (Subtopic 220-40): Disaggregation of Income Statement Expenses</w:t>
      </w:r>
      <w:r>
        <w:rPr>
          <w:rFonts w:ascii="Arial" w:cs="Arial" w:eastAsia="Arial" w:hAnsi="Arial"/>
          <w:sz w:val="16"/>
          <w:szCs w:val="16"/>
          <w:color w:val="auto"/>
        </w:rPr>
        <w:t>. ASU 2024-03 addresses investor requests for more transparency about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information through the disaggregation of relevant expense captions in the notes to the financial statements. The provisions of ASU 2024-03 are effective for fiscal years beginning after December 15, 2026 and interim periods within fiscal years beginning after December 15, 2027. We expect the adoption to increase disclosures in our notes to the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September 2025, the FASB issued ASU No. 2025-06 (“ASU 2025-06”), </w:t>
      </w:r>
      <w:r>
        <w:rPr>
          <w:rFonts w:ascii="Arial" w:cs="Arial" w:eastAsia="Arial" w:hAnsi="Arial"/>
          <w:sz w:val="16"/>
          <w:szCs w:val="16"/>
          <w:i w:val="1"/>
          <w:iCs w:val="1"/>
          <w:color w:val="auto"/>
        </w:rPr>
        <w:t>Intangibles - Goodwill and Other - Internal-Use Software (subtopic 350-40):</w:t>
      </w:r>
    </w:p>
    <w:p>
      <w:pPr>
        <w:spacing w:after="0" w:line="3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i w:val="1"/>
          <w:iCs w:val="1"/>
          <w:color w:val="auto"/>
        </w:rPr>
        <w:t>Targeted Improvements to the Accounting for Internal-Use Software</w:t>
      </w:r>
      <w:r>
        <w:rPr>
          <w:rFonts w:ascii="Arial" w:cs="Arial" w:eastAsia="Arial" w:hAnsi="Arial"/>
          <w:sz w:val="16"/>
          <w:szCs w:val="16"/>
          <w:color w:val="auto"/>
        </w:rPr>
        <w:t>. ASU 2025-06 updates the accounting for internal-use software by eliminating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concept of development stages. Under the updated guidance, software costs are capitalized once management has authorized and committed to funding the project, and it is probable the project will be completed and the software will be used to perform the function intended. The provisions of ASU 2025-06 are effective for annual reporting periods beginning after December 15, 2027, and interim periods within those annual periods. We are currently evaluating the effect that ASU 2025-06 will have on our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5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revenues primarily consist of sales of products and services to customers. Products include equipment, imaging agents, software-related offerings, and upgrades. Services include contractual and stand-by preventative maintenance and corrective services, as well as related parts and labor, extended warranties, training, and other service-type offerings. The Company recognizes revenue from contracts with customers when the customer obtains control of the underlying products or services.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AND OTHER DEFERRED ASSETS.</w:t>
      </w:r>
    </w:p>
    <w:p>
      <w:pPr>
        <w:spacing w:after="0" w:line="24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Contract assets reflect revenue recognized on contracts with customers in excess of billings based on contractual terms. Contract assets are classified as current or non-current based on the amount of time expected to lapse until the Company’s right to consideration becomes unconditional. Other deferred assets consist of costs to obtain contracts, primarily commissions, other cost deferrals for shipped products, and deferred service, labor, and direct overhead costs.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840" w:type="dxa"/>
            <w:vAlign w:val="bottom"/>
          </w:tcPr>
          <w:p>
            <w:pPr>
              <w:spacing w:after="0"/>
              <w:rPr>
                <w:sz w:val="19"/>
                <w:szCs w:val="19"/>
                <w:color w:val="auto"/>
              </w:rPr>
            </w:pPr>
          </w:p>
        </w:tc>
      </w:tr>
      <w:tr>
        <w:trPr>
          <w:trHeight w:val="21"/>
        </w:trPr>
        <w:tc>
          <w:tcPr>
            <w:tcW w:w="706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86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840" w:type="dxa"/>
            <w:vAlign w:val="bottom"/>
            <w:tcBorders>
              <w:bottom w:val="single" w:sz="8" w:color="454545"/>
            </w:tcBorders>
          </w:tcPr>
          <w:p>
            <w:pPr>
              <w:spacing w:after="0" w:line="20" w:lineRule="exact"/>
              <w:rPr>
                <w:sz w:val="1"/>
                <w:szCs w:val="1"/>
                <w:color w:val="auto"/>
              </w:rPr>
            </w:pPr>
          </w:p>
        </w:tc>
      </w:tr>
      <w:tr>
        <w:trPr>
          <w:trHeight w:val="229"/>
        </w:trPr>
        <w:tc>
          <w:tcPr>
            <w:tcW w:w="7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ind w:right="179"/>
              <w:spacing w:after="0"/>
              <w:rPr>
                <w:sz w:val="20"/>
                <w:szCs w:val="20"/>
                <w:color w:val="auto"/>
              </w:rPr>
            </w:pPr>
            <w:r>
              <w:rPr>
                <w:rFonts w:ascii="Arial" w:cs="Arial" w:eastAsia="Arial" w:hAnsi="Arial"/>
                <w:sz w:val="16"/>
                <w:szCs w:val="16"/>
                <w:b w:val="1"/>
                <w:bCs w:val="1"/>
                <w:color w:val="454545"/>
              </w:rPr>
              <w:t>September 30, 2026</w:t>
            </w:r>
          </w:p>
        </w:tc>
        <w:tc>
          <w:tcPr>
            <w:tcW w:w="280" w:type="dxa"/>
            <w:vAlign w:val="bottom"/>
          </w:tcPr>
          <w:p>
            <w:pPr>
              <w:spacing w:after="0"/>
              <w:rPr>
                <w:sz w:val="19"/>
                <w:szCs w:val="19"/>
                <w:color w:val="auto"/>
              </w:rPr>
            </w:pPr>
          </w:p>
        </w:tc>
        <w:tc>
          <w:tcPr>
            <w:tcW w:w="1840" w:type="dxa"/>
            <w:vAlign w:val="bottom"/>
          </w:tcPr>
          <w:p>
            <w:pPr>
              <w:jc w:val="right"/>
              <w:ind w:right="239"/>
              <w:spacing w:after="0"/>
              <w:rPr>
                <w:sz w:val="20"/>
                <w:szCs w:val="20"/>
                <w:color w:val="auto"/>
              </w:rPr>
            </w:pPr>
            <w:r>
              <w:rPr>
                <w:rFonts w:ascii="Arial" w:cs="Arial" w:eastAsia="Arial" w:hAnsi="Arial"/>
                <w:sz w:val="16"/>
                <w:szCs w:val="16"/>
                <w:b w:val="1"/>
                <w:bCs w:val="1"/>
                <w:color w:val="454545"/>
              </w:rPr>
              <w:t>December 31, 2025</w:t>
            </w:r>
          </w:p>
        </w:tc>
      </w:tr>
      <w:tr>
        <w:trPr>
          <w:trHeight w:val="21"/>
        </w:trPr>
        <w:tc>
          <w:tcPr>
            <w:tcW w:w="70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86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840" w:type="dxa"/>
            <w:vAlign w:val="bottom"/>
            <w:tcBorders>
              <w:bottom w:val="single" w:sz="8" w:color="6022A6"/>
            </w:tcBorders>
          </w:tcPr>
          <w:p>
            <w:pPr>
              <w:spacing w:after="0" w:line="20" w:lineRule="exact"/>
              <w:rPr>
                <w:sz w:val="1"/>
                <w:szCs w:val="1"/>
                <w:color w:val="auto"/>
              </w:rPr>
            </w:pPr>
          </w:p>
        </w:tc>
      </w:tr>
      <w:tr>
        <w:trPr>
          <w:trHeight w:val="230"/>
        </w:trPr>
        <w:tc>
          <w:tcPr>
            <w:tcW w:w="7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assets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875</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645</w:t>
            </w:r>
          </w:p>
        </w:tc>
      </w:tr>
      <w:tr>
        <w:trPr>
          <w:trHeight w:val="227"/>
        </w:trPr>
        <w:tc>
          <w:tcPr>
            <w:tcW w:w="7060" w:type="dxa"/>
            <w:vAlign w:val="bottom"/>
          </w:tcPr>
          <w:p>
            <w:pPr>
              <w:ind w:left="20"/>
              <w:spacing w:after="0"/>
              <w:rPr>
                <w:sz w:val="20"/>
                <w:szCs w:val="20"/>
                <w:color w:val="auto"/>
              </w:rPr>
            </w:pPr>
            <w:r>
              <w:rPr>
                <w:rFonts w:ascii="Arial" w:cs="Arial" w:eastAsia="Arial" w:hAnsi="Arial"/>
                <w:sz w:val="16"/>
                <w:szCs w:val="16"/>
                <w:color w:val="auto"/>
              </w:rPr>
              <w:t>Other deferred assets</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489</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29"/>
        </w:trPr>
        <w:tc>
          <w:tcPr>
            <w:tcW w:w="7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7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Contract and other deferred assets</w:t>
            </w:r>
          </w:p>
        </w:tc>
        <w:tc>
          <w:tcPr>
            <w:tcW w:w="200" w:type="dxa"/>
            <w:vAlign w:val="bottom"/>
            <w:tcBorders>
              <w:bottom w:val="single" w:sz="8" w:color="E4E4E4"/>
            </w:tcBorders>
            <w:shd w:val="clear" w:color="auto" w:fill="E4E4E4"/>
          </w:tcPr>
          <w:p>
            <w:pPr>
              <w:spacing w:after="0"/>
              <w:rPr>
                <w:sz w:val="20"/>
                <w:szCs w:val="20"/>
                <w:color w:val="auto"/>
              </w:rPr>
            </w:pP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1,365</w:t>
            </w:r>
          </w:p>
        </w:tc>
        <w:tc>
          <w:tcPr>
            <w:tcW w:w="280" w:type="dxa"/>
            <w:vAlign w:val="bottom"/>
            <w:tcBorders>
              <w:bottom w:val="single" w:sz="8" w:color="E4E4E4"/>
            </w:tcBorders>
            <w:shd w:val="clear" w:color="auto" w:fill="E4E4E4"/>
          </w:tcPr>
          <w:p>
            <w:pPr>
              <w:spacing w:after="0"/>
              <w:rPr>
                <w:sz w:val="20"/>
                <w:szCs w:val="20"/>
                <w:color w:val="auto"/>
              </w:rPr>
            </w:pP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1,073</w:t>
            </w:r>
          </w:p>
        </w:tc>
      </w:tr>
      <w:tr>
        <w:trPr>
          <w:trHeight w:val="257"/>
        </w:trPr>
        <w:tc>
          <w:tcPr>
            <w:tcW w:w="7060" w:type="dxa"/>
            <w:vAlign w:val="bottom"/>
          </w:tcPr>
          <w:p>
            <w:pPr>
              <w:ind w:left="20"/>
              <w:spacing w:after="0"/>
              <w:rPr>
                <w:sz w:val="20"/>
                <w:szCs w:val="20"/>
                <w:color w:val="auto"/>
              </w:rPr>
            </w:pPr>
            <w:r>
              <w:rPr>
                <w:rFonts w:ascii="Arial" w:cs="Arial" w:eastAsia="Arial" w:hAnsi="Arial"/>
                <w:sz w:val="16"/>
                <w:szCs w:val="16"/>
                <w:color w:val="auto"/>
              </w:rPr>
              <w:t>Non-current contract assets</w:t>
            </w:r>
            <w:r>
              <w:rPr>
                <w:rFonts w:ascii="Arial" w:cs="Arial" w:eastAsia="Arial" w:hAnsi="Arial"/>
                <w:sz w:val="21"/>
                <w:szCs w:val="21"/>
                <w:color w:val="auto"/>
                <w:vertAlign w:val="superscript"/>
              </w:rPr>
              <w:t>(1)</w:t>
            </w:r>
          </w:p>
        </w:tc>
        <w:tc>
          <w:tcPr>
            <w:tcW w:w="2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87</w:t>
            </w:r>
          </w:p>
        </w:tc>
        <w:tc>
          <w:tcPr>
            <w:tcW w:w="2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57"/>
        </w:trPr>
        <w:tc>
          <w:tcPr>
            <w:tcW w:w="70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Non-current other deferred assets</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E4E4E4"/>
          </w:tcPr>
          <w:p>
            <w:pPr>
              <w:spacing w:after="0"/>
              <w:rPr>
                <w:sz w:val="22"/>
                <w:szCs w:val="22"/>
                <w:color w:val="auto"/>
              </w:rPr>
            </w:pPr>
          </w:p>
        </w:tc>
        <w:tc>
          <w:tcPr>
            <w:tcW w:w="1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126</w:t>
            </w:r>
          </w:p>
        </w:tc>
        <w:tc>
          <w:tcPr>
            <w:tcW w:w="280" w:type="dxa"/>
            <w:vAlign w:val="bottom"/>
            <w:tcBorders>
              <w:bottom w:val="single" w:sz="8" w:color="auto"/>
            </w:tcBorders>
            <w:shd w:val="clear" w:color="auto" w:fill="E4E4E4"/>
          </w:tcPr>
          <w:p>
            <w:pPr>
              <w:spacing w:after="0"/>
              <w:rPr>
                <w:sz w:val="22"/>
                <w:szCs w:val="22"/>
                <w:color w:val="auto"/>
              </w:rPr>
            </w:pPr>
          </w:p>
        </w:tc>
        <w:tc>
          <w:tcPr>
            <w:tcW w:w="1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120</w:t>
            </w: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Total contract and other deferred assets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1,577</w:t>
            </w:r>
          </w:p>
        </w:tc>
        <w:tc>
          <w:tcPr>
            <w:tcW w:w="2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1,285</w:t>
            </w:r>
          </w:p>
        </w:tc>
      </w:tr>
      <w:tr>
        <w:trPr>
          <w:trHeight w:val="21"/>
        </w:trPr>
        <w:tc>
          <w:tcPr>
            <w:tcW w:w="7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680" w:hanging="252"/>
        <w:spacing w:after="0" w:line="304"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Non-current contract and other deferred assets are recognized within All other non-current assets in the Condensed Consolidated Statements of Financial Position.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LIABILITIES.</w:t>
      </w:r>
    </w:p>
    <w:p>
      <w:pPr>
        <w:spacing w:after="0" w:line="24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Contract liabilities include customer advances and deposits received when orders are placed and billed in advance of completion of performance obligations. Contract liabilities are classified as current or non-current based on the periods over which these remaining performance obligations are expected to be satisfied with our customers.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840" w:type="dxa"/>
            <w:vAlign w:val="bottom"/>
          </w:tcPr>
          <w:p>
            <w:pPr>
              <w:spacing w:after="0"/>
              <w:rPr>
                <w:sz w:val="19"/>
                <w:szCs w:val="19"/>
                <w:color w:val="auto"/>
              </w:rPr>
            </w:pPr>
          </w:p>
        </w:tc>
      </w:tr>
      <w:tr>
        <w:trPr>
          <w:trHeight w:val="21"/>
        </w:trPr>
        <w:tc>
          <w:tcPr>
            <w:tcW w:w="706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86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840" w:type="dxa"/>
            <w:vAlign w:val="bottom"/>
            <w:tcBorders>
              <w:bottom w:val="single" w:sz="8" w:color="454545"/>
            </w:tcBorders>
          </w:tcPr>
          <w:p>
            <w:pPr>
              <w:spacing w:after="0" w:line="20" w:lineRule="exact"/>
              <w:rPr>
                <w:sz w:val="1"/>
                <w:szCs w:val="1"/>
                <w:color w:val="auto"/>
              </w:rPr>
            </w:pPr>
          </w:p>
        </w:tc>
      </w:tr>
      <w:tr>
        <w:trPr>
          <w:trHeight w:val="229"/>
        </w:trPr>
        <w:tc>
          <w:tcPr>
            <w:tcW w:w="7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ind w:right="179"/>
              <w:spacing w:after="0"/>
              <w:rPr>
                <w:sz w:val="20"/>
                <w:szCs w:val="20"/>
                <w:color w:val="auto"/>
              </w:rPr>
            </w:pPr>
            <w:r>
              <w:rPr>
                <w:rFonts w:ascii="Arial" w:cs="Arial" w:eastAsia="Arial" w:hAnsi="Arial"/>
                <w:sz w:val="16"/>
                <w:szCs w:val="16"/>
                <w:b w:val="1"/>
                <w:bCs w:val="1"/>
                <w:color w:val="454545"/>
              </w:rPr>
              <w:t>September 30, 2026</w:t>
            </w:r>
          </w:p>
        </w:tc>
        <w:tc>
          <w:tcPr>
            <w:tcW w:w="280" w:type="dxa"/>
            <w:vAlign w:val="bottom"/>
          </w:tcPr>
          <w:p>
            <w:pPr>
              <w:spacing w:after="0"/>
              <w:rPr>
                <w:sz w:val="19"/>
                <w:szCs w:val="19"/>
                <w:color w:val="auto"/>
              </w:rPr>
            </w:pPr>
          </w:p>
        </w:tc>
        <w:tc>
          <w:tcPr>
            <w:tcW w:w="1840" w:type="dxa"/>
            <w:vAlign w:val="bottom"/>
          </w:tcPr>
          <w:p>
            <w:pPr>
              <w:jc w:val="right"/>
              <w:ind w:right="239"/>
              <w:spacing w:after="0"/>
              <w:rPr>
                <w:sz w:val="20"/>
                <w:szCs w:val="20"/>
                <w:color w:val="auto"/>
              </w:rPr>
            </w:pPr>
            <w:r>
              <w:rPr>
                <w:rFonts w:ascii="Arial" w:cs="Arial" w:eastAsia="Arial" w:hAnsi="Arial"/>
                <w:sz w:val="16"/>
                <w:szCs w:val="16"/>
                <w:b w:val="1"/>
                <w:bCs w:val="1"/>
                <w:color w:val="454545"/>
              </w:rPr>
              <w:t>December 31, 2025</w:t>
            </w:r>
          </w:p>
        </w:tc>
      </w:tr>
      <w:tr>
        <w:trPr>
          <w:trHeight w:val="21"/>
        </w:trPr>
        <w:tc>
          <w:tcPr>
            <w:tcW w:w="70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86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840" w:type="dxa"/>
            <w:vAlign w:val="bottom"/>
            <w:tcBorders>
              <w:bottom w:val="single" w:sz="8" w:color="6022A6"/>
            </w:tcBorders>
          </w:tcPr>
          <w:p>
            <w:pPr>
              <w:spacing w:after="0" w:line="20" w:lineRule="exact"/>
              <w:rPr>
                <w:sz w:val="1"/>
                <w:szCs w:val="1"/>
                <w:color w:val="auto"/>
              </w:rPr>
            </w:pPr>
          </w:p>
        </w:tc>
      </w:tr>
      <w:tr>
        <w:trPr>
          <w:trHeight w:val="230"/>
        </w:trPr>
        <w:tc>
          <w:tcPr>
            <w:tcW w:w="7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2,251</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2,095</w:t>
            </w:r>
          </w:p>
        </w:tc>
      </w:tr>
      <w:tr>
        <w:trPr>
          <w:trHeight w:val="256"/>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contract liabilities</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w:t>
            </w:r>
          </w:p>
        </w:tc>
        <w:tc>
          <w:tcPr>
            <w:tcW w:w="2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w:t>
            </w:r>
          </w:p>
        </w:tc>
      </w:tr>
      <w:tr>
        <w:trPr>
          <w:trHeight w:val="230"/>
        </w:trPr>
        <w:tc>
          <w:tcPr>
            <w:tcW w:w="7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contract liabilities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3,147</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2,899</w:t>
            </w:r>
          </w:p>
        </w:tc>
      </w:tr>
      <w:tr>
        <w:trPr>
          <w:trHeight w:val="20"/>
        </w:trPr>
        <w:tc>
          <w:tcPr>
            <w:tcW w:w="70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Non-current contract liabilities are recognized within All other non-current liabilities in the Condensed Consolidated Statements of Financial Position.</w:t>
      </w:r>
    </w:p>
    <w:p>
      <w:pPr>
        <w:spacing w:after="0" w:line="26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Revenue recognized related to the contract liabilities balance as of the beginning of the year was approximately $1,469 million and $1,385 million for the nine months ended September 30, 2026 and 2025,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REMAINING PERFORMANCE OBLIGATIONS.</w:t>
      </w:r>
    </w:p>
    <w:p>
      <w:pPr>
        <w:spacing w:after="0" w:line="26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Remaining performance obligations (“RPO”) represents the estimated revenue expected from customer contracts that are partially or fully unperformed inclusive of amounts deferred in contract liabilities, excluding contracts, or portions thereof, that provide the customer with the right to cancel or terminate without incurring a substantive penalty. RPO also excludes estimated revenue from arrangements where we lease equipment manufactured by the Company to customers.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860" w:type="dxa"/>
            <w:vAlign w:val="bottom"/>
          </w:tcPr>
          <w:p>
            <w:pPr>
              <w:spacing w:after="0"/>
              <w:rPr>
                <w:sz w:val="19"/>
                <w:szCs w:val="19"/>
                <w:color w:val="auto"/>
              </w:rPr>
            </w:pPr>
          </w:p>
        </w:tc>
      </w:tr>
      <w:tr>
        <w:trPr>
          <w:trHeight w:val="21"/>
        </w:trPr>
        <w:tc>
          <w:tcPr>
            <w:tcW w:w="700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8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860" w:type="dxa"/>
            <w:vAlign w:val="bottom"/>
            <w:tcBorders>
              <w:bottom w:val="single" w:sz="8" w:color="454545"/>
            </w:tcBorders>
          </w:tcPr>
          <w:p>
            <w:pPr>
              <w:spacing w:after="0" w:line="20" w:lineRule="exact"/>
              <w:rPr>
                <w:sz w:val="1"/>
                <w:szCs w:val="1"/>
                <w:color w:val="auto"/>
              </w:rPr>
            </w:pPr>
          </w:p>
        </w:tc>
      </w:tr>
      <w:tr>
        <w:trPr>
          <w:trHeight w:val="229"/>
        </w:trPr>
        <w:tc>
          <w:tcPr>
            <w:tcW w:w="7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ind w:right="199"/>
              <w:spacing w:after="0"/>
              <w:rPr>
                <w:sz w:val="20"/>
                <w:szCs w:val="20"/>
                <w:color w:val="auto"/>
              </w:rPr>
            </w:pPr>
            <w:r>
              <w:rPr>
                <w:rFonts w:ascii="Arial" w:cs="Arial" w:eastAsia="Arial" w:hAnsi="Arial"/>
                <w:sz w:val="16"/>
                <w:szCs w:val="16"/>
                <w:b w:val="1"/>
                <w:bCs w:val="1"/>
                <w:color w:val="454545"/>
              </w:rPr>
              <w:t>September 30, 2026</w:t>
            </w:r>
          </w:p>
        </w:tc>
        <w:tc>
          <w:tcPr>
            <w:tcW w:w="280" w:type="dxa"/>
            <w:vAlign w:val="bottom"/>
          </w:tcPr>
          <w:p>
            <w:pPr>
              <w:spacing w:after="0"/>
              <w:rPr>
                <w:sz w:val="19"/>
                <w:szCs w:val="19"/>
                <w:color w:val="auto"/>
              </w:rPr>
            </w:pPr>
          </w:p>
        </w:tc>
        <w:tc>
          <w:tcPr>
            <w:tcW w:w="1860" w:type="dxa"/>
            <w:vAlign w:val="bottom"/>
          </w:tcPr>
          <w:p>
            <w:pPr>
              <w:jc w:val="right"/>
              <w:ind w:right="259"/>
              <w:spacing w:after="0"/>
              <w:rPr>
                <w:sz w:val="20"/>
                <w:szCs w:val="20"/>
                <w:color w:val="auto"/>
              </w:rPr>
            </w:pPr>
            <w:r>
              <w:rPr>
                <w:rFonts w:ascii="Arial" w:cs="Arial" w:eastAsia="Arial" w:hAnsi="Arial"/>
                <w:sz w:val="16"/>
                <w:szCs w:val="16"/>
                <w:b w:val="1"/>
                <w:bCs w:val="1"/>
                <w:color w:val="454545"/>
              </w:rPr>
              <w:t>December 31, 2025</w:t>
            </w:r>
          </w:p>
        </w:tc>
      </w:tr>
      <w:tr>
        <w:trPr>
          <w:trHeight w:val="21"/>
        </w:trPr>
        <w:tc>
          <w:tcPr>
            <w:tcW w:w="70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8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860" w:type="dxa"/>
            <w:vAlign w:val="bottom"/>
            <w:tcBorders>
              <w:bottom w:val="single" w:sz="8" w:color="6022A6"/>
            </w:tcBorders>
          </w:tcPr>
          <w:p>
            <w:pPr>
              <w:spacing w:after="0" w:line="20" w:lineRule="exact"/>
              <w:rPr>
                <w:sz w:val="1"/>
                <w:szCs w:val="1"/>
                <w:color w:val="auto"/>
              </w:rPr>
            </w:pPr>
          </w:p>
        </w:tc>
      </w:tr>
      <w:tr>
        <w:trPr>
          <w:trHeight w:val="270"/>
        </w:trPr>
        <w:tc>
          <w:tcPr>
            <w:tcW w:w="7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Products</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5,352</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5,001</w:t>
            </w:r>
          </w:p>
        </w:tc>
      </w:tr>
      <w:tr>
        <w:trPr>
          <w:trHeight w:val="268"/>
        </w:trPr>
        <w:tc>
          <w:tcPr>
            <w:tcW w:w="7000" w:type="dxa"/>
            <w:vAlign w:val="bottom"/>
          </w:tcPr>
          <w:p>
            <w:pPr>
              <w:ind w:left="20"/>
              <w:spacing w:after="0"/>
              <w:rPr>
                <w:sz w:val="20"/>
                <w:szCs w:val="20"/>
                <w:color w:val="auto"/>
              </w:rPr>
            </w:pPr>
            <w:r>
              <w:rPr>
                <w:rFonts w:ascii="Arial" w:cs="Arial" w:eastAsia="Arial" w:hAnsi="Arial"/>
                <w:sz w:val="16"/>
                <w:szCs w:val="16"/>
                <w:color w:val="auto"/>
              </w:rPr>
              <w:t>Services</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10,761</w:t>
            </w:r>
          </w:p>
        </w:tc>
        <w:tc>
          <w:tcPr>
            <w:tcW w:w="28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10,728</w:t>
            </w:r>
          </w:p>
        </w:tc>
      </w:tr>
      <w:tr>
        <w:trPr>
          <w:trHeight w:val="29"/>
        </w:trPr>
        <w:tc>
          <w:tcPr>
            <w:tcW w:w="7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71"/>
        </w:trPr>
        <w:tc>
          <w:tcPr>
            <w:tcW w:w="7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RPO</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16,113</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15,729</w:t>
            </w:r>
          </w:p>
        </w:tc>
      </w:tr>
      <w:tr>
        <w:trPr>
          <w:trHeight w:val="20"/>
        </w:trPr>
        <w:tc>
          <w:tcPr>
            <w:tcW w:w="7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We expect to recognize substantially all of the revenue for our product-related RPO within two years and services-related RPO within five years.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INFORMATION</w:t>
      </w:r>
    </w:p>
    <w:p>
      <w:pPr>
        <w:spacing w:after="0" w:line="25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In the second quarter of 2026, we made a strategic change to our executive leadership and to our segments, combining our Imaging and AVS businesses into a new operating and reportable segment, Advanced Imaging Solutions. The AIS segment has a product portfolio that serves customers across three core areas: Radiology, Specialized Ultrasound, and Procedural Guidance. Radiology was formerly reported as our Imaging business, while Specialized Ultrasound and Procedural Guidance were previously reported in our AVS business. Historical segment financial information presented within this report has been recast to conform to the new reportable segment structure.</w:t>
      </w:r>
    </w:p>
    <w:p>
      <w:pPr>
        <w:spacing w:after="0" w:line="199"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Following this organizational change, the Company has three reportable segments: AIS, PDx, and PCS. These segments have been identified based on the nature of the products sold and how the Company manages its operations. We have not aggregated any of our operating segments to form reportable segments.</w:t>
      </w:r>
    </w:p>
    <w:p>
      <w:pPr>
        <w:spacing w:after="0" w:line="19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Company’s organizational structure is based upon the availability of separate financial information that is evaluated regularly by the Company’s CODM for the purpose of assessing performance and allocating resources. The Company’s CODM is our Chief Executive Officer. The CODM assesses segment performance using Total revenues and an earnings metric defined as “Segment EBIT.” Segment EBIT is calculated as Income before income taxes in our Condensed Consolidated Statements of Income excluding the impact of the following: Interest and other financial charges – net, Non-operating benefit (income) costs, restructuring costs, acquisition and disposition-related benefits (charges), gain (loss) on business and asset dispositions, Spin-Off and separation costs and other adjustments, amortization of acquisition-related intangible assets, investment revaluation gain (loss), and other non-recurring items such as refunds for tariffs incurred in prior years. Segment EBIT is also used in the annual budget and periodic forecasting processes and informs the CODM in decision making regarding the allocation of resources to the segments.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3360" w:type="dxa"/>
            <w:vAlign w:val="bottom"/>
            <w:gridSpan w:val="5"/>
          </w:tcPr>
          <w:p>
            <w:pPr>
              <w:ind w:left="120"/>
              <w:spacing w:after="0"/>
              <w:rPr>
                <w:sz w:val="20"/>
                <w:szCs w:val="20"/>
                <w:color w:val="auto"/>
              </w:rPr>
            </w:pPr>
            <w:r>
              <w:rPr>
                <w:rFonts w:ascii="Arial" w:cs="Arial" w:eastAsia="Arial" w:hAnsi="Arial"/>
                <w:sz w:val="16"/>
                <w:szCs w:val="16"/>
                <w:b w:val="1"/>
                <w:bCs w:val="1"/>
                <w:color w:val="454545"/>
              </w:rPr>
              <w:t>For the three months ended September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Total Revenues by Segment</w:t>
            </w:r>
          </w:p>
        </w:tc>
        <w:tc>
          <w:tcPr>
            <w:tcW w:w="1080" w:type="dxa"/>
            <w:vAlign w:val="bottom"/>
          </w:tcPr>
          <w:p>
            <w:pPr>
              <w:spacing w:after="0"/>
              <w:rPr>
                <w:sz w:val="19"/>
                <w:szCs w:val="19"/>
                <w:color w:val="auto"/>
              </w:rPr>
            </w:pPr>
          </w:p>
        </w:tc>
        <w:tc>
          <w:tcPr>
            <w:tcW w:w="94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454545"/>
              </w:rPr>
              <w:t>30</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gridSpan w:val="4"/>
          </w:tcPr>
          <w:p>
            <w:pPr>
              <w:ind w:left="40"/>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620" w:type="dxa"/>
            <w:vAlign w:val="bottom"/>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29"/>
        </w:trPr>
        <w:tc>
          <w:tcPr>
            <w:tcW w:w="4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454545"/>
              </w:rPr>
              <w:t>2026</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2026</w:t>
            </w:r>
          </w:p>
        </w:tc>
        <w:tc>
          <w:tcPr>
            <w:tcW w:w="40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r>
      <w:tr>
        <w:trPr>
          <w:trHeight w:val="21"/>
        </w:trPr>
        <w:tc>
          <w:tcPr>
            <w:tcW w:w="462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r>
      <w:tr>
        <w:trPr>
          <w:trHeight w:val="230"/>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AIS:</w:t>
            </w:r>
          </w:p>
        </w:tc>
        <w:tc>
          <w:tcPr>
            <w:tcW w:w="10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r>
      <w:tr>
        <w:trPr>
          <w:trHeight w:val="228"/>
        </w:trPr>
        <w:tc>
          <w:tcPr>
            <w:tcW w:w="4620" w:type="dxa"/>
            <w:vAlign w:val="bottom"/>
          </w:tcPr>
          <w:p>
            <w:pPr>
              <w:ind w:left="180"/>
              <w:spacing w:after="0"/>
              <w:rPr>
                <w:sz w:val="20"/>
                <w:szCs w:val="20"/>
                <w:color w:val="auto"/>
              </w:rPr>
            </w:pPr>
            <w:r>
              <w:rPr>
                <w:rFonts w:ascii="Arial" w:cs="Arial" w:eastAsia="Arial" w:hAnsi="Arial"/>
                <w:sz w:val="16"/>
                <w:szCs w:val="16"/>
                <w:color w:val="auto"/>
              </w:rPr>
              <w:t>Radiology</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2,463</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2,349</w:t>
            </w: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7,150</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6,693</w:t>
            </w:r>
          </w:p>
        </w:tc>
      </w:tr>
      <w:tr>
        <w:trPr>
          <w:trHeight w:val="29"/>
        </w:trPr>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4620" w:type="dxa"/>
            <w:vAlign w:val="bottom"/>
            <w:tcBorders>
              <w:bottom w:val="single" w:sz="8" w:color="E4E4E4"/>
            </w:tcBorders>
            <w:shd w:val="clear" w:color="auto" w:fill="E4E4E4"/>
          </w:tcPr>
          <w:p>
            <w:pPr>
              <w:ind w:left="180"/>
              <w:spacing w:after="0"/>
              <w:rPr>
                <w:sz w:val="20"/>
                <w:szCs w:val="20"/>
                <w:color w:val="auto"/>
              </w:rPr>
            </w:pPr>
            <w:r>
              <w:rPr>
                <w:rFonts w:ascii="Arial" w:cs="Arial" w:eastAsia="Arial" w:hAnsi="Arial"/>
                <w:sz w:val="16"/>
                <w:szCs w:val="16"/>
                <w:color w:val="auto"/>
              </w:rPr>
              <w:t>Procedural Guidance</w:t>
            </w:r>
          </w:p>
        </w:tc>
        <w:tc>
          <w:tcPr>
            <w:tcW w:w="10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772</w:t>
            </w: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662</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2,206</w:t>
            </w: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1,963</w:t>
            </w:r>
          </w:p>
        </w:tc>
      </w:tr>
      <w:tr>
        <w:trPr>
          <w:trHeight w:val="228"/>
        </w:trPr>
        <w:tc>
          <w:tcPr>
            <w:tcW w:w="4620" w:type="dxa"/>
            <w:vAlign w:val="bottom"/>
          </w:tcPr>
          <w:p>
            <w:pPr>
              <w:ind w:left="180"/>
              <w:spacing w:after="0"/>
              <w:rPr>
                <w:sz w:val="20"/>
                <w:szCs w:val="20"/>
                <w:color w:val="auto"/>
              </w:rPr>
            </w:pPr>
            <w:r>
              <w:rPr>
                <w:rFonts w:ascii="Arial" w:cs="Arial" w:eastAsia="Arial" w:hAnsi="Arial"/>
                <w:sz w:val="16"/>
                <w:szCs w:val="16"/>
                <w:color w:val="auto"/>
              </w:rPr>
              <w:t>Specialized Ultrasound</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639</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1,929</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1,866</w:t>
            </w:r>
          </w:p>
        </w:tc>
      </w:tr>
      <w:tr>
        <w:trPr>
          <w:trHeight w:val="29"/>
        </w:trPr>
        <w:tc>
          <w:tcPr>
            <w:tcW w:w="4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AIS</w:t>
            </w:r>
          </w:p>
        </w:tc>
        <w:tc>
          <w:tcPr>
            <w:tcW w:w="10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3,873</w:t>
            </w: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3,649</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11,284</w:t>
            </w: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10,522</w:t>
            </w:r>
          </w:p>
        </w:tc>
      </w:tr>
      <w:tr>
        <w:trPr>
          <w:trHeight w:val="235"/>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Total PDx</w:t>
            </w: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846</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749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2,458</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2,110</w:t>
            </w:r>
          </w:p>
        </w:tc>
      </w:tr>
      <w:tr>
        <w:trPr>
          <w:trHeight w:val="21"/>
        </w:trPr>
        <w:tc>
          <w:tcPr>
            <w:tcW w:w="4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10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r>
      <w:tr>
        <w:trPr>
          <w:trHeight w:val="228"/>
        </w:trPr>
        <w:tc>
          <w:tcPr>
            <w:tcW w:w="4620" w:type="dxa"/>
            <w:vAlign w:val="bottom"/>
          </w:tcPr>
          <w:p>
            <w:pPr>
              <w:ind w:left="180"/>
              <w:spacing w:after="0"/>
              <w:rPr>
                <w:sz w:val="20"/>
                <w:szCs w:val="20"/>
                <w:color w:val="auto"/>
              </w:rPr>
            </w:pPr>
            <w:r>
              <w:rPr>
                <w:rFonts w:ascii="Arial" w:cs="Arial" w:eastAsia="Arial" w:hAnsi="Arial"/>
                <w:sz w:val="16"/>
                <w:szCs w:val="16"/>
                <w:color w:val="auto"/>
              </w:rPr>
              <w:t>Monitoring Solutions</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584</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1,605</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1,678</w:t>
            </w:r>
          </w:p>
        </w:tc>
      </w:tr>
      <w:tr>
        <w:trPr>
          <w:trHeight w:val="29"/>
        </w:trPr>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2"/>
        </w:trPr>
        <w:tc>
          <w:tcPr>
            <w:tcW w:w="4620" w:type="dxa"/>
            <w:vAlign w:val="bottom"/>
            <w:tcBorders>
              <w:bottom w:val="single" w:sz="8" w:color="E4E4E4"/>
            </w:tcBorders>
            <w:shd w:val="clear" w:color="auto" w:fill="E4E4E4"/>
          </w:tcPr>
          <w:p>
            <w:pPr>
              <w:ind w:left="180"/>
              <w:spacing w:after="0"/>
              <w:rPr>
                <w:sz w:val="20"/>
                <w:szCs w:val="20"/>
                <w:color w:val="auto"/>
              </w:rPr>
            </w:pPr>
            <w:r>
              <w:rPr>
                <w:rFonts w:ascii="Arial" w:cs="Arial" w:eastAsia="Arial" w:hAnsi="Arial"/>
                <w:sz w:val="16"/>
                <w:szCs w:val="16"/>
                <w:color w:val="auto"/>
              </w:rPr>
              <w:t>Life Support Solutions</w:t>
            </w:r>
          </w:p>
        </w:tc>
        <w:tc>
          <w:tcPr>
            <w:tcW w:w="1080" w:type="dxa"/>
            <w:vAlign w:val="bottom"/>
            <w:tcBorders>
              <w:bottom w:val="single" w:sz="8" w:color="E4E4E4"/>
            </w:tcBorders>
            <w:shd w:val="clear" w:color="auto" w:fill="E4E4E4"/>
          </w:tcPr>
          <w:p>
            <w:pPr>
              <w:spacing w:after="0"/>
              <w:rPr>
                <w:sz w:val="22"/>
                <w:szCs w:val="22"/>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209</w:t>
            </w:r>
          </w:p>
        </w:tc>
        <w:tc>
          <w:tcPr>
            <w:tcW w:w="400" w:type="dxa"/>
            <w:vAlign w:val="bottom"/>
            <w:tcBorders>
              <w:bottom w:val="single" w:sz="8" w:color="E4E4E4"/>
            </w:tcBorders>
            <w:shd w:val="clear" w:color="auto" w:fill="E4E4E4"/>
          </w:tcPr>
          <w:p>
            <w:pPr>
              <w:spacing w:after="0"/>
              <w:rPr>
                <w:sz w:val="22"/>
                <w:szCs w:val="22"/>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187</w:t>
            </w:r>
          </w:p>
        </w:tc>
        <w:tc>
          <w:tcPr>
            <w:tcW w:w="80" w:type="dxa"/>
            <w:vAlign w:val="bottom"/>
            <w:tcBorders>
              <w:bottom w:val="single" w:sz="8" w:color="E4E4E4"/>
            </w:tcBorders>
            <w:shd w:val="clear" w:color="auto" w:fill="E4E4E4"/>
          </w:tcPr>
          <w:p>
            <w:pPr>
              <w:spacing w:after="0"/>
              <w:rPr>
                <w:sz w:val="22"/>
                <w:szCs w:val="22"/>
                <w:color w:val="auto"/>
              </w:rPr>
            </w:pPr>
          </w:p>
        </w:tc>
        <w:tc>
          <w:tcPr>
            <w:tcW w:w="38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566</w:t>
            </w:r>
          </w:p>
        </w:tc>
        <w:tc>
          <w:tcPr>
            <w:tcW w:w="400" w:type="dxa"/>
            <w:vAlign w:val="bottom"/>
            <w:tcBorders>
              <w:bottom w:val="single" w:sz="8" w:color="E4E4E4"/>
            </w:tcBorders>
            <w:shd w:val="clear" w:color="auto" w:fill="E4E4E4"/>
          </w:tcPr>
          <w:p>
            <w:pPr>
              <w:spacing w:after="0"/>
              <w:rPr>
                <w:sz w:val="22"/>
                <w:szCs w:val="22"/>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583</w:t>
            </w:r>
          </w:p>
        </w:tc>
      </w:tr>
      <w:tr>
        <w:trPr>
          <w:trHeight w:val="229"/>
        </w:trPr>
        <w:tc>
          <w:tcPr>
            <w:tcW w:w="4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PCS</w:t>
            </w:r>
          </w:p>
        </w:tc>
        <w:tc>
          <w:tcPr>
            <w:tcW w:w="10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793</w:t>
            </w:r>
          </w:p>
        </w:tc>
        <w:tc>
          <w:tcPr>
            <w:tcW w:w="4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731</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2,171</w:t>
            </w:r>
          </w:p>
        </w:tc>
        <w:tc>
          <w:tcPr>
            <w:tcW w:w="4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2,262</w:t>
            </w:r>
          </w:p>
        </w:tc>
      </w:tr>
      <w:tr>
        <w:trPr>
          <w:trHeight w:val="21"/>
        </w:trPr>
        <w:tc>
          <w:tcPr>
            <w:tcW w:w="4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6"/>
        </w:trPr>
        <w:tc>
          <w:tcPr>
            <w:tcW w:w="46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1080" w:type="dxa"/>
            <w:vAlign w:val="bottom"/>
            <w:tcBorders>
              <w:bottom w:val="single" w:sz="8" w:color="auto"/>
            </w:tcBorders>
            <w:shd w:val="clear" w:color="auto" w:fill="E4E4E4"/>
          </w:tcPr>
          <w:p>
            <w:pPr>
              <w:spacing w:after="0"/>
              <w:rPr>
                <w:sz w:val="22"/>
                <w:szCs w:val="22"/>
                <w:color w:val="auto"/>
              </w:rPr>
            </w:pPr>
          </w:p>
        </w:tc>
        <w:tc>
          <w:tcPr>
            <w:tcW w:w="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c>
          <w:tcPr>
            <w:tcW w:w="80" w:type="dxa"/>
            <w:vAlign w:val="bottom"/>
            <w:tcBorders>
              <w:bottom w:val="single" w:sz="8" w:color="auto"/>
            </w:tcBorders>
            <w:shd w:val="clear" w:color="auto" w:fill="E4E4E4"/>
          </w:tcPr>
          <w:p>
            <w:pPr>
              <w:spacing w:after="0"/>
              <w:rPr>
                <w:sz w:val="22"/>
                <w:szCs w:val="22"/>
                <w:color w:val="auto"/>
              </w:rPr>
            </w:pPr>
          </w:p>
        </w:tc>
        <w:tc>
          <w:tcPr>
            <w:tcW w:w="380" w:type="dxa"/>
            <w:vAlign w:val="bottom"/>
            <w:tcBorders>
              <w:bottom w:val="single" w:sz="8" w:color="auto"/>
            </w:tcBorders>
            <w:shd w:val="clear" w:color="auto" w:fill="E4E4E4"/>
          </w:tcPr>
          <w:p>
            <w:pPr>
              <w:spacing w:after="0"/>
              <w:rPr>
                <w:sz w:val="22"/>
                <w:szCs w:val="22"/>
                <w:color w:val="auto"/>
              </w:rPr>
            </w:pPr>
          </w:p>
        </w:tc>
        <w:tc>
          <w:tcPr>
            <w:tcW w:w="12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w:t>
            </w:r>
          </w:p>
        </w:tc>
      </w:tr>
      <w:tr>
        <w:trPr>
          <w:trHeight w:val="229"/>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1080" w:type="dxa"/>
            <w:vAlign w:val="bottom"/>
          </w:tcPr>
          <w:p>
            <w:pPr>
              <w:jc w:val="right"/>
              <w:ind w:right="87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5,513</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5,143</w:t>
            </w: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15,939</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14,927</w:t>
            </w:r>
          </w:p>
        </w:tc>
      </w:tr>
      <w:tr>
        <w:trPr>
          <w:trHeight w:val="21"/>
        </w:trPr>
        <w:tc>
          <w:tcPr>
            <w:tcW w:w="4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100" w:hanging="252"/>
        <w:spacing w:after="0" w:line="286"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HealthCare Financial Services (“HFS”), which does not meet the definition of an operating segment.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3360" w:type="dxa"/>
            <w:vAlign w:val="bottom"/>
            <w:gridSpan w:val="5"/>
          </w:tcPr>
          <w:p>
            <w:pPr>
              <w:ind w:left="120"/>
              <w:spacing w:after="0"/>
              <w:rPr>
                <w:sz w:val="20"/>
                <w:szCs w:val="20"/>
                <w:color w:val="auto"/>
              </w:rPr>
            </w:pPr>
            <w:r>
              <w:rPr>
                <w:rFonts w:ascii="Arial" w:cs="Arial" w:eastAsia="Arial" w:hAnsi="Arial"/>
                <w:sz w:val="16"/>
                <w:szCs w:val="16"/>
                <w:b w:val="1"/>
                <w:bCs w:val="1"/>
                <w:color w:val="454545"/>
              </w:rPr>
              <w:t>For the three months ended September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Significant Expenses by Segment</w:t>
            </w:r>
          </w:p>
        </w:tc>
        <w:tc>
          <w:tcPr>
            <w:tcW w:w="1080" w:type="dxa"/>
            <w:vAlign w:val="bottom"/>
          </w:tcPr>
          <w:p>
            <w:pPr>
              <w:spacing w:after="0"/>
              <w:rPr>
                <w:sz w:val="19"/>
                <w:szCs w:val="19"/>
                <w:color w:val="auto"/>
              </w:rPr>
            </w:pPr>
          </w:p>
        </w:tc>
        <w:tc>
          <w:tcPr>
            <w:tcW w:w="94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454545"/>
              </w:rPr>
              <w:t>30</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gridSpan w:val="4"/>
          </w:tcPr>
          <w:p>
            <w:pPr>
              <w:ind w:left="40"/>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620" w:type="dxa"/>
            <w:vAlign w:val="bottom"/>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29"/>
        </w:trPr>
        <w:tc>
          <w:tcPr>
            <w:tcW w:w="4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454545"/>
              </w:rPr>
              <w:t>2026</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2026</w:t>
            </w:r>
          </w:p>
        </w:tc>
        <w:tc>
          <w:tcPr>
            <w:tcW w:w="40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r>
      <w:tr>
        <w:trPr>
          <w:trHeight w:val="21"/>
        </w:trPr>
        <w:tc>
          <w:tcPr>
            <w:tcW w:w="462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r>
      <w:tr>
        <w:trPr>
          <w:trHeight w:val="230"/>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AIS:</w:t>
            </w:r>
          </w:p>
        </w:tc>
        <w:tc>
          <w:tcPr>
            <w:tcW w:w="10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r>
      <w:tr>
        <w:trPr>
          <w:trHeight w:val="228"/>
        </w:trPr>
        <w:tc>
          <w:tcPr>
            <w:tcW w:w="462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2,309</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2,218</w:t>
            </w: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6,767</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6,275</w:t>
            </w:r>
          </w:p>
        </w:tc>
      </w:tr>
      <w:tr>
        <w:trPr>
          <w:trHeight w:val="29"/>
        </w:trPr>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462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1080" w:type="dxa"/>
            <w:vAlign w:val="bottom"/>
            <w:tcBorders>
              <w:bottom w:val="single" w:sz="8" w:color="auto"/>
            </w:tcBorders>
            <w:shd w:val="clear" w:color="auto" w:fill="E4E4E4"/>
          </w:tcPr>
          <w:p>
            <w:pPr>
              <w:spacing w:after="0"/>
              <w:rPr>
                <w:sz w:val="22"/>
                <w:szCs w:val="22"/>
                <w:color w:val="auto"/>
              </w:rPr>
            </w:pPr>
          </w:p>
        </w:tc>
        <w:tc>
          <w:tcPr>
            <w:tcW w:w="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972</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920</w:t>
            </w:r>
          </w:p>
        </w:tc>
        <w:tc>
          <w:tcPr>
            <w:tcW w:w="80" w:type="dxa"/>
            <w:vAlign w:val="bottom"/>
            <w:tcBorders>
              <w:bottom w:val="single" w:sz="8" w:color="auto"/>
            </w:tcBorders>
            <w:shd w:val="clear" w:color="auto" w:fill="E4E4E4"/>
          </w:tcPr>
          <w:p>
            <w:pPr>
              <w:spacing w:after="0"/>
              <w:rPr>
                <w:sz w:val="22"/>
                <w:szCs w:val="22"/>
                <w:color w:val="auto"/>
              </w:rPr>
            </w:pPr>
          </w:p>
        </w:tc>
        <w:tc>
          <w:tcPr>
            <w:tcW w:w="380" w:type="dxa"/>
            <w:vAlign w:val="bottom"/>
            <w:tcBorders>
              <w:bottom w:val="single" w:sz="8" w:color="auto"/>
            </w:tcBorders>
            <w:shd w:val="clear" w:color="auto" w:fill="E4E4E4"/>
          </w:tcPr>
          <w:p>
            <w:pPr>
              <w:spacing w:after="0"/>
              <w:rPr>
                <w:sz w:val="22"/>
                <w:szCs w:val="22"/>
                <w:color w:val="auto"/>
              </w:rPr>
            </w:pPr>
          </w:p>
        </w:tc>
        <w:tc>
          <w:tcPr>
            <w:tcW w:w="12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2,921</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2,820</w:t>
            </w:r>
          </w:p>
        </w:tc>
      </w:tr>
      <w:tr>
        <w:trPr>
          <w:trHeight w:val="229"/>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Total AIS</w:t>
            </w:r>
          </w:p>
        </w:tc>
        <w:tc>
          <w:tcPr>
            <w:tcW w:w="1080" w:type="dxa"/>
            <w:vAlign w:val="bottom"/>
          </w:tcPr>
          <w:p>
            <w:pPr>
              <w:jc w:val="right"/>
              <w:ind w:right="87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3,281</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3,138</w:t>
            </w: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9,687</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9,096</w:t>
            </w:r>
          </w:p>
        </w:tc>
      </w:tr>
      <w:tr>
        <w:trPr>
          <w:trHeight w:val="21"/>
        </w:trPr>
        <w:tc>
          <w:tcPr>
            <w:tcW w:w="4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PDx:</w:t>
            </w:r>
          </w:p>
        </w:tc>
        <w:tc>
          <w:tcPr>
            <w:tcW w:w="10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r>
      <w:tr>
        <w:trPr>
          <w:trHeight w:val="228"/>
        </w:trPr>
        <w:tc>
          <w:tcPr>
            <w:tcW w:w="462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418</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384</w:t>
            </w: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1,246</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1,049</w:t>
            </w:r>
          </w:p>
        </w:tc>
      </w:tr>
      <w:tr>
        <w:trPr>
          <w:trHeight w:val="29"/>
        </w:trPr>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462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1080" w:type="dxa"/>
            <w:vAlign w:val="bottom"/>
            <w:tcBorders>
              <w:bottom w:val="single" w:sz="8" w:color="auto"/>
            </w:tcBorders>
            <w:shd w:val="clear" w:color="auto" w:fill="E4E4E4"/>
          </w:tcPr>
          <w:p>
            <w:pPr>
              <w:spacing w:after="0"/>
              <w:rPr>
                <w:sz w:val="22"/>
                <w:szCs w:val="22"/>
                <w:color w:val="auto"/>
              </w:rPr>
            </w:pPr>
          </w:p>
        </w:tc>
        <w:tc>
          <w:tcPr>
            <w:tcW w:w="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174</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145</w:t>
            </w:r>
          </w:p>
        </w:tc>
        <w:tc>
          <w:tcPr>
            <w:tcW w:w="80" w:type="dxa"/>
            <w:vAlign w:val="bottom"/>
            <w:tcBorders>
              <w:bottom w:val="single" w:sz="8" w:color="auto"/>
            </w:tcBorders>
            <w:shd w:val="clear" w:color="auto" w:fill="E4E4E4"/>
          </w:tcPr>
          <w:p>
            <w:pPr>
              <w:spacing w:after="0"/>
              <w:rPr>
                <w:sz w:val="22"/>
                <w:szCs w:val="22"/>
                <w:color w:val="auto"/>
              </w:rPr>
            </w:pPr>
          </w:p>
        </w:tc>
        <w:tc>
          <w:tcPr>
            <w:tcW w:w="380" w:type="dxa"/>
            <w:vAlign w:val="bottom"/>
            <w:tcBorders>
              <w:bottom w:val="single" w:sz="8" w:color="auto"/>
            </w:tcBorders>
            <w:shd w:val="clear" w:color="auto" w:fill="E4E4E4"/>
          </w:tcPr>
          <w:p>
            <w:pPr>
              <w:spacing w:after="0"/>
              <w:rPr>
                <w:sz w:val="22"/>
                <w:szCs w:val="22"/>
                <w:color w:val="auto"/>
              </w:rPr>
            </w:pPr>
          </w:p>
        </w:tc>
        <w:tc>
          <w:tcPr>
            <w:tcW w:w="12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513</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422</w:t>
            </w:r>
          </w:p>
        </w:tc>
      </w:tr>
      <w:tr>
        <w:trPr>
          <w:trHeight w:val="229"/>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Total PDx</w:t>
            </w:r>
          </w:p>
        </w:tc>
        <w:tc>
          <w:tcPr>
            <w:tcW w:w="1080" w:type="dxa"/>
            <w:vAlign w:val="bottom"/>
          </w:tcPr>
          <w:p>
            <w:pPr>
              <w:jc w:val="right"/>
              <w:ind w:right="87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593</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529</w:t>
            </w: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1,759</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1,472</w:t>
            </w:r>
          </w:p>
        </w:tc>
      </w:tr>
      <w:tr>
        <w:trPr>
          <w:trHeight w:val="21"/>
        </w:trPr>
        <w:tc>
          <w:tcPr>
            <w:tcW w:w="4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108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r>
      <w:tr>
        <w:trPr>
          <w:trHeight w:val="228"/>
        </w:trPr>
        <w:tc>
          <w:tcPr>
            <w:tcW w:w="462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524</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503</w:t>
            </w: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1,499</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1,490</w:t>
            </w:r>
          </w:p>
        </w:tc>
      </w:tr>
      <w:tr>
        <w:trPr>
          <w:trHeight w:val="29"/>
        </w:trPr>
        <w:tc>
          <w:tcPr>
            <w:tcW w:w="4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462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1080" w:type="dxa"/>
            <w:vAlign w:val="bottom"/>
            <w:tcBorders>
              <w:bottom w:val="single" w:sz="8" w:color="auto"/>
            </w:tcBorders>
            <w:shd w:val="clear" w:color="auto" w:fill="E4E4E4"/>
          </w:tcPr>
          <w:p>
            <w:pPr>
              <w:spacing w:after="0"/>
              <w:rPr>
                <w:sz w:val="22"/>
                <w:szCs w:val="22"/>
                <w:color w:val="auto"/>
              </w:rPr>
            </w:pPr>
          </w:p>
        </w:tc>
        <w:tc>
          <w:tcPr>
            <w:tcW w:w="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200</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201</w:t>
            </w:r>
          </w:p>
        </w:tc>
        <w:tc>
          <w:tcPr>
            <w:tcW w:w="80" w:type="dxa"/>
            <w:vAlign w:val="bottom"/>
            <w:tcBorders>
              <w:bottom w:val="single" w:sz="8" w:color="auto"/>
            </w:tcBorders>
            <w:shd w:val="clear" w:color="auto" w:fill="E4E4E4"/>
          </w:tcPr>
          <w:p>
            <w:pPr>
              <w:spacing w:after="0"/>
              <w:rPr>
                <w:sz w:val="22"/>
                <w:szCs w:val="22"/>
                <w:color w:val="auto"/>
              </w:rPr>
            </w:pPr>
          </w:p>
        </w:tc>
        <w:tc>
          <w:tcPr>
            <w:tcW w:w="380" w:type="dxa"/>
            <w:vAlign w:val="bottom"/>
            <w:tcBorders>
              <w:bottom w:val="single" w:sz="8" w:color="auto"/>
            </w:tcBorders>
            <w:shd w:val="clear" w:color="auto" w:fill="E4E4E4"/>
          </w:tcPr>
          <w:p>
            <w:pPr>
              <w:spacing w:after="0"/>
              <w:rPr>
                <w:sz w:val="22"/>
                <w:szCs w:val="22"/>
                <w:color w:val="auto"/>
              </w:rPr>
            </w:pPr>
          </w:p>
        </w:tc>
        <w:tc>
          <w:tcPr>
            <w:tcW w:w="12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620</w:t>
            </w:r>
          </w:p>
        </w:tc>
        <w:tc>
          <w:tcPr>
            <w:tcW w:w="40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636</w:t>
            </w:r>
          </w:p>
        </w:tc>
      </w:tr>
      <w:tr>
        <w:trPr>
          <w:trHeight w:val="229"/>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Total PCS</w:t>
            </w:r>
          </w:p>
        </w:tc>
        <w:tc>
          <w:tcPr>
            <w:tcW w:w="1080" w:type="dxa"/>
            <w:vAlign w:val="bottom"/>
          </w:tcPr>
          <w:p>
            <w:pPr>
              <w:jc w:val="right"/>
              <w:ind w:right="87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725</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703</w:t>
            </w: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2,119</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2,127</w:t>
            </w:r>
          </w:p>
        </w:tc>
      </w:tr>
      <w:tr>
        <w:trPr>
          <w:trHeight w:val="21"/>
        </w:trPr>
        <w:tc>
          <w:tcPr>
            <w:tcW w:w="4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120" w:hanging="252"/>
        <w:spacing w:after="0" w:line="304"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segment items for each segment includes selling, general, administrative, research, and development related expenses, as well as other segment income and expenses.</w:t>
      </w:r>
    </w:p>
    <w:p>
      <w:pPr>
        <w:sectPr>
          <w:pgSz w:w="11900" w:h="16838" w:orient="portrait"/>
          <w:cols w:equalWidth="0" w:num="1">
            <w:col w:w="11240"/>
          </w:cols>
          <w:pgMar w:left="320" w:top="130" w:right="339" w:bottom="6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66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120" w:type="dxa"/>
            <w:vAlign w:val="bottom"/>
          </w:tcPr>
          <w:p>
            <w:pPr>
              <w:spacing w:after="0"/>
              <w:rPr>
                <w:sz w:val="17"/>
                <w:szCs w:val="17"/>
                <w:color w:val="auto"/>
              </w:rPr>
            </w:pPr>
          </w:p>
        </w:tc>
        <w:tc>
          <w:tcPr>
            <w:tcW w:w="3240" w:type="dxa"/>
            <w:vAlign w:val="bottom"/>
            <w:gridSpan w:val="4"/>
          </w:tcPr>
          <w:p>
            <w:pPr>
              <w:spacing w:after="0"/>
              <w:rPr>
                <w:sz w:val="20"/>
                <w:szCs w:val="20"/>
                <w:color w:val="auto"/>
              </w:rPr>
            </w:pPr>
            <w:r>
              <w:rPr>
                <w:rFonts w:ascii="Arial" w:cs="Arial" w:eastAsia="Arial" w:hAnsi="Arial"/>
                <w:sz w:val="16"/>
                <w:szCs w:val="16"/>
                <w:b w:val="1"/>
                <w:bCs w:val="1"/>
                <w:color w:val="454545"/>
              </w:rPr>
              <w:t>For the three months ended September</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454545"/>
              </w:rPr>
              <w:t>30</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gridSpan w:val="4"/>
          </w:tcPr>
          <w:p>
            <w:pPr>
              <w:ind w:left="40"/>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62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52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29"/>
        </w:trPr>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2026</w:t>
            </w:r>
          </w:p>
        </w:tc>
        <w:tc>
          <w:tcPr>
            <w:tcW w:w="38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2026</w:t>
            </w:r>
          </w:p>
        </w:tc>
        <w:tc>
          <w:tcPr>
            <w:tcW w:w="38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r>
      <w:tr>
        <w:trPr>
          <w:trHeight w:val="21"/>
        </w:trPr>
        <w:tc>
          <w:tcPr>
            <w:tcW w:w="462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52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r>
      <w:tr>
        <w:trPr>
          <w:trHeight w:val="230"/>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Segment EBIT</w:t>
            </w:r>
          </w:p>
        </w:tc>
        <w:tc>
          <w:tcPr>
            <w:tcW w:w="12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r>
      <w:tr>
        <w:trPr>
          <w:trHeight w:val="227"/>
        </w:trPr>
        <w:tc>
          <w:tcPr>
            <w:tcW w:w="4620" w:type="dxa"/>
            <w:vAlign w:val="bottom"/>
          </w:tcPr>
          <w:p>
            <w:pPr>
              <w:ind w:left="140"/>
              <w:spacing w:after="0"/>
              <w:rPr>
                <w:sz w:val="20"/>
                <w:szCs w:val="20"/>
                <w:color w:val="auto"/>
              </w:rPr>
            </w:pPr>
            <w:r>
              <w:rPr>
                <w:rFonts w:ascii="Arial" w:cs="Arial" w:eastAsia="Arial" w:hAnsi="Arial"/>
                <w:sz w:val="16"/>
                <w:szCs w:val="16"/>
                <w:color w:val="auto"/>
              </w:rPr>
              <w:t>AIS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593</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512</w:t>
            </w: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1,596</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1,426</w:t>
            </w:r>
          </w:p>
        </w:tc>
      </w:tr>
      <w:tr>
        <w:trPr>
          <w:trHeight w:val="29"/>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46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PDx</w:t>
            </w:r>
          </w:p>
        </w:tc>
        <w:tc>
          <w:tcPr>
            <w:tcW w:w="12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253</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220</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699</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638</w:t>
            </w:r>
          </w:p>
        </w:tc>
      </w:tr>
      <w:tr>
        <w:trPr>
          <w:trHeight w:val="228"/>
        </w:trPr>
        <w:tc>
          <w:tcPr>
            <w:tcW w:w="4620" w:type="dxa"/>
            <w:vAlign w:val="bottom"/>
          </w:tcPr>
          <w:p>
            <w:pPr>
              <w:ind w:left="140"/>
              <w:spacing w:after="0"/>
              <w:rPr>
                <w:sz w:val="20"/>
                <w:szCs w:val="20"/>
                <w:color w:val="auto"/>
              </w:rPr>
            </w:pPr>
            <w:r>
              <w:rPr>
                <w:rFonts w:ascii="Arial" w:cs="Arial" w:eastAsia="Arial" w:hAnsi="Arial"/>
                <w:sz w:val="16"/>
                <w:szCs w:val="16"/>
                <w:color w:val="auto"/>
              </w:rPr>
              <w:t>PCS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68</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9"/>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46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E4E4E4"/>
          </w:tcPr>
          <w:p>
            <w:pPr>
              <w:spacing w:after="0"/>
              <w:rPr>
                <w:sz w:val="22"/>
                <w:szCs w:val="22"/>
                <w:color w:val="auto"/>
              </w:rPr>
            </w:pPr>
          </w:p>
        </w:tc>
        <w:tc>
          <w:tcPr>
            <w:tcW w:w="15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auto"/>
            </w:tcBorders>
            <w:shd w:val="clear" w:color="auto" w:fill="E4E4E4"/>
          </w:tcPr>
          <w:p>
            <w:pPr>
              <w:spacing w:after="0"/>
              <w:rPr>
                <w:sz w:val="22"/>
                <w:szCs w:val="22"/>
                <w:color w:val="auto"/>
              </w:rPr>
            </w:pPr>
          </w:p>
        </w:tc>
        <w:tc>
          <w:tcPr>
            <w:tcW w:w="380" w:type="dxa"/>
            <w:vAlign w:val="bottom"/>
            <w:tcBorders>
              <w:bottom w:val="single" w:sz="8" w:color="auto"/>
            </w:tcBorders>
            <w:shd w:val="clear" w:color="auto" w:fill="E4E4E4"/>
          </w:tcPr>
          <w:p>
            <w:pPr>
              <w:spacing w:after="0"/>
              <w:rPr>
                <w:sz w:val="22"/>
                <w:szCs w:val="22"/>
                <w:color w:val="auto"/>
              </w:rPr>
            </w:pPr>
          </w:p>
        </w:tc>
        <w:tc>
          <w:tcPr>
            <w:tcW w:w="1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38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913</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761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2,353</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2,205</w:t>
            </w:r>
          </w:p>
        </w:tc>
      </w:tr>
      <w:tr>
        <w:trPr>
          <w:trHeight w:val="21"/>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Restructuring costs</w:t>
            </w:r>
          </w:p>
        </w:tc>
        <w:tc>
          <w:tcPr>
            <w:tcW w:w="12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(71)</w:t>
            </w:r>
          </w:p>
        </w:tc>
      </w:tr>
      <w:tr>
        <w:trPr>
          <w:trHeight w:val="227"/>
        </w:trPr>
        <w:tc>
          <w:tcPr>
            <w:tcW w:w="4620" w:type="dxa"/>
            <w:vAlign w:val="bottom"/>
          </w:tcPr>
          <w:p>
            <w:pPr>
              <w:ind w:left="20"/>
              <w:spacing w:after="0"/>
              <w:rPr>
                <w:sz w:val="20"/>
                <w:szCs w:val="20"/>
                <w:color w:val="auto"/>
              </w:rPr>
            </w:pPr>
            <w:r>
              <w:rPr>
                <w:rFonts w:ascii="Arial" w:cs="Arial" w:eastAsia="Arial" w:hAnsi="Arial"/>
                <w:sz w:val="16"/>
                <w:szCs w:val="16"/>
                <w:color w:val="auto"/>
              </w:rPr>
              <w:t>Acquisition and disposition-related benefits (charges)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9"/>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Gain (loss) on business and asset dispositions</w:t>
            </w:r>
          </w:p>
        </w:tc>
        <w:tc>
          <w:tcPr>
            <w:tcW w:w="12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8"/>
        </w:trPr>
        <w:tc>
          <w:tcPr>
            <w:tcW w:w="4620" w:type="dxa"/>
            <w:vAlign w:val="bottom"/>
          </w:tcPr>
          <w:p>
            <w:pPr>
              <w:ind w:left="20"/>
              <w:spacing w:after="0"/>
              <w:rPr>
                <w:sz w:val="20"/>
                <w:szCs w:val="20"/>
                <w:color w:val="auto"/>
              </w:rPr>
            </w:pPr>
            <w:r>
              <w:rPr>
                <w:rFonts w:ascii="Arial" w:cs="Arial" w:eastAsia="Arial" w:hAnsi="Arial"/>
                <w:sz w:val="16"/>
                <w:szCs w:val="16"/>
                <w:color w:val="auto"/>
              </w:rPr>
              <w:t>Spin-Off and separation costs and other adjustments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9"/>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12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(169)</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(116)</w:t>
            </w:r>
          </w:p>
        </w:tc>
      </w:tr>
      <w:tr>
        <w:trPr>
          <w:trHeight w:val="227"/>
        </w:trPr>
        <w:tc>
          <w:tcPr>
            <w:tcW w:w="4620" w:type="dxa"/>
            <w:vAlign w:val="bottom"/>
          </w:tcPr>
          <w:p>
            <w:pPr>
              <w:ind w:left="20"/>
              <w:spacing w:after="0"/>
              <w:rPr>
                <w:sz w:val="20"/>
                <w:szCs w:val="20"/>
                <w:color w:val="auto"/>
              </w:rPr>
            </w:pPr>
            <w:r>
              <w:rPr>
                <w:rFonts w:ascii="Arial" w:cs="Arial" w:eastAsia="Arial" w:hAnsi="Arial"/>
                <w:sz w:val="16"/>
                <w:szCs w:val="16"/>
                <w:color w:val="auto"/>
              </w:rPr>
              <w:t>Investment revaluation gain (loss)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9"/>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120" w:type="dxa"/>
            <w:vAlign w:val="bottom"/>
            <w:tcBorders>
              <w:bottom w:val="single" w:sz="8" w:color="E4E4E4"/>
            </w:tcBorders>
            <w:shd w:val="clear" w:color="auto" w:fill="E4E4E4"/>
          </w:tcPr>
          <w:p>
            <w:pPr>
              <w:spacing w:after="0"/>
              <w:rPr>
                <w:sz w:val="20"/>
                <w:szCs w:val="20"/>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(122)</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(111)</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(332)</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(335)</w:t>
            </w:r>
          </w:p>
        </w:tc>
      </w:tr>
      <w:tr>
        <w:trPr>
          <w:trHeight w:val="228"/>
        </w:trPr>
        <w:tc>
          <w:tcPr>
            <w:tcW w:w="4620" w:type="dxa"/>
            <w:vAlign w:val="bottom"/>
          </w:tcPr>
          <w:p>
            <w:pPr>
              <w:ind w:left="20"/>
              <w:spacing w:after="0"/>
              <w:rPr>
                <w:sz w:val="20"/>
                <w:szCs w:val="20"/>
                <w:color w:val="auto"/>
              </w:rPr>
            </w:pPr>
            <w:r>
              <w:rPr>
                <w:rFonts w:ascii="Arial" w:cs="Arial" w:eastAsia="Arial" w:hAnsi="Arial"/>
                <w:sz w:val="16"/>
                <w:szCs w:val="16"/>
                <w:color w:val="auto"/>
              </w:rPr>
              <w:t>Non-operating benefit income (costs)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146</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9"/>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2"/>
        </w:trPr>
        <w:tc>
          <w:tcPr>
            <w:tcW w:w="4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Tariff refunds</w:t>
            </w:r>
          </w:p>
        </w:tc>
        <w:tc>
          <w:tcPr>
            <w:tcW w:w="120" w:type="dxa"/>
            <w:vAlign w:val="bottom"/>
            <w:tcBorders>
              <w:bottom w:val="single" w:sz="8" w:color="E4E4E4"/>
            </w:tcBorders>
            <w:shd w:val="clear" w:color="auto" w:fill="E4E4E4"/>
          </w:tcPr>
          <w:p>
            <w:pPr>
              <w:spacing w:after="0"/>
              <w:rPr>
                <w:sz w:val="22"/>
                <w:szCs w:val="22"/>
                <w:color w:val="auto"/>
              </w:rPr>
            </w:pP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380" w:type="dxa"/>
            <w:vAlign w:val="bottom"/>
            <w:tcBorders>
              <w:bottom w:val="single" w:sz="8" w:color="E4E4E4"/>
            </w:tcBorders>
            <w:shd w:val="clear" w:color="auto" w:fill="E4E4E4"/>
          </w:tcPr>
          <w:p>
            <w:pPr>
              <w:spacing w:after="0"/>
              <w:rPr>
                <w:sz w:val="22"/>
                <w:szCs w:val="22"/>
                <w:color w:val="auto"/>
              </w:rPr>
            </w:pPr>
          </w:p>
        </w:tc>
        <w:tc>
          <w:tcPr>
            <w:tcW w:w="134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115</w:t>
            </w:r>
          </w:p>
        </w:tc>
        <w:tc>
          <w:tcPr>
            <w:tcW w:w="380" w:type="dxa"/>
            <w:vAlign w:val="bottom"/>
            <w:tcBorders>
              <w:bottom w:val="single" w:sz="8" w:color="E4E4E4"/>
            </w:tcBorders>
            <w:shd w:val="clear" w:color="auto" w:fill="E4E4E4"/>
          </w:tcPr>
          <w:p>
            <w:pPr>
              <w:spacing w:after="0"/>
              <w:rPr>
                <w:sz w:val="22"/>
                <w:szCs w:val="22"/>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752</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643</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1,950</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1,947</w:t>
            </w:r>
          </w:p>
        </w:tc>
      </w:tr>
      <w:tr>
        <w:trPr>
          <w:trHeight w:val="21"/>
        </w:trPr>
        <w:tc>
          <w:tcPr>
            <w:tcW w:w="4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80" w:hanging="252"/>
        <w:spacing w:after="0" w:line="286" w:lineRule="auto"/>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primarily represents HFS, which does not meet the definition of an operating segment.</w:t>
      </w:r>
    </w:p>
    <w:p>
      <w:pPr>
        <w:spacing w:after="0" w:line="19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following table represents the depreciation and amortization amounts reported within the Segment EBIT metric for our reportable segments. Depreciation and amortization expense related to shared property, plant, and equipment and intangibles, exclusive of acquisition-related intangible assets, has been fully allocated to our segments and those allocations are reflected in the amounts presented in the table below. These amounts are included within Cost of sales and Other segment items disclosed in the Significant Expenses by Segment table above.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Depreciation and Amortization by Segment</w:t>
            </w:r>
          </w:p>
        </w:tc>
        <w:tc>
          <w:tcPr>
            <w:tcW w:w="3440" w:type="dxa"/>
            <w:vAlign w:val="bottom"/>
            <w:gridSpan w:val="5"/>
          </w:tcPr>
          <w:p>
            <w:pPr>
              <w:ind w:left="60"/>
              <w:spacing w:after="0"/>
              <w:rPr>
                <w:sz w:val="20"/>
                <w:szCs w:val="20"/>
                <w:color w:val="auto"/>
              </w:rPr>
            </w:pPr>
            <w:r>
              <w:rPr>
                <w:rFonts w:ascii="Arial" w:cs="Arial" w:eastAsia="Arial" w:hAnsi="Arial"/>
                <w:sz w:val="16"/>
                <w:szCs w:val="16"/>
                <w:b w:val="1"/>
                <w:bCs w:val="1"/>
                <w:color w:val="454545"/>
              </w:rPr>
              <w:t>For the three months ended September 30</w:t>
            </w:r>
          </w:p>
        </w:tc>
        <w:tc>
          <w:tcPr>
            <w:tcW w:w="3260" w:type="dxa"/>
            <w:vAlign w:val="bottom"/>
            <w:gridSpan w:val="4"/>
          </w:tcPr>
          <w:p>
            <w:pPr>
              <w:ind w:left="40"/>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540" w:type="dxa"/>
            <w:vAlign w:val="bottom"/>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29"/>
        </w:trPr>
        <w:tc>
          <w:tcPr>
            <w:tcW w:w="4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2026</w:t>
            </w:r>
          </w:p>
        </w:tc>
        <w:tc>
          <w:tcPr>
            <w:tcW w:w="400" w:type="dxa"/>
            <w:vAlign w:val="bottom"/>
          </w:tcPr>
          <w:p>
            <w:pPr>
              <w:spacing w:after="0"/>
              <w:rPr>
                <w:sz w:val="19"/>
                <w:szCs w:val="19"/>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2026</w:t>
            </w:r>
          </w:p>
        </w:tc>
        <w:tc>
          <w:tcPr>
            <w:tcW w:w="40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r>
      <w:tr>
        <w:trPr>
          <w:trHeight w:val="21"/>
        </w:trPr>
        <w:tc>
          <w:tcPr>
            <w:tcW w:w="454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r>
      <w:tr>
        <w:trPr>
          <w:trHeight w:val="230"/>
        </w:trPr>
        <w:tc>
          <w:tcPr>
            <w:tcW w:w="4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AIS</w:t>
            </w:r>
          </w:p>
        </w:tc>
        <w:tc>
          <w:tcPr>
            <w:tcW w:w="40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67</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73</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206</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224</w:t>
            </w:r>
          </w:p>
        </w:tc>
      </w:tr>
      <w:tr>
        <w:trPr>
          <w:trHeight w:val="228"/>
        </w:trPr>
        <w:tc>
          <w:tcPr>
            <w:tcW w:w="4540" w:type="dxa"/>
            <w:vAlign w:val="bottom"/>
          </w:tcPr>
          <w:p>
            <w:pPr>
              <w:ind w:left="20"/>
              <w:spacing w:after="0"/>
              <w:rPr>
                <w:sz w:val="20"/>
                <w:szCs w:val="20"/>
                <w:color w:val="auto"/>
              </w:rPr>
            </w:pPr>
            <w:r>
              <w:rPr>
                <w:rFonts w:ascii="Arial" w:cs="Arial" w:eastAsia="Arial" w:hAnsi="Arial"/>
                <w:sz w:val="16"/>
                <w:szCs w:val="16"/>
                <w:color w:val="auto"/>
              </w:rPr>
              <w:t>PDx</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9"/>
        </w:trPr>
        <w:tc>
          <w:tcPr>
            <w:tcW w:w="4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w:t>
            </w:r>
          </w:p>
        </w:tc>
        <w:tc>
          <w:tcPr>
            <w:tcW w:w="40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r>
      <w:tr>
        <w:trPr>
          <w:trHeight w:val="20"/>
        </w:trPr>
        <w:tc>
          <w:tcPr>
            <w:tcW w:w="4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 Company does not report total assets by segment as the Company’s CODM does not assess performance, make strategic decisions, or allocate resources based on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RECEIVABLES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Current Receivables</w:t>
            </w:r>
          </w:p>
        </w:tc>
        <w:tc>
          <w:tcPr>
            <w:tcW w:w="160" w:type="dxa"/>
            <w:vAlign w:val="bottom"/>
          </w:tcPr>
          <w:p>
            <w:pPr>
              <w:spacing w:after="0"/>
              <w:rPr>
                <w:sz w:val="19"/>
                <w:szCs w:val="19"/>
                <w:color w:val="auto"/>
              </w:rPr>
            </w:pPr>
          </w:p>
        </w:tc>
        <w:tc>
          <w:tcPr>
            <w:tcW w:w="2040" w:type="dxa"/>
            <w:vAlign w:val="bottom"/>
            <w:gridSpan w:val="3"/>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76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53"/>
        </w:trPr>
        <w:tc>
          <w:tcPr>
            <w:tcW w:w="7300" w:type="dxa"/>
            <w:vAlign w:val="bottom"/>
            <w:tcBorders>
              <w:bottom w:val="single" w:sz="8" w:color="6022A6"/>
            </w:tcBorders>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119"/>
              <w:spacing w:after="0"/>
              <w:rPr>
                <w:sz w:val="20"/>
                <w:szCs w:val="20"/>
                <w:color w:val="auto"/>
              </w:rPr>
            </w:pPr>
            <w:r>
              <w:rPr>
                <w:rFonts w:ascii="Arial" w:cs="Arial" w:eastAsia="Arial" w:hAnsi="Arial"/>
                <w:sz w:val="16"/>
                <w:szCs w:val="16"/>
                <w:b w:val="1"/>
                <w:bCs w:val="1"/>
                <w:color w:val="454545"/>
              </w:rPr>
              <w:t>September 30, 2026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r>
      <w:tr>
        <w:trPr>
          <w:trHeight w:val="247"/>
        </w:trPr>
        <w:tc>
          <w:tcPr>
            <w:tcW w:w="7300" w:type="dxa"/>
            <w:vAlign w:val="bottom"/>
            <w:tcBorders>
              <w:top w:val="single" w:sz="8" w:color="E4E4E4"/>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customer receivables</w:t>
            </w:r>
            <w:r>
              <w:rPr>
                <w:rFonts w:ascii="Arial" w:cs="Arial" w:eastAsia="Arial" w:hAnsi="Arial"/>
                <w:sz w:val="21"/>
                <w:szCs w:val="21"/>
                <w:b w:val="1"/>
                <w:bCs w:val="1"/>
                <w:color w:val="auto"/>
                <w:vertAlign w:val="superscript"/>
              </w:rPr>
              <w:t>(1)</w:t>
            </w:r>
          </w:p>
        </w:tc>
        <w:tc>
          <w:tcPr>
            <w:tcW w:w="160" w:type="dxa"/>
            <w:vAlign w:val="bottom"/>
            <w:tcBorders>
              <w:top w:val="single" w:sz="8" w:color="6022A6"/>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60" w:type="dxa"/>
            <w:vAlign w:val="bottom"/>
            <w:tcBorders>
              <w:top w:val="single" w:sz="8" w:color="6022A6"/>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3,609</w:t>
            </w:r>
          </w:p>
        </w:tc>
        <w:tc>
          <w:tcPr>
            <w:tcW w:w="280" w:type="dxa"/>
            <w:vAlign w:val="bottom"/>
            <w:tcBorders>
              <w:top w:val="single" w:sz="8" w:color="6022A6"/>
              <w:bottom w:val="single" w:sz="8" w:color="auto"/>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6022A6"/>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3,719</w:t>
            </w:r>
          </w:p>
        </w:tc>
      </w:tr>
      <w:tr>
        <w:trPr>
          <w:trHeight w:val="221"/>
        </w:trPr>
        <w:tc>
          <w:tcPr>
            <w:tcW w:w="7300" w:type="dxa"/>
            <w:vAlign w:val="bottom"/>
          </w:tcPr>
          <w:p>
            <w:pPr>
              <w:ind w:left="20"/>
              <w:spacing w:after="0"/>
              <w:rPr>
                <w:sz w:val="20"/>
                <w:szCs w:val="20"/>
                <w:color w:val="auto"/>
              </w:rPr>
            </w:pPr>
            <w:r>
              <w:rPr>
                <w:rFonts w:ascii="Arial" w:cs="Arial" w:eastAsia="Arial" w:hAnsi="Arial"/>
                <w:sz w:val="16"/>
                <w:szCs w:val="16"/>
                <w:color w:val="auto"/>
              </w:rPr>
              <w:t>Non-income based tax receivables</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9"/>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6"/>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160" w:type="dxa"/>
            <w:vAlign w:val="bottom"/>
            <w:tcBorders>
              <w:bottom w:val="single" w:sz="8" w:color="E4E4E4"/>
            </w:tcBorders>
            <w:shd w:val="clear" w:color="auto" w:fill="E4E4E4"/>
          </w:tcPr>
          <w:p>
            <w:pPr>
              <w:spacing w:after="0"/>
              <w:rPr>
                <w:sz w:val="22"/>
                <w:szCs w:val="22"/>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257</w:t>
            </w:r>
          </w:p>
        </w:tc>
        <w:tc>
          <w:tcPr>
            <w:tcW w:w="80" w:type="dxa"/>
            <w:vAlign w:val="bottom"/>
            <w:tcBorders>
              <w:bottom w:val="single" w:sz="8" w:color="auto"/>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180</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sundry receivables</w:t>
            </w:r>
          </w:p>
        </w:tc>
        <w:tc>
          <w:tcPr>
            <w:tcW w:w="1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417</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339</w:t>
            </w:r>
          </w:p>
        </w:tc>
      </w:tr>
      <w:tr>
        <w:trPr>
          <w:trHeight w:val="21"/>
        </w:trPr>
        <w:tc>
          <w:tcPr>
            <w:tcW w:w="7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56"/>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 w:type="dxa"/>
            <w:vAlign w:val="bottom"/>
            <w:tcBorders>
              <w:bottom w:val="single" w:sz="8" w:color="E4E4E4"/>
            </w:tcBorders>
            <w:shd w:val="clear" w:color="auto" w:fill="E4E4E4"/>
          </w:tcPr>
          <w:p>
            <w:pPr>
              <w:spacing w:after="0"/>
              <w:rPr>
                <w:sz w:val="22"/>
                <w:szCs w:val="22"/>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(101)</w:t>
            </w:r>
          </w:p>
        </w:tc>
        <w:tc>
          <w:tcPr>
            <w:tcW w:w="80" w:type="dxa"/>
            <w:vAlign w:val="bottom"/>
            <w:tcBorders>
              <w:bottom w:val="single" w:sz="8" w:color="auto"/>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current receivables –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3,925</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3,955</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100" w:hanging="252"/>
        <w:spacing w:after="0" w:line="275" w:lineRule="auto"/>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Chargebacks, which are primarily related to our PDx business, are generally settled through issuance of credits, typically within one month of initial recognition, and are recorded as a reduction to Current customer receivables. Balances related to chargebacks were $141 million and $148 million as of September 30, 2026 and December 31, 2025, respectively.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Long-Term Receivables</w:t>
            </w:r>
          </w:p>
        </w:tc>
        <w:tc>
          <w:tcPr>
            <w:tcW w:w="180" w:type="dxa"/>
            <w:vAlign w:val="bottom"/>
          </w:tcPr>
          <w:p>
            <w:pPr>
              <w:spacing w:after="0"/>
              <w:rPr>
                <w:sz w:val="19"/>
                <w:szCs w:val="19"/>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53"/>
        </w:trPr>
        <w:tc>
          <w:tcPr>
            <w:tcW w:w="7300" w:type="dxa"/>
            <w:vAlign w:val="bottom"/>
            <w:tcBorders>
              <w:bottom w:val="single" w:sz="8" w:color="6022A6"/>
            </w:tcBorders>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ind w:right="159"/>
              <w:spacing w:after="0"/>
              <w:rPr>
                <w:sz w:val="20"/>
                <w:szCs w:val="20"/>
                <w:color w:val="auto"/>
              </w:rPr>
            </w:pPr>
            <w:r>
              <w:rPr>
                <w:rFonts w:ascii="Arial" w:cs="Arial" w:eastAsia="Arial" w:hAnsi="Arial"/>
                <w:sz w:val="16"/>
                <w:szCs w:val="16"/>
                <w:b w:val="1"/>
                <w:bCs w:val="1"/>
                <w:color w:val="454545"/>
              </w:rPr>
              <w:t>September 30, 2026</w:t>
            </w:r>
          </w:p>
        </w:tc>
        <w:tc>
          <w:tcPr>
            <w:tcW w:w="220" w:type="dxa"/>
            <w:vAlign w:val="bottom"/>
          </w:tcPr>
          <w:p>
            <w:pPr>
              <w:spacing w:after="0"/>
              <w:rPr>
                <w:sz w:val="21"/>
                <w:szCs w:val="21"/>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2025</w:t>
            </w:r>
          </w:p>
        </w:tc>
      </w:tr>
      <w:tr>
        <w:trPr>
          <w:trHeight w:val="252"/>
        </w:trPr>
        <w:tc>
          <w:tcPr>
            <w:tcW w:w="730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Long-term customer receivables</w:t>
            </w:r>
          </w:p>
        </w:tc>
        <w:tc>
          <w:tcPr>
            <w:tcW w:w="18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73</w:t>
            </w:r>
          </w:p>
        </w:tc>
        <w:tc>
          <w:tcPr>
            <w:tcW w:w="220" w:type="dxa"/>
            <w:vAlign w:val="bottom"/>
            <w:tcBorders>
              <w:top w:val="single" w:sz="8" w:color="6022A6"/>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73</w:t>
            </w:r>
          </w:p>
        </w:tc>
      </w:tr>
      <w:tr>
        <w:trPr>
          <w:trHeight w:val="221"/>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Non-income based tax receivables</w:t>
            </w:r>
          </w:p>
        </w:tc>
        <w:tc>
          <w:tcPr>
            <w:tcW w:w="1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9"/>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18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81</w:t>
            </w:r>
          </w:p>
        </w:tc>
        <w:tc>
          <w:tcPr>
            <w:tcW w:w="22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Long-term sundry receivables</w:t>
            </w:r>
          </w:p>
        </w:tc>
        <w:tc>
          <w:tcPr>
            <w:tcW w:w="1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103</w:t>
            </w:r>
          </w:p>
        </w:tc>
        <w:tc>
          <w:tcPr>
            <w:tcW w:w="2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124</w:t>
            </w:r>
          </w:p>
        </w:tc>
      </w:tr>
      <w:tr>
        <w:trPr>
          <w:trHeight w:val="21"/>
        </w:trPr>
        <w:tc>
          <w:tcPr>
            <w:tcW w:w="7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8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long-term receivables – net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170</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190</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Long-term receivables are recognized within All other non-current assets in the Condensed Consolidated Statements of Financial Position.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FINANCING RECEIVABLES</w:t>
      </w:r>
    </w:p>
    <w:p>
      <w:pPr>
        <w:spacing w:after="0" w:line="257" w:lineRule="exact"/>
        <w:rPr>
          <w:sz w:val="20"/>
          <w:szCs w:val="20"/>
          <w:color w:val="auto"/>
        </w:rPr>
      </w:pPr>
    </w:p>
    <w:p>
      <w:pPr>
        <w:ind w:right="720"/>
        <w:spacing w:after="0" w:line="290" w:lineRule="auto"/>
        <w:rPr>
          <w:sz w:val="20"/>
          <w:szCs w:val="20"/>
          <w:color w:val="auto"/>
        </w:rPr>
      </w:pPr>
      <w:r>
        <w:rPr>
          <w:rFonts w:ascii="Arial" w:cs="Arial" w:eastAsia="Arial" w:hAnsi="Arial"/>
          <w:sz w:val="16"/>
          <w:szCs w:val="16"/>
          <w:color w:val="auto"/>
        </w:rPr>
        <w:t>Current financing receivables and non-current financing receivables are recognized within All other current assets and All other non-current assets, respectively, in the Condensed Consolidated Statements of Financial Position.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ind w:right="159"/>
              <w:spacing w:after="0"/>
              <w:rPr>
                <w:sz w:val="20"/>
                <w:szCs w:val="20"/>
                <w:color w:val="auto"/>
              </w:rPr>
            </w:pPr>
            <w:r>
              <w:rPr>
                <w:rFonts w:ascii="Arial" w:cs="Arial" w:eastAsia="Arial" w:hAnsi="Arial"/>
                <w:sz w:val="16"/>
                <w:szCs w:val="16"/>
                <w:b w:val="1"/>
                <w:bCs w:val="1"/>
                <w:color w:val="454545"/>
              </w:rPr>
              <w:t>September 30, 2026</w:t>
            </w:r>
          </w:p>
        </w:tc>
        <w:tc>
          <w:tcPr>
            <w:tcW w:w="22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2025</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8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30"/>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receivable, at amortized cost</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r>
      <w:tr>
        <w:trPr>
          <w:trHeight w:val="227"/>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finance leases, net of deferred income</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9"/>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8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financing receivables – net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92</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95</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6"/>
        </w:trPr>
        <w:tc>
          <w:tcPr>
            <w:tcW w:w="7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6"/>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receivable, at amortized cost</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finance leases, net of deferred income</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144</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9"/>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8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Non-current financing receivables – net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186</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190</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As of September 30, 2026, 2%, 1%, and 2% of financing receivables were over 30 days past due, over 90 days past due, and on nonaccrual, respectively, with the majority of nonaccrual financing receivables secured by collateral. As of December 31, 2025, 1%, 1%, and 1% of financing receivables were over 30 days past due, over 90 days past due, and on nonaccrual, respectively, with the majority of nonaccrual financing receivables secured by collateral.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OPERATING LEASES</w:t>
      </w:r>
    </w:p>
    <w:p>
      <w:pPr>
        <w:spacing w:after="0" w:line="257" w:lineRule="exact"/>
        <w:rPr>
          <w:sz w:val="20"/>
          <w:szCs w:val="20"/>
          <w:color w:val="auto"/>
        </w:rPr>
      </w:pPr>
    </w:p>
    <w:p>
      <w:pPr>
        <w:jc w:val="both"/>
        <w:ind w:right="220"/>
        <w:spacing w:after="0" w:line="265" w:lineRule="auto"/>
        <w:rPr>
          <w:sz w:val="20"/>
          <w:szCs w:val="20"/>
          <w:color w:val="auto"/>
        </w:rPr>
      </w:pPr>
      <w:r>
        <w:rPr>
          <w:rFonts w:ascii="Arial" w:cs="Arial" w:eastAsia="Arial" w:hAnsi="Arial"/>
          <w:sz w:val="16"/>
          <w:szCs w:val="16"/>
          <w:color w:val="auto"/>
        </w:rPr>
        <w:t>As a lessee, the Company leases certain logistics, office, and manufacturing facilities, as well as vehicles and other equipment. Certain of the Company’s leases may include options to extend. Our operating lease right-of-use (“ROU”) assets are recognized within Property, plant, and equipment – net and our operating lease liabilities are recognized within All other current liabilities and All other non-current liabilities in the Condensed Consolidated Statements of Financial Position.</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Operating Lease Assets and Liabilities</w:t>
            </w:r>
          </w:p>
        </w:tc>
        <w:tc>
          <w:tcPr>
            <w:tcW w:w="160" w:type="dxa"/>
            <w:vAlign w:val="bottom"/>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680" w:type="dxa"/>
            <w:vAlign w:val="bottom"/>
          </w:tcPr>
          <w:p>
            <w:pPr>
              <w:spacing w:after="0"/>
              <w:rPr>
                <w:sz w:val="19"/>
                <w:szCs w:val="19"/>
                <w:color w:val="auto"/>
              </w:rPr>
            </w:pPr>
          </w:p>
        </w:tc>
      </w:tr>
      <w:tr>
        <w:trPr>
          <w:trHeight w:val="21"/>
        </w:trPr>
        <w:tc>
          <w:tcPr>
            <w:tcW w:w="746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7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680" w:type="dxa"/>
            <w:vAlign w:val="bottom"/>
            <w:tcBorders>
              <w:bottom w:val="single" w:sz="8" w:color="454545"/>
            </w:tcBorders>
          </w:tcPr>
          <w:p>
            <w:pPr>
              <w:spacing w:after="0" w:line="20" w:lineRule="exact"/>
              <w:rPr>
                <w:sz w:val="1"/>
                <w:szCs w:val="1"/>
                <w:color w:val="auto"/>
              </w:rPr>
            </w:pPr>
          </w:p>
        </w:tc>
      </w:tr>
      <w:tr>
        <w:trPr>
          <w:trHeight w:val="229"/>
        </w:trPr>
        <w:tc>
          <w:tcPr>
            <w:tcW w:w="7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79"/>
              <w:spacing w:after="0"/>
              <w:rPr>
                <w:sz w:val="20"/>
                <w:szCs w:val="20"/>
                <w:color w:val="auto"/>
              </w:rPr>
            </w:pPr>
            <w:r>
              <w:rPr>
                <w:rFonts w:ascii="Arial" w:cs="Arial" w:eastAsia="Arial" w:hAnsi="Arial"/>
                <w:sz w:val="16"/>
                <w:szCs w:val="16"/>
                <w:b w:val="1"/>
                <w:bCs w:val="1"/>
                <w:color w:val="454545"/>
              </w:rPr>
              <w:t>September 30, 2026</w:t>
            </w:r>
          </w:p>
        </w:tc>
        <w:tc>
          <w:tcPr>
            <w:tcW w:w="240" w:type="dxa"/>
            <w:vAlign w:val="bottom"/>
          </w:tcPr>
          <w:p>
            <w:pPr>
              <w:spacing w:after="0"/>
              <w:rPr>
                <w:sz w:val="19"/>
                <w:szCs w:val="19"/>
                <w:color w:val="auto"/>
              </w:rPr>
            </w:pPr>
          </w:p>
        </w:tc>
        <w:tc>
          <w:tcPr>
            <w:tcW w:w="1680" w:type="dxa"/>
            <w:vAlign w:val="bottom"/>
          </w:tcPr>
          <w:p>
            <w:pPr>
              <w:jc w:val="right"/>
              <w:ind w:right="139"/>
              <w:spacing w:after="0"/>
              <w:rPr>
                <w:sz w:val="20"/>
                <w:szCs w:val="20"/>
                <w:color w:val="auto"/>
              </w:rPr>
            </w:pPr>
            <w:r>
              <w:rPr>
                <w:rFonts w:ascii="Arial" w:cs="Arial" w:eastAsia="Arial" w:hAnsi="Arial"/>
                <w:sz w:val="16"/>
                <w:szCs w:val="16"/>
                <w:b w:val="1"/>
                <w:bCs w:val="1"/>
                <w:color w:val="454545"/>
                <w:w w:val="99"/>
              </w:rPr>
              <w:t>December 31, 2025</w:t>
            </w:r>
          </w:p>
        </w:tc>
      </w:tr>
      <w:tr>
        <w:trPr>
          <w:trHeight w:val="21"/>
        </w:trPr>
        <w:tc>
          <w:tcPr>
            <w:tcW w:w="7460" w:type="dxa"/>
            <w:vAlign w:val="bottom"/>
            <w:tcBorders>
              <w:bottom w:val="single" w:sz="8" w:color="6400A0"/>
            </w:tcBorders>
          </w:tcPr>
          <w:p>
            <w:pPr>
              <w:spacing w:after="0" w:line="20" w:lineRule="exact"/>
              <w:rPr>
                <w:sz w:val="1"/>
                <w:szCs w:val="1"/>
                <w:color w:val="auto"/>
              </w:rPr>
            </w:pPr>
          </w:p>
        </w:tc>
        <w:tc>
          <w:tcPr>
            <w:tcW w:w="160" w:type="dxa"/>
            <w:vAlign w:val="bottom"/>
            <w:tcBorders>
              <w:bottom w:val="single" w:sz="8" w:color="6400A0"/>
            </w:tcBorders>
          </w:tcPr>
          <w:p>
            <w:pPr>
              <w:spacing w:after="0" w:line="20" w:lineRule="exact"/>
              <w:rPr>
                <w:sz w:val="1"/>
                <w:szCs w:val="1"/>
                <w:color w:val="auto"/>
              </w:rPr>
            </w:pPr>
          </w:p>
        </w:tc>
        <w:tc>
          <w:tcPr>
            <w:tcW w:w="170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1680" w:type="dxa"/>
            <w:vAlign w:val="bottom"/>
            <w:tcBorders>
              <w:bottom w:val="single" w:sz="8" w:color="6400A0"/>
            </w:tcBorders>
          </w:tcPr>
          <w:p>
            <w:pPr>
              <w:spacing w:after="0" w:line="20" w:lineRule="exact"/>
              <w:rPr>
                <w:sz w:val="1"/>
                <w:szCs w:val="1"/>
                <w:color w:val="auto"/>
              </w:rPr>
            </w:pPr>
          </w:p>
        </w:tc>
      </w:tr>
      <w:tr>
        <w:trPr>
          <w:trHeight w:val="255"/>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Operating lease ROU assets, net of amortization</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383</w:t>
            </w: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410</w:t>
            </w:r>
          </w:p>
        </w:tc>
      </w:tr>
      <w:tr>
        <w:trPr>
          <w:trHeight w:val="221"/>
        </w:trPr>
        <w:tc>
          <w:tcPr>
            <w:tcW w:w="7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Current operating lease liabilities</w:t>
            </w:r>
          </w:p>
        </w:tc>
        <w:tc>
          <w:tcPr>
            <w:tcW w:w="16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2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w:t>
            </w:r>
          </w:p>
        </w:tc>
      </w:tr>
      <w:tr>
        <w:trPr>
          <w:trHeight w:val="29"/>
        </w:trPr>
        <w:tc>
          <w:tcPr>
            <w:tcW w:w="7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1"/>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Non-current operating lease liabilities</w:t>
            </w:r>
          </w:p>
        </w:tc>
        <w:tc>
          <w:tcPr>
            <w:tcW w:w="160" w:type="dxa"/>
            <w:vAlign w:val="bottom"/>
            <w:tcBorders>
              <w:bottom w:val="single" w:sz="8" w:color="E4E4E4"/>
            </w:tcBorders>
            <w:shd w:val="clear" w:color="auto" w:fill="E4E4E4"/>
          </w:tcPr>
          <w:p>
            <w:pPr>
              <w:spacing w:after="0"/>
              <w:rPr>
                <w:sz w:val="22"/>
                <w:szCs w:val="22"/>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255</w:t>
            </w:r>
          </w:p>
        </w:tc>
        <w:tc>
          <w:tcPr>
            <w:tcW w:w="240" w:type="dxa"/>
            <w:vAlign w:val="bottom"/>
            <w:tcBorders>
              <w:bottom w:val="single" w:sz="8" w:color="E4E4E4"/>
            </w:tcBorders>
            <w:shd w:val="clear" w:color="auto" w:fill="E4E4E4"/>
          </w:tcPr>
          <w:p>
            <w:pPr>
              <w:spacing w:after="0"/>
              <w:rPr>
                <w:sz w:val="22"/>
                <w:szCs w:val="22"/>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284</w:t>
            </w:r>
          </w:p>
        </w:tc>
      </w:tr>
      <w:tr>
        <w:trPr>
          <w:trHeight w:val="229"/>
        </w:trPr>
        <w:tc>
          <w:tcPr>
            <w:tcW w:w="7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operating lease liabilities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419</w:t>
            </w:r>
          </w:p>
        </w:tc>
      </w:tr>
      <w:tr>
        <w:trPr>
          <w:trHeight w:val="21"/>
        </w:trPr>
        <w:tc>
          <w:tcPr>
            <w:tcW w:w="7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The total lease expense related to our operating lease portfolio was $59 million and $63 million for the three months ended September 30, 2026 and 2025, respectively, and $182 million and $185 million for the nine months ended September 30, 2026 and 2025, respectively.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 GOODWILL, AND OTHER INTANGIBLE ASSETS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Intelerad</w:t>
      </w:r>
    </w:p>
    <w:p>
      <w:pPr>
        <w:spacing w:after="0" w:line="19" w:lineRule="exact"/>
        <w:rPr>
          <w:sz w:val="20"/>
          <w:szCs w:val="20"/>
          <w:color w:val="auto"/>
        </w:rPr>
      </w:pPr>
    </w:p>
    <w:p>
      <w:pPr>
        <w:jc w:val="both"/>
        <w:ind w:right="60"/>
        <w:spacing w:after="0" w:line="264" w:lineRule="auto"/>
        <w:rPr>
          <w:sz w:val="20"/>
          <w:szCs w:val="20"/>
          <w:color w:val="auto"/>
        </w:rPr>
      </w:pPr>
      <w:r>
        <w:rPr>
          <w:rFonts w:ascii="Arial" w:cs="Arial" w:eastAsia="Arial" w:hAnsi="Arial"/>
          <w:sz w:val="16"/>
          <w:szCs w:val="16"/>
          <w:color w:val="auto"/>
        </w:rPr>
        <w:t>On March 18, 2026, the Company acquired 100% of the stock of Intelerad for approximately $2,293 million in cash, net of cash acquired. The purchase was funded by the proceeds of senior unsecured notes issued in the fourth quarter of 2025, together with new borrowings under a delayed draw term loan facility and cash on hand. See Note 8, “Borrowings” for additional information on the borrowings. Intelerad is included in the Company’s AIS segment.</w:t>
      </w:r>
    </w:p>
    <w:p>
      <w:pPr>
        <w:spacing w:after="0" w:line="200"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Intelerad is a leading medical imaging software and digital enterprise workflow solutions company, which the Company believes complements our existing portfolio.</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preliminary fair values of the assets and liabilities assumed in connection with the acquisition of Intelerad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00" w:type="dxa"/>
            <w:vAlign w:val="bottom"/>
            <w:tcBorders>
              <w:bottom w:val="single" w:sz="8" w:color="6022A6"/>
            </w:tcBorders>
          </w:tcPr>
          <w:p>
            <w:pPr>
              <w:spacing w:after="0"/>
              <w:rPr>
                <w:sz w:val="20"/>
                <w:szCs w:val="20"/>
                <w:color w:val="auto"/>
              </w:rPr>
            </w:pPr>
          </w:p>
        </w:tc>
        <w:tc>
          <w:tcPr>
            <w:tcW w:w="220" w:type="dxa"/>
            <w:vAlign w:val="bottom"/>
            <w:tcBorders>
              <w:bottom w:val="single" w:sz="8" w:color="6022A6"/>
            </w:tcBorders>
          </w:tcPr>
          <w:p>
            <w:pPr>
              <w:spacing w:after="0"/>
              <w:rPr>
                <w:sz w:val="20"/>
                <w:szCs w:val="20"/>
                <w:color w:val="auto"/>
              </w:rPr>
            </w:pPr>
          </w:p>
        </w:tc>
        <w:tc>
          <w:tcPr>
            <w:tcW w:w="21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Preliminary allocation</w:t>
            </w:r>
          </w:p>
        </w:tc>
      </w:tr>
      <w:tr>
        <w:trPr>
          <w:trHeight w:val="236"/>
        </w:trPr>
        <w:tc>
          <w:tcPr>
            <w:tcW w:w="8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Receivables</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r>
      <w:tr>
        <w:trPr>
          <w:trHeight w:val="228"/>
        </w:trPr>
        <w:tc>
          <w:tcPr>
            <w:tcW w:w="8900" w:type="dxa"/>
            <w:vAlign w:val="bottom"/>
          </w:tcPr>
          <w:p>
            <w:pPr>
              <w:ind w:left="20"/>
              <w:spacing w:after="0"/>
              <w:rPr>
                <w:sz w:val="20"/>
                <w:szCs w:val="20"/>
                <w:color w:val="auto"/>
              </w:rPr>
            </w:pPr>
            <w:r>
              <w:rPr>
                <w:rFonts w:ascii="Arial" w:cs="Arial" w:eastAsia="Arial" w:hAnsi="Arial"/>
                <w:sz w:val="16"/>
                <w:szCs w:val="16"/>
                <w:color w:val="auto"/>
              </w:rPr>
              <w:t>Contract assets</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9"/>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8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Property, plant, and equipment</w:t>
            </w:r>
          </w:p>
        </w:tc>
        <w:tc>
          <w:tcPr>
            <w:tcW w:w="220" w:type="dxa"/>
            <w:vAlign w:val="bottom"/>
            <w:tcBorders>
              <w:bottom w:val="single" w:sz="8" w:color="E4E4E4"/>
            </w:tcBorders>
            <w:shd w:val="clear" w:color="auto" w:fill="E4E4E4"/>
          </w:tcPr>
          <w:p>
            <w:pPr>
              <w:spacing w:after="0"/>
              <w:rPr>
                <w:sz w:val="20"/>
                <w:szCs w:val="20"/>
                <w:color w:val="auto"/>
              </w:rPr>
            </w:pPr>
          </w:p>
        </w:tc>
        <w:tc>
          <w:tcPr>
            <w:tcW w:w="2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r>
      <w:tr>
        <w:trPr>
          <w:trHeight w:val="227"/>
        </w:trPr>
        <w:tc>
          <w:tcPr>
            <w:tcW w:w="89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1,668</w:t>
            </w:r>
          </w:p>
        </w:tc>
      </w:tr>
      <w:tr>
        <w:trPr>
          <w:trHeight w:val="29"/>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6"/>
        </w:trPr>
        <w:tc>
          <w:tcPr>
            <w:tcW w:w="8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intangible assets</w:t>
            </w:r>
          </w:p>
        </w:tc>
        <w:tc>
          <w:tcPr>
            <w:tcW w:w="220" w:type="dxa"/>
            <w:vAlign w:val="bottom"/>
            <w:tcBorders>
              <w:bottom w:val="single" w:sz="8" w:color="E4E4E4"/>
            </w:tcBorders>
            <w:shd w:val="clear" w:color="auto" w:fill="E4E4E4"/>
          </w:tcPr>
          <w:p>
            <w:pPr>
              <w:spacing w:after="0"/>
              <w:rPr>
                <w:sz w:val="20"/>
                <w:szCs w:val="20"/>
                <w:color w:val="auto"/>
              </w:rPr>
            </w:pPr>
          </w:p>
        </w:tc>
        <w:tc>
          <w:tcPr>
            <w:tcW w:w="2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803</w:t>
            </w:r>
          </w:p>
        </w:tc>
      </w:tr>
      <w:tr>
        <w:trPr>
          <w:trHeight w:val="228"/>
        </w:trPr>
        <w:tc>
          <w:tcPr>
            <w:tcW w:w="8900" w:type="dxa"/>
            <w:vAlign w:val="bottom"/>
          </w:tcPr>
          <w:p>
            <w:pPr>
              <w:ind w:left="20"/>
              <w:spacing w:after="0"/>
              <w:rPr>
                <w:sz w:val="20"/>
                <w:szCs w:val="20"/>
                <w:color w:val="auto"/>
              </w:rPr>
            </w:pPr>
            <w:r>
              <w:rPr>
                <w:rFonts w:ascii="Arial" w:cs="Arial" w:eastAsia="Arial" w:hAnsi="Arial"/>
                <w:sz w:val="16"/>
                <w:szCs w:val="16"/>
                <w:color w:val="auto"/>
              </w:rPr>
              <w:t>All other current and non-current assets</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9"/>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8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E4E4E4"/>
            </w:tcBorders>
            <w:shd w:val="clear" w:color="auto" w:fill="E4E4E4"/>
          </w:tcPr>
          <w:p>
            <w:pPr>
              <w:spacing w:after="0"/>
              <w:rPr>
                <w:sz w:val="20"/>
                <w:szCs w:val="20"/>
                <w:color w:val="auto"/>
              </w:rPr>
            </w:pPr>
          </w:p>
        </w:tc>
        <w:tc>
          <w:tcPr>
            <w:tcW w:w="2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r>
      <w:tr>
        <w:trPr>
          <w:trHeight w:val="228"/>
        </w:trPr>
        <w:tc>
          <w:tcPr>
            <w:tcW w:w="8900" w:type="dxa"/>
            <w:vAlign w:val="bottom"/>
          </w:tcPr>
          <w:p>
            <w:pPr>
              <w:ind w:left="20"/>
              <w:spacing w:after="0"/>
              <w:rPr>
                <w:sz w:val="20"/>
                <w:szCs w:val="20"/>
                <w:color w:val="auto"/>
              </w:rPr>
            </w:pPr>
            <w:r>
              <w:rPr>
                <w:rFonts w:ascii="Arial" w:cs="Arial" w:eastAsia="Arial" w:hAnsi="Arial"/>
                <w:sz w:val="16"/>
                <w:szCs w:val="16"/>
                <w:color w:val="auto"/>
              </w:rPr>
              <w:t>Contract liabilities</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9"/>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8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E4E4E4"/>
            </w:tcBorders>
            <w:shd w:val="clear" w:color="auto" w:fill="E4E4E4"/>
          </w:tcPr>
          <w:p>
            <w:pPr>
              <w:spacing w:after="0"/>
              <w:rPr>
                <w:sz w:val="20"/>
                <w:szCs w:val="20"/>
                <w:color w:val="auto"/>
              </w:rPr>
            </w:pPr>
          </w:p>
        </w:tc>
        <w:tc>
          <w:tcPr>
            <w:tcW w:w="2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r>
      <w:tr>
        <w:trPr>
          <w:trHeight w:val="227"/>
        </w:trPr>
        <w:tc>
          <w:tcPr>
            <w:tcW w:w="89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9"/>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6"/>
        </w:trPr>
        <w:tc>
          <w:tcPr>
            <w:tcW w:w="89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All other non-current liabilities</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E4E4E4"/>
          </w:tcPr>
          <w:p>
            <w:pPr>
              <w:spacing w:after="0"/>
              <w:rPr>
                <w:sz w:val="22"/>
                <w:szCs w:val="22"/>
                <w:color w:val="auto"/>
              </w:rPr>
            </w:pPr>
          </w:p>
        </w:tc>
        <w:tc>
          <w:tcPr>
            <w:tcW w:w="2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(90)</w:t>
            </w:r>
          </w:p>
        </w:tc>
      </w:tr>
      <w:tr>
        <w:trPr>
          <w:trHeight w:val="229"/>
        </w:trPr>
        <w:tc>
          <w:tcPr>
            <w:tcW w:w="8900" w:type="dxa"/>
            <w:vAlign w:val="bottom"/>
          </w:tcPr>
          <w:p>
            <w:pPr>
              <w:ind w:left="20"/>
              <w:spacing w:after="0"/>
              <w:rPr>
                <w:sz w:val="20"/>
                <w:szCs w:val="20"/>
                <w:color w:val="auto"/>
              </w:rPr>
            </w:pPr>
            <w:r>
              <w:rPr>
                <w:rFonts w:ascii="Arial" w:cs="Arial" w:eastAsia="Arial" w:hAnsi="Arial"/>
                <w:sz w:val="16"/>
                <w:szCs w:val="16"/>
                <w:b w:val="1"/>
                <w:bCs w:val="1"/>
                <w:color w:val="auto"/>
              </w:rPr>
              <w:t>Total net assets post acquisition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2120" w:type="dxa"/>
            <w:vAlign w:val="bottom"/>
          </w:tcPr>
          <w:p>
            <w:pPr>
              <w:jc w:val="right"/>
              <w:spacing w:after="0"/>
              <w:rPr>
                <w:sz w:val="20"/>
                <w:szCs w:val="20"/>
                <w:color w:val="auto"/>
              </w:rPr>
            </w:pPr>
            <w:r>
              <w:rPr>
                <w:rFonts w:ascii="Arial" w:cs="Arial" w:eastAsia="Arial" w:hAnsi="Arial"/>
                <w:sz w:val="16"/>
                <w:szCs w:val="16"/>
                <w:b w:val="1"/>
                <w:bCs w:val="1"/>
                <w:color w:val="auto"/>
              </w:rPr>
              <w:t>2,293</w:t>
            </w:r>
          </w:p>
        </w:tc>
      </w:tr>
      <w:tr>
        <w:trPr>
          <w:trHeight w:val="21"/>
        </w:trPr>
        <w:tc>
          <w:tcPr>
            <w:tcW w:w="8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All other non-current liabilities primarily includes tax reserves.</w:t>
      </w:r>
    </w:p>
    <w:p>
      <w:pPr>
        <w:spacing w:after="0" w:line="248"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The purchase price allocation required estimates and assumptions, including, but not limited to, estimates of future cash flows, direct costs, and appropriate discount rates. As of September 30, 2026, we recorded measurement period adjustments based on new information regarding facts and circumstances that existed as of the acquisition date, resulting in a net increase to goodwill of $83 million. These adjustments primarily relate to Other intangible assets (primarily trademark), Deferred income taxes, and Contract assets. While all amounts remain subject to adjustments, the areas subject to the most significant potential adjustments are Other intangible assets and Deferred income taxes. The Company’s management believes the amounts recognized for the assets acquired and liabilities assumed are based on reasonable estimates and assumptions.</w:t>
      </w:r>
    </w:p>
    <w:p>
      <w:pPr>
        <w:spacing w:after="0" w:line="217"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Other intangibles relate to $803 million of definite-lived intangible assets, primarily consisting of developed technology, customer relationships, and trademarks. The acquired definite-lived intangibles are being amortized over a weighted-average estimated useful life of approximately 12 years. The estimated fair value of intangibles was determined using the income approach, which is a valuation technique that provides an estimate of the fair value of an asset based on market participant expectations of cash flows an asset would generate over its useful life.</w:t>
      </w:r>
    </w:p>
    <w:p>
      <w:pPr>
        <w:spacing w:after="0" w:line="200"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Goodwill recognized in connection with the Intelerad acquisition, recorded within the AIS segment, is not deductible for income tax purposes. The goodwill primarily reflects expected synergies and other strategic benefits associated with the integration of Intelerad’s technology into the Company’s market offerings and imaging technologies.</w:t>
      </w:r>
    </w:p>
    <w:p>
      <w:pPr>
        <w:spacing w:after="0" w:line="205"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Deferred income tax liabilities include the expected U.S. federal, state, and foreign tax consequences associated with temporary differences between the preliminary fair values of the assets acquired and liabilities assumed and the respective tax basis.</w:t>
      </w:r>
    </w:p>
    <w:p>
      <w:pPr>
        <w:spacing w:after="0" w:line="183"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Our unaudited supplemental pro forma consolidated financial information for the three and nine months ended September 30, 2026 and 2025, including the results of operations for Intelerad as if the Intelerad acquisition had been completed on January 1, 2025,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3420" w:type="dxa"/>
            <w:vAlign w:val="bottom"/>
            <w:gridSpan w:val="4"/>
          </w:tcPr>
          <w:p>
            <w:pPr>
              <w:ind w:left="200"/>
              <w:spacing w:after="0"/>
              <w:rPr>
                <w:sz w:val="20"/>
                <w:szCs w:val="20"/>
                <w:color w:val="auto"/>
              </w:rPr>
            </w:pPr>
            <w:r>
              <w:rPr>
                <w:rFonts w:ascii="Arial" w:cs="Arial" w:eastAsia="Arial" w:hAnsi="Arial"/>
                <w:sz w:val="16"/>
                <w:szCs w:val="16"/>
                <w:b w:val="1"/>
                <w:bCs w:val="1"/>
                <w:color w:val="454545"/>
              </w:rPr>
              <w:t>For the three months ended September</w:t>
            </w:r>
          </w:p>
        </w:tc>
        <w:tc>
          <w:tcPr>
            <w:tcW w:w="120" w:type="dxa"/>
            <w:vAlign w:val="bottom"/>
          </w:tcPr>
          <w:p>
            <w:pPr>
              <w:spacing w:after="0"/>
              <w:rPr>
                <w:sz w:val="16"/>
                <w:szCs w:val="16"/>
                <w:color w:val="auto"/>
              </w:rPr>
            </w:pPr>
          </w:p>
        </w:tc>
        <w:tc>
          <w:tcPr>
            <w:tcW w:w="322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26"/>
        </w:trPr>
        <w:tc>
          <w:tcPr>
            <w:tcW w:w="4480" w:type="dxa"/>
            <w:vAlign w:val="bottom"/>
          </w:tcPr>
          <w:p>
            <w:pPr>
              <w:spacing w:after="0"/>
              <w:rPr>
                <w:sz w:val="19"/>
                <w:szCs w:val="19"/>
                <w:color w:val="auto"/>
              </w:rPr>
            </w:pPr>
          </w:p>
        </w:tc>
        <w:tc>
          <w:tcPr>
            <w:tcW w:w="1100" w:type="dxa"/>
            <w:vAlign w:val="bottom"/>
            <w:tcBorders>
              <w:bottom w:val="single" w:sz="8" w:color="454545"/>
            </w:tcBorders>
          </w:tcPr>
          <w:p>
            <w:pPr>
              <w:spacing w:after="0"/>
              <w:rPr>
                <w:sz w:val="19"/>
                <w:szCs w:val="19"/>
                <w:color w:val="auto"/>
              </w:rPr>
            </w:pPr>
          </w:p>
        </w:tc>
        <w:tc>
          <w:tcPr>
            <w:tcW w:w="960" w:type="dxa"/>
            <w:vAlign w:val="bottom"/>
            <w:tcBorders>
              <w:bottom w:val="single" w:sz="8" w:color="454545"/>
            </w:tcBorders>
          </w:tcPr>
          <w:p>
            <w:pPr>
              <w:jc w:val="right"/>
              <w:ind w:right="219"/>
              <w:spacing w:after="0"/>
              <w:rPr>
                <w:sz w:val="20"/>
                <w:szCs w:val="20"/>
                <w:color w:val="auto"/>
              </w:rPr>
            </w:pPr>
            <w:r>
              <w:rPr>
                <w:rFonts w:ascii="Arial" w:cs="Arial" w:eastAsia="Arial" w:hAnsi="Arial"/>
                <w:sz w:val="16"/>
                <w:szCs w:val="16"/>
                <w:b w:val="1"/>
                <w:bCs w:val="1"/>
                <w:color w:val="454545"/>
              </w:rPr>
              <w:t>30</w:t>
            </w:r>
          </w:p>
        </w:tc>
        <w:tc>
          <w:tcPr>
            <w:tcW w:w="1280" w:type="dxa"/>
            <w:vAlign w:val="bottom"/>
            <w:tcBorders>
              <w:bottom w:val="single" w:sz="8" w:color="454545"/>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454545"/>
            </w:tcBorders>
          </w:tcPr>
          <w:p>
            <w:pPr>
              <w:spacing w:after="0"/>
              <w:rPr>
                <w:sz w:val="19"/>
                <w:szCs w:val="19"/>
                <w:color w:val="auto"/>
              </w:rPr>
            </w:pPr>
          </w:p>
        </w:tc>
        <w:tc>
          <w:tcPr>
            <w:tcW w:w="1520" w:type="dxa"/>
            <w:vAlign w:val="bottom"/>
            <w:tcBorders>
              <w:bottom w:val="single" w:sz="8" w:color="454545"/>
            </w:tcBorders>
          </w:tcPr>
          <w:p>
            <w:pPr>
              <w:spacing w:after="0"/>
              <w:rPr>
                <w:sz w:val="19"/>
                <w:szCs w:val="19"/>
                <w:color w:val="auto"/>
              </w:rPr>
            </w:pPr>
          </w:p>
        </w:tc>
        <w:tc>
          <w:tcPr>
            <w:tcW w:w="420" w:type="dxa"/>
            <w:vAlign w:val="bottom"/>
            <w:tcBorders>
              <w:bottom w:val="single" w:sz="8" w:color="454545"/>
            </w:tcBorders>
          </w:tcPr>
          <w:p>
            <w:pPr>
              <w:spacing w:after="0"/>
              <w:rPr>
                <w:sz w:val="19"/>
                <w:szCs w:val="19"/>
                <w:color w:val="auto"/>
              </w:rPr>
            </w:pPr>
          </w:p>
        </w:tc>
        <w:tc>
          <w:tcPr>
            <w:tcW w:w="1280" w:type="dxa"/>
            <w:vAlign w:val="bottom"/>
            <w:tcBorders>
              <w:bottom w:val="single" w:sz="8" w:color="454545"/>
            </w:tcBorders>
          </w:tcPr>
          <w:p>
            <w:pPr>
              <w:spacing w:after="0"/>
              <w:rPr>
                <w:sz w:val="19"/>
                <w:szCs w:val="19"/>
                <w:color w:val="auto"/>
              </w:rPr>
            </w:pPr>
          </w:p>
        </w:tc>
      </w:tr>
      <w:tr>
        <w:trPr>
          <w:trHeight w:val="234"/>
        </w:trPr>
        <w:tc>
          <w:tcPr>
            <w:tcW w:w="4480" w:type="dxa"/>
            <w:vAlign w:val="bottom"/>
            <w:tcBorders>
              <w:bottom w:val="single" w:sz="8" w:color="6022A6"/>
            </w:tcBorders>
          </w:tcPr>
          <w:p>
            <w:pPr>
              <w:spacing w:after="0"/>
              <w:rPr>
                <w:sz w:val="20"/>
                <w:szCs w:val="20"/>
                <w:color w:val="auto"/>
              </w:rPr>
            </w:pPr>
          </w:p>
        </w:tc>
        <w:tc>
          <w:tcPr>
            <w:tcW w:w="110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2026</w:t>
            </w:r>
          </w:p>
        </w:tc>
        <w:tc>
          <w:tcPr>
            <w:tcW w:w="960" w:type="dxa"/>
            <w:vAlign w:val="bottom"/>
            <w:tcBorders>
              <w:bottom w:val="single" w:sz="8" w:color="6022A6"/>
            </w:tcBorders>
          </w:tcPr>
          <w:p>
            <w:pPr>
              <w:spacing w:after="0"/>
              <w:rPr>
                <w:sz w:val="20"/>
                <w:szCs w:val="20"/>
                <w:color w:val="auto"/>
              </w:rPr>
            </w:pPr>
          </w:p>
        </w:tc>
        <w:tc>
          <w:tcPr>
            <w:tcW w:w="1280" w:type="dxa"/>
            <w:vAlign w:val="bottom"/>
            <w:tcBorders>
              <w:bottom w:val="single" w:sz="8" w:color="6022A6"/>
            </w:tcBorders>
          </w:tcPr>
          <w:p>
            <w:pPr>
              <w:jc w:val="right"/>
              <w:ind w:right="579"/>
              <w:spacing w:after="0"/>
              <w:rPr>
                <w:sz w:val="20"/>
                <w:szCs w:val="20"/>
                <w:color w:val="auto"/>
              </w:rPr>
            </w:pPr>
            <w:r>
              <w:rPr>
                <w:rFonts w:ascii="Arial" w:cs="Arial" w:eastAsia="Arial" w:hAnsi="Arial"/>
                <w:sz w:val="16"/>
                <w:szCs w:val="16"/>
                <w:b w:val="1"/>
                <w:bCs w:val="1"/>
                <w:color w:val="454545"/>
              </w:rPr>
              <w:t>2025</w:t>
            </w:r>
          </w:p>
        </w:tc>
        <w:tc>
          <w:tcPr>
            <w:tcW w:w="80" w:type="dxa"/>
            <w:vAlign w:val="bottom"/>
            <w:tcBorders>
              <w:bottom w:val="single" w:sz="8" w:color="6022A6"/>
            </w:tcBorders>
          </w:tcPr>
          <w:p>
            <w:pPr>
              <w:spacing w:after="0"/>
              <w:rPr>
                <w:sz w:val="20"/>
                <w:szCs w:val="20"/>
                <w:color w:val="auto"/>
              </w:rPr>
            </w:pPr>
          </w:p>
        </w:tc>
        <w:tc>
          <w:tcPr>
            <w:tcW w:w="120" w:type="dxa"/>
            <w:vAlign w:val="bottom"/>
            <w:tcBorders>
              <w:bottom w:val="single" w:sz="8" w:color="6022A6"/>
            </w:tcBorders>
          </w:tcPr>
          <w:p>
            <w:pPr>
              <w:spacing w:after="0"/>
              <w:rPr>
                <w:sz w:val="20"/>
                <w:szCs w:val="20"/>
                <w:color w:val="auto"/>
              </w:rPr>
            </w:pPr>
          </w:p>
        </w:tc>
        <w:tc>
          <w:tcPr>
            <w:tcW w:w="1520" w:type="dxa"/>
            <w:vAlign w:val="bottom"/>
            <w:tcBorders>
              <w:bottom w:val="single" w:sz="8" w:color="6022A6"/>
            </w:tcBorders>
          </w:tcPr>
          <w:p>
            <w:pPr>
              <w:jc w:val="right"/>
              <w:ind w:right="559"/>
              <w:spacing w:after="0"/>
              <w:rPr>
                <w:sz w:val="20"/>
                <w:szCs w:val="20"/>
                <w:color w:val="auto"/>
              </w:rPr>
            </w:pPr>
            <w:r>
              <w:rPr>
                <w:rFonts w:ascii="Arial" w:cs="Arial" w:eastAsia="Arial" w:hAnsi="Arial"/>
                <w:sz w:val="16"/>
                <w:szCs w:val="16"/>
                <w:b w:val="1"/>
                <w:bCs w:val="1"/>
                <w:color w:val="454545"/>
              </w:rPr>
              <w:t>2026</w:t>
            </w:r>
          </w:p>
        </w:tc>
        <w:tc>
          <w:tcPr>
            <w:tcW w:w="420" w:type="dxa"/>
            <w:vAlign w:val="bottom"/>
            <w:tcBorders>
              <w:bottom w:val="single" w:sz="8" w:color="6022A6"/>
            </w:tcBorders>
          </w:tcPr>
          <w:p>
            <w:pPr>
              <w:spacing w:after="0"/>
              <w:rPr>
                <w:sz w:val="20"/>
                <w:szCs w:val="20"/>
                <w:color w:val="auto"/>
              </w:rPr>
            </w:pPr>
          </w:p>
        </w:tc>
        <w:tc>
          <w:tcPr>
            <w:tcW w:w="1280" w:type="dxa"/>
            <w:vAlign w:val="bottom"/>
            <w:tcBorders>
              <w:bottom w:val="single" w:sz="8" w:color="6022A6"/>
            </w:tcBorders>
          </w:tcPr>
          <w:p>
            <w:pPr>
              <w:jc w:val="right"/>
              <w:ind w:right="579"/>
              <w:spacing w:after="0"/>
              <w:rPr>
                <w:sz w:val="20"/>
                <w:szCs w:val="20"/>
                <w:color w:val="auto"/>
              </w:rPr>
            </w:pPr>
            <w:r>
              <w:rPr>
                <w:rFonts w:ascii="Arial" w:cs="Arial" w:eastAsia="Arial" w:hAnsi="Arial"/>
                <w:sz w:val="16"/>
                <w:szCs w:val="16"/>
                <w:b w:val="1"/>
                <w:bCs w:val="1"/>
                <w:color w:val="454545"/>
              </w:rPr>
              <w:t>2025</w:t>
            </w:r>
          </w:p>
        </w:tc>
      </w:tr>
      <w:tr>
        <w:trPr>
          <w:trHeight w:val="237"/>
        </w:trPr>
        <w:tc>
          <w:tcPr>
            <w:tcW w:w="4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Total revenues</w:t>
            </w:r>
          </w:p>
        </w:tc>
        <w:tc>
          <w:tcPr>
            <w:tcW w:w="1100" w:type="dxa"/>
            <w:vAlign w:val="bottom"/>
            <w:tcBorders>
              <w:bottom w:val="single" w:sz="8" w:color="E4E4E4"/>
            </w:tcBorders>
            <w:shd w:val="clear" w:color="auto" w:fill="E4E4E4"/>
          </w:tcPr>
          <w:p>
            <w:pPr>
              <w:jc w:val="right"/>
              <w:ind w:right="8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5,513 $</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5,201</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15,992</w:t>
            </w:r>
          </w:p>
        </w:tc>
        <w:tc>
          <w:tcPr>
            <w:tcW w:w="42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15,099</w:t>
            </w:r>
          </w:p>
        </w:tc>
      </w:tr>
      <w:tr>
        <w:trPr>
          <w:trHeight w:val="228"/>
        </w:trPr>
        <w:tc>
          <w:tcPr>
            <w:tcW w:w="4480" w:type="dxa"/>
            <w:vAlign w:val="bottom"/>
          </w:tcPr>
          <w:p>
            <w:pPr>
              <w:ind w:left="20"/>
              <w:spacing w:after="0"/>
              <w:rPr>
                <w:sz w:val="20"/>
                <w:szCs w:val="20"/>
                <w:color w:val="auto"/>
              </w:rPr>
            </w:pPr>
            <w:r>
              <w:rPr>
                <w:rFonts w:ascii="Arial" w:cs="Arial" w:eastAsia="Arial" w:hAnsi="Arial"/>
                <w:sz w:val="16"/>
                <w:szCs w:val="16"/>
                <w:color w:val="auto"/>
              </w:rPr>
              <w:t>Net income attributable to GE HealthCare</w:t>
            </w:r>
          </w:p>
        </w:tc>
        <w:tc>
          <w:tcPr>
            <w:tcW w:w="1100" w:type="dxa"/>
            <w:vAlign w:val="bottom"/>
          </w:tcPr>
          <w:p>
            <w:pPr>
              <w:spacing w:after="0"/>
              <w:rPr>
                <w:sz w:val="19"/>
                <w:szCs w:val="19"/>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color w:val="auto"/>
              </w:rPr>
              <w:t>618</w:t>
            </w:r>
          </w:p>
        </w:tc>
        <w:tc>
          <w:tcPr>
            <w:tcW w:w="1280" w:type="dxa"/>
            <w:vAlign w:val="bottom"/>
          </w:tcPr>
          <w:p>
            <w:pPr>
              <w:jc w:val="right"/>
              <w:spacing w:after="0"/>
              <w:rPr>
                <w:sz w:val="20"/>
                <w:szCs w:val="20"/>
                <w:color w:val="auto"/>
              </w:rPr>
            </w:pPr>
            <w:r>
              <w:rPr>
                <w:rFonts w:ascii="Arial" w:cs="Arial" w:eastAsia="Arial" w:hAnsi="Arial"/>
                <w:sz w:val="16"/>
                <w:szCs w:val="16"/>
                <w:color w:val="auto"/>
              </w:rPr>
              <w:t>425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1,589</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1,407</w:t>
            </w:r>
          </w:p>
        </w:tc>
      </w:tr>
      <w:tr>
        <w:trPr>
          <w:trHeight w:val="29"/>
        </w:trPr>
        <w:tc>
          <w:tcPr>
            <w:tcW w:w="4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unaudited supplemental pro forma consolidated financial information was prepared using the acquisition method of accounting and was based on the historical financial information of Intelerad. In order to reflect the occurrence of the acquisition on January 1, 2025, the unaudited supplemental pro forma financial information includes adjustments to reflect the following: (i) incremental amortization expense based on the current preliminary fair values of the identifiable intangible assets; (ii) the additional interest expense associated with the issuance of debt to finance the acquisition; and (iii) the reclassification of transaction and other acquisition-related costs incurred during the three and nine months ended September 30, 2026, to the three and nine months ended September 30, 2025. The unaudited supplemental pro forma financial information is not necessarily indicative of what the consolidated results of operations would have been had the acquisition been completed on January 1, 2025. In addition, the unaudited pro forma financial information is not a projection of future results of operations of the combined company, nor does it reflect the expected realization of any synergies or cost savings associated with the acquisition.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icometrix</w:t>
      </w:r>
    </w:p>
    <w:p>
      <w:pPr>
        <w:spacing w:after="0" w:line="19"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On November 7, 2025, the Company acquired 100% of the stock of icometrix NV (“icometrix”) for approximately $98 million of upfront payment, net of cash acquired and potential earn-out payments up to $35 million based on sales targets over two years. icometrix is focused on providing AI-powered brain imaging analysis for neurological disorders such as Alzheimer’s disease. We are in the process of integrating the icometrix platform with our MRI systems. icometrix is included in the Company’s AIS segment.</w:t>
      </w:r>
    </w:p>
    <w:p>
      <w:pPr>
        <w:spacing w:after="0" w:line="13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preliminary purchase price allocation resulted in goodwill of $74 million, intangible assets of $34 million, and deferred tax liabilities of $9 million. Purchase price allocations are based on preliminary valuations. Our estimates and assumptions are subject to change within the measurement period. The goodwill associated with the acquired business is non-deductible for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Nihon Medi-Physics</w:t>
      </w:r>
    </w:p>
    <w:p>
      <w:pPr>
        <w:spacing w:after="0" w:line="19"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color w:val="auto"/>
        </w:rPr>
        <w:t>On March 31, 2025, the Company acquired the remaining 50% interest in Nihon Medi-Physics Co., Ltd. (“NMP”) from joint venture partner Sumitomo Chemical for net cash consideration of $271 million. NMP is a leading pharmaceutical manufacturer in Japan, focused on radiopharmaceuticals, which are used to enable clinical images across neurology, cardiology, and oncology procedures, as well as nonclinical and clinical development of radiotracers and theranostics research. Their product portfolio includes several GE HealthCare radiopharmaceuticals. NMP is included in the Company’s PDx segment.</w:t>
      </w:r>
    </w:p>
    <w:p>
      <w:pPr>
        <w:spacing w:after="0" w:line="138"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On March 31, 2025, the fair value of the Company’s existing 50% interest in NMP was determined to be $301 million based on the cash consideration exchanged for acquiring the remaining 50% equity interest. The carrying value of our 50% interest was $204 million. The Company recognized a net gain of $97 million resulting from this remeasurement to fair value. This gain included the reclassification of certain amounts related to the Company’s 50% interest out of Accumulated other comprehensive income (loss) – net (“AOCI”) including foreign currency translation gains of $63 million and losses related to a defined benefit pension plan of $8 million. The net gain from this remeasurement was recorded in Other (income) expense – net in the Company’s Condensed Consolidated Statements of Income for the nine months ended September 30, 2025.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purchase price consideration transferred for the acquisition of NMP.</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160" w:type="dxa"/>
            <w:vAlign w:val="bottom"/>
          </w:tcPr>
          <w:p>
            <w:pPr>
              <w:jc w:val="right"/>
              <w:ind w:right="179"/>
              <w:spacing w:after="0"/>
              <w:rPr>
                <w:sz w:val="20"/>
                <w:szCs w:val="20"/>
                <w:color w:val="auto"/>
              </w:rPr>
            </w:pPr>
            <w:r>
              <w:rPr>
                <w:rFonts w:ascii="Arial" w:cs="Arial" w:eastAsia="Arial" w:hAnsi="Arial"/>
                <w:sz w:val="16"/>
                <w:szCs w:val="16"/>
                <w:b w:val="1"/>
                <w:bCs w:val="1"/>
                <w:color w:val="454545"/>
              </w:rPr>
              <w:t>Purchase consideration</w:t>
            </w:r>
          </w:p>
        </w:tc>
      </w:tr>
      <w:tr>
        <w:trPr>
          <w:trHeight w:val="21"/>
        </w:trPr>
        <w:tc>
          <w:tcPr>
            <w:tcW w:w="6060" w:type="dxa"/>
            <w:vAlign w:val="bottom"/>
            <w:tcBorders>
              <w:bottom w:val="single" w:sz="8" w:color="6022A6"/>
            </w:tcBorders>
          </w:tcPr>
          <w:p>
            <w:pPr>
              <w:spacing w:after="0" w:line="20" w:lineRule="exact"/>
              <w:rPr>
                <w:sz w:val="1"/>
                <w:szCs w:val="1"/>
                <w:color w:val="auto"/>
              </w:rPr>
            </w:pPr>
          </w:p>
        </w:tc>
        <w:tc>
          <w:tcPr>
            <w:tcW w:w="3020" w:type="dxa"/>
            <w:vAlign w:val="bottom"/>
            <w:tcBorders>
              <w:bottom w:val="single" w:sz="8" w:color="6022A6"/>
            </w:tcBorders>
          </w:tcPr>
          <w:p>
            <w:pPr>
              <w:spacing w:after="0" w:line="20" w:lineRule="exact"/>
              <w:rPr>
                <w:sz w:val="1"/>
                <w:szCs w:val="1"/>
                <w:color w:val="auto"/>
              </w:rPr>
            </w:pPr>
          </w:p>
        </w:tc>
        <w:tc>
          <w:tcPr>
            <w:tcW w:w="2160" w:type="dxa"/>
            <w:vAlign w:val="bottom"/>
            <w:tcBorders>
              <w:bottom w:val="single" w:sz="8" w:color="6022A6"/>
            </w:tcBorders>
          </w:tcPr>
          <w:p>
            <w:pPr>
              <w:spacing w:after="0" w:line="20" w:lineRule="exact"/>
              <w:rPr>
                <w:sz w:val="1"/>
                <w:szCs w:val="1"/>
                <w:color w:val="auto"/>
              </w:rPr>
            </w:pPr>
          </w:p>
        </w:tc>
      </w:tr>
      <w:tr>
        <w:trPr>
          <w:trHeight w:val="230"/>
        </w:trPr>
        <w:tc>
          <w:tcPr>
            <w:tcW w:w="6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consideration, net of cash acquired</w:t>
            </w:r>
          </w:p>
        </w:tc>
        <w:tc>
          <w:tcPr>
            <w:tcW w:w="3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271</w:t>
            </w:r>
          </w:p>
        </w:tc>
      </w:tr>
      <w:tr>
        <w:trPr>
          <w:trHeight w:val="228"/>
        </w:trPr>
        <w:tc>
          <w:tcPr>
            <w:tcW w:w="6060" w:type="dxa"/>
            <w:vAlign w:val="bottom"/>
          </w:tcPr>
          <w:p>
            <w:pPr>
              <w:ind w:left="20"/>
              <w:spacing w:after="0"/>
              <w:rPr>
                <w:sz w:val="20"/>
                <w:szCs w:val="20"/>
                <w:color w:val="auto"/>
              </w:rPr>
            </w:pPr>
            <w:r>
              <w:rPr>
                <w:rFonts w:ascii="Arial" w:cs="Arial" w:eastAsia="Arial" w:hAnsi="Arial"/>
                <w:sz w:val="16"/>
                <w:szCs w:val="16"/>
                <w:color w:val="auto"/>
              </w:rPr>
              <w:t>Fair value of previously held interest in NMP</w:t>
            </w:r>
          </w:p>
        </w:tc>
        <w:tc>
          <w:tcPr>
            <w:tcW w:w="30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9"/>
        </w:trPr>
        <w:tc>
          <w:tcPr>
            <w:tcW w:w="60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61"/>
        </w:trPr>
        <w:tc>
          <w:tcPr>
            <w:tcW w:w="6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Fair value of contingent consideration</w:t>
            </w:r>
          </w:p>
        </w:tc>
        <w:tc>
          <w:tcPr>
            <w:tcW w:w="3020" w:type="dxa"/>
            <w:vAlign w:val="bottom"/>
            <w:tcBorders>
              <w:bottom w:val="single" w:sz="8" w:color="E4E4E4"/>
            </w:tcBorders>
            <w:shd w:val="clear" w:color="auto" w:fill="E4E4E4"/>
          </w:tcPr>
          <w:p>
            <w:pPr>
              <w:spacing w:after="0"/>
              <w:rPr>
                <w:sz w:val="22"/>
                <w:szCs w:val="22"/>
                <w:color w:val="auto"/>
              </w:rPr>
            </w:pP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60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allocable purchase price</w:t>
            </w:r>
          </w:p>
        </w:tc>
        <w:tc>
          <w:tcPr>
            <w:tcW w:w="3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577</w:t>
            </w:r>
          </w:p>
        </w:tc>
      </w:tr>
      <w:tr>
        <w:trPr>
          <w:trHeight w:val="21"/>
        </w:trPr>
        <w:tc>
          <w:tcPr>
            <w:tcW w:w="606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560"/>
        <w:spacing w:after="0" w:line="290" w:lineRule="auto"/>
        <w:rPr>
          <w:sz w:val="20"/>
          <w:szCs w:val="20"/>
          <w:color w:val="auto"/>
        </w:rPr>
      </w:pPr>
      <w:r>
        <w:rPr>
          <w:rFonts w:ascii="Arial" w:cs="Arial" w:eastAsia="Arial" w:hAnsi="Arial"/>
          <w:sz w:val="16"/>
          <w:szCs w:val="16"/>
          <w:color w:val="auto"/>
        </w:rPr>
        <w:t>The fair values of the assets and liabilities assumed in connection with the acquisition of NMP, which were finalized in the first quarter of 2026 without material adjustment,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0" w:type="dxa"/>
            <w:vAlign w:val="bottom"/>
          </w:tcPr>
          <w:p>
            <w:pPr>
              <w:jc w:val="right"/>
              <w:ind w:right="119"/>
              <w:spacing w:after="0"/>
              <w:rPr>
                <w:sz w:val="20"/>
                <w:szCs w:val="20"/>
                <w:color w:val="auto"/>
              </w:rPr>
            </w:pPr>
            <w:r>
              <w:rPr>
                <w:rFonts w:ascii="Arial" w:cs="Arial" w:eastAsia="Arial" w:hAnsi="Arial"/>
                <w:sz w:val="16"/>
                <w:szCs w:val="16"/>
                <w:b w:val="1"/>
                <w:bCs w:val="1"/>
                <w:color w:val="454545"/>
              </w:rPr>
              <w:t>Purchase price allocation</w:t>
            </w:r>
          </w:p>
        </w:tc>
      </w:tr>
      <w:tr>
        <w:trPr>
          <w:trHeight w:val="21"/>
        </w:trPr>
        <w:tc>
          <w:tcPr>
            <w:tcW w:w="5720" w:type="dxa"/>
            <w:vAlign w:val="bottom"/>
            <w:tcBorders>
              <w:bottom w:val="single" w:sz="8" w:color="6022A6"/>
            </w:tcBorders>
          </w:tcPr>
          <w:p>
            <w:pPr>
              <w:spacing w:after="0" w:line="20" w:lineRule="exact"/>
              <w:rPr>
                <w:sz w:val="1"/>
                <w:szCs w:val="1"/>
                <w:color w:val="auto"/>
              </w:rPr>
            </w:pPr>
          </w:p>
        </w:tc>
        <w:tc>
          <w:tcPr>
            <w:tcW w:w="3320" w:type="dxa"/>
            <w:vAlign w:val="bottom"/>
            <w:tcBorders>
              <w:bottom w:val="single" w:sz="8" w:color="6022A6"/>
            </w:tcBorders>
          </w:tcPr>
          <w:p>
            <w:pPr>
              <w:spacing w:after="0" w:line="20" w:lineRule="exact"/>
              <w:rPr>
                <w:sz w:val="1"/>
                <w:szCs w:val="1"/>
                <w:color w:val="auto"/>
              </w:rPr>
            </w:pPr>
          </w:p>
        </w:tc>
        <w:tc>
          <w:tcPr>
            <w:tcW w:w="2200" w:type="dxa"/>
            <w:vAlign w:val="bottom"/>
            <w:tcBorders>
              <w:bottom w:val="single" w:sz="8" w:color="6022A6"/>
            </w:tcBorders>
          </w:tcPr>
          <w:p>
            <w:pPr>
              <w:spacing w:after="0" w:line="20" w:lineRule="exact"/>
              <w:rPr>
                <w:sz w:val="1"/>
                <w:szCs w:val="1"/>
                <w:color w:val="auto"/>
              </w:rPr>
            </w:pPr>
          </w:p>
        </w:tc>
      </w:tr>
      <w:tr>
        <w:trPr>
          <w:trHeight w:val="230"/>
        </w:trPr>
        <w:tc>
          <w:tcPr>
            <w:tcW w:w="5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Receivables</w:t>
            </w:r>
          </w:p>
        </w:tc>
        <w:tc>
          <w:tcPr>
            <w:tcW w:w="3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w:t>
            </w:r>
          </w:p>
        </w:tc>
      </w:tr>
      <w:tr>
        <w:trPr>
          <w:trHeight w:val="228"/>
        </w:trPr>
        <w:tc>
          <w:tcPr>
            <w:tcW w:w="572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33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9"/>
        </w:trPr>
        <w:tc>
          <w:tcPr>
            <w:tcW w:w="57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7"/>
        </w:trPr>
        <w:tc>
          <w:tcPr>
            <w:tcW w:w="5720" w:type="dxa"/>
            <w:vAlign w:val="bottom"/>
            <w:shd w:val="clear" w:color="auto" w:fill="E4E4E4"/>
          </w:tcPr>
          <w:p>
            <w:pPr>
              <w:ind w:left="20"/>
              <w:spacing w:after="0"/>
              <w:rPr>
                <w:sz w:val="20"/>
                <w:szCs w:val="20"/>
                <w:color w:val="auto"/>
              </w:rPr>
            </w:pPr>
            <w:r>
              <w:rPr>
                <w:rFonts w:ascii="Arial" w:cs="Arial" w:eastAsia="Arial" w:hAnsi="Arial"/>
                <w:sz w:val="16"/>
                <w:szCs w:val="16"/>
                <w:color w:val="auto"/>
              </w:rPr>
              <w:t>All other current assets</w:t>
            </w:r>
            <w:r>
              <w:rPr>
                <w:rFonts w:ascii="Arial" w:cs="Arial" w:eastAsia="Arial" w:hAnsi="Arial"/>
                <w:sz w:val="21"/>
                <w:szCs w:val="21"/>
                <w:color w:val="auto"/>
                <w:vertAlign w:val="superscript"/>
              </w:rPr>
              <w:t>(1)</w:t>
            </w:r>
          </w:p>
        </w:tc>
        <w:tc>
          <w:tcPr>
            <w:tcW w:w="3320" w:type="dxa"/>
            <w:vAlign w:val="bottom"/>
            <w:shd w:val="clear" w:color="auto" w:fill="E4E4E4"/>
          </w:tcPr>
          <w:p>
            <w:pPr>
              <w:spacing w:after="0"/>
              <w:rPr>
                <w:sz w:val="22"/>
                <w:szCs w:val="22"/>
                <w:color w:val="auto"/>
              </w:rPr>
            </w:pPr>
          </w:p>
        </w:tc>
        <w:tc>
          <w:tcPr>
            <w:tcW w:w="22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35</w:t>
            </w:r>
          </w:p>
        </w:tc>
      </w:tr>
      <w:tr>
        <w:trPr>
          <w:trHeight w:val="228"/>
        </w:trPr>
        <w:tc>
          <w:tcPr>
            <w:tcW w:w="57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33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9"/>
        </w:trPr>
        <w:tc>
          <w:tcPr>
            <w:tcW w:w="57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37"/>
        </w:trPr>
        <w:tc>
          <w:tcPr>
            <w:tcW w:w="5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Goodwill</w:t>
            </w:r>
          </w:p>
        </w:tc>
        <w:tc>
          <w:tcPr>
            <w:tcW w:w="3320" w:type="dxa"/>
            <w:vAlign w:val="bottom"/>
            <w:tcBorders>
              <w:bottom w:val="single" w:sz="8" w:color="E4E4E4"/>
            </w:tcBorders>
            <w:shd w:val="clear" w:color="auto" w:fill="E4E4E4"/>
          </w:tcPr>
          <w:p>
            <w:pPr>
              <w:spacing w:after="0"/>
              <w:rPr>
                <w:sz w:val="20"/>
                <w:szCs w:val="20"/>
                <w:color w:val="auto"/>
              </w:rPr>
            </w:pPr>
          </w:p>
        </w:tc>
        <w:tc>
          <w:tcPr>
            <w:tcW w:w="2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221</w:t>
            </w:r>
          </w:p>
        </w:tc>
      </w:tr>
      <w:tr>
        <w:trPr>
          <w:trHeight w:val="228"/>
        </w:trPr>
        <w:tc>
          <w:tcPr>
            <w:tcW w:w="572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33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9"/>
        </w:trPr>
        <w:tc>
          <w:tcPr>
            <w:tcW w:w="57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36"/>
        </w:trPr>
        <w:tc>
          <w:tcPr>
            <w:tcW w:w="5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non-current assets</w:t>
            </w:r>
          </w:p>
        </w:tc>
        <w:tc>
          <w:tcPr>
            <w:tcW w:w="3320" w:type="dxa"/>
            <w:vAlign w:val="bottom"/>
            <w:tcBorders>
              <w:bottom w:val="single" w:sz="8" w:color="E4E4E4"/>
            </w:tcBorders>
            <w:shd w:val="clear" w:color="auto" w:fill="E4E4E4"/>
          </w:tcPr>
          <w:p>
            <w:pPr>
              <w:spacing w:after="0"/>
              <w:rPr>
                <w:sz w:val="20"/>
                <w:szCs w:val="20"/>
                <w:color w:val="auto"/>
              </w:rPr>
            </w:pPr>
          </w:p>
        </w:tc>
        <w:tc>
          <w:tcPr>
            <w:tcW w:w="2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r>
      <w:tr>
        <w:trPr>
          <w:trHeight w:val="228"/>
        </w:trPr>
        <w:tc>
          <w:tcPr>
            <w:tcW w:w="57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3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9"/>
        </w:trPr>
        <w:tc>
          <w:tcPr>
            <w:tcW w:w="57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36"/>
        </w:trPr>
        <w:tc>
          <w:tcPr>
            <w:tcW w:w="5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non-current liabilities</w:t>
            </w:r>
          </w:p>
        </w:tc>
        <w:tc>
          <w:tcPr>
            <w:tcW w:w="3320" w:type="dxa"/>
            <w:vAlign w:val="bottom"/>
            <w:tcBorders>
              <w:bottom w:val="single" w:sz="8" w:color="E4E4E4"/>
            </w:tcBorders>
            <w:shd w:val="clear" w:color="auto" w:fill="E4E4E4"/>
          </w:tcPr>
          <w:p>
            <w:pPr>
              <w:spacing w:after="0"/>
              <w:rPr>
                <w:sz w:val="20"/>
                <w:szCs w:val="20"/>
                <w:color w:val="auto"/>
              </w:rPr>
            </w:pPr>
          </w:p>
        </w:tc>
        <w:tc>
          <w:tcPr>
            <w:tcW w:w="2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(145)</w:t>
            </w:r>
          </w:p>
        </w:tc>
      </w:tr>
      <w:tr>
        <w:trPr>
          <w:trHeight w:val="257"/>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33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30"/>
        </w:trPr>
        <w:tc>
          <w:tcPr>
            <w:tcW w:w="5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net assets post acquisition</w:t>
            </w:r>
          </w:p>
        </w:tc>
        <w:tc>
          <w:tcPr>
            <w:tcW w:w="3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577</w:t>
            </w:r>
          </w:p>
        </w:tc>
      </w:tr>
      <w:tr>
        <w:trPr>
          <w:trHeight w:val="20"/>
        </w:trPr>
        <w:tc>
          <w:tcPr>
            <w:tcW w:w="572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other current assets includes $35 million of indemnification assets, with the underlying indemnified liabilities recorded in All other non-current liabilities.</w:t>
      </w:r>
    </w:p>
    <w:p>
      <w:pPr>
        <w:spacing w:after="0" w:line="21"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includes Accounts payable, All other current liabilities, and Current compensation and benefits.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mostly comprised of land, buildings, equipment (including machinery, furniture, and fixtures) and construction in process.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property, plant, and equipment was determined using a market participant approach.</w:t>
      </w:r>
    </w:p>
    <w:p>
      <w:pPr>
        <w:spacing w:after="0" w:line="246"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Other intangibles relate to $235 million of definite-lived intangible assets, primarily consisting of developed product market authorization rights and customer relationships. The acquired definite-lived intangibles are being amortized over a weighted-average estimated useful life of approximately 13 years. The estimated fair value of intangibles was determined using the income approach.</w:t>
      </w:r>
    </w:p>
    <w:p>
      <w:pPr>
        <w:spacing w:after="0" w:line="191"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goodwill associated with NMP, recorded within the PDx segment, is non-deductible for tax purposes and is attributed to expected synergies with NMP’s existing assets and workforce that are expected to allow the Company greater access and growth in the Japan market.</w:t>
      </w:r>
    </w:p>
    <w:p>
      <w:pPr>
        <w:spacing w:after="0" w:line="168"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Included in All other non-current liabilities are asset retirement obligations and decommissioning liabilities of $124 million, which were assumed in the transaction.</w:t>
      </w:r>
    </w:p>
    <w:p>
      <w:pPr>
        <w:spacing w:after="0" w:line="16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NMP has a defined benefit pension plan which has pension assets of $71 million and pension liabilities of $33 million, a net asset of $38 million, which we acquired in the transaction and is included in All other non-current assets.</w:t>
      </w:r>
    </w:p>
    <w:p>
      <w:pPr>
        <w:spacing w:after="0" w:line="1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Deferred income tax liabilities include the expected U.S. federal, state, and foreign tax consequences associated with temporary differences between the fair values of the assets acquired and liabilities assumed and the respective tax basis.</w:t>
      </w:r>
    </w:p>
    <w:p>
      <w:pPr>
        <w:spacing w:after="0" w:line="183"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If the acquisition of NMP had taken place as of the beginning of 2024, consolidated revenues and earnings would not have been significantly different than reported amounts.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262"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We assess the possibility that a reporting unit’s fair value has been reduced below its carrying amount due to the occurrence of events or circumstances between annual impairment testing dates. During the three months ended September 30, 2026, we did not identify any reporting units that required an interim impairment test. Future changes in operating results, market conditions, or other relevant assumptions could affect this assessment.</w:t>
      </w:r>
    </w:p>
    <w:p>
      <w:pPr>
        <w:spacing w:after="0" w:line="19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As discussed in Note 3, “Segment Information,” in the second quarter of 2026, the Company combined its Imaging and AVS businesses into a new operating and reportable segment, AIS. Accordingly, we combined the historical Imaging and AVS goodwill balances into the newly formed AIS segment. In connection with the change in reportable segments, the Company evaluated the goodwill of our reporting units within the AIS segment for impairment before and after the segment realignment and we did not identify any events or circumstances that would require an interim impairment test.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0" w:type="dxa"/>
            <w:vAlign w:val="bottom"/>
          </w:tcPr>
          <w:p>
            <w:pPr>
              <w:jc w:val="right"/>
              <w:ind w:right="439"/>
              <w:spacing w:after="0"/>
              <w:rPr>
                <w:sz w:val="20"/>
                <w:szCs w:val="20"/>
                <w:color w:val="auto"/>
              </w:rPr>
            </w:pPr>
            <w:r>
              <w:rPr>
                <w:rFonts w:ascii="Arial" w:cs="Arial" w:eastAsia="Arial" w:hAnsi="Arial"/>
                <w:sz w:val="16"/>
                <w:szCs w:val="16"/>
                <w:b w:val="1"/>
                <w:bCs w:val="1"/>
                <w:color w:val="454545"/>
              </w:rPr>
              <w:t>AIS</w:t>
            </w:r>
          </w:p>
        </w:tc>
        <w:tc>
          <w:tcPr>
            <w:tcW w:w="300" w:type="dxa"/>
            <w:vAlign w:val="bottom"/>
          </w:tcPr>
          <w:p>
            <w:pPr>
              <w:spacing w:after="0"/>
              <w:rPr>
                <w:sz w:val="19"/>
                <w:szCs w:val="19"/>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454545"/>
              </w:rPr>
              <w:t>PDx</w:t>
            </w:r>
          </w:p>
        </w:tc>
        <w:tc>
          <w:tcPr>
            <w:tcW w:w="320" w:type="dxa"/>
            <w:vAlign w:val="bottom"/>
          </w:tcPr>
          <w:p>
            <w:pPr>
              <w:spacing w:after="0"/>
              <w:rPr>
                <w:sz w:val="19"/>
                <w:szCs w:val="19"/>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454545"/>
              </w:rPr>
              <w:t>PCS</w:t>
            </w:r>
          </w:p>
        </w:tc>
        <w:tc>
          <w:tcPr>
            <w:tcW w:w="280" w:type="dxa"/>
            <w:vAlign w:val="bottom"/>
          </w:tcPr>
          <w:p>
            <w:pPr>
              <w:spacing w:after="0"/>
              <w:rPr>
                <w:sz w:val="19"/>
                <w:szCs w:val="19"/>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454545"/>
              </w:rPr>
              <w:t>Total</w:t>
            </w:r>
          </w:p>
        </w:tc>
      </w:tr>
      <w:tr>
        <w:trPr>
          <w:trHeight w:val="21"/>
        </w:trPr>
        <w:tc>
          <w:tcPr>
            <w:tcW w:w="4380" w:type="dxa"/>
            <w:vAlign w:val="bottom"/>
            <w:tcBorders>
              <w:bottom w:val="single" w:sz="8" w:color="6022A6"/>
            </w:tcBorders>
          </w:tcPr>
          <w:p>
            <w:pPr>
              <w:spacing w:after="0" w:line="20" w:lineRule="exact"/>
              <w:rPr>
                <w:sz w:val="1"/>
                <w:szCs w:val="1"/>
                <w:color w:val="auto"/>
              </w:rPr>
            </w:pPr>
          </w:p>
        </w:tc>
        <w:tc>
          <w:tcPr>
            <w:tcW w:w="194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r>
      <w:tr>
        <w:trPr>
          <w:trHeight w:val="230"/>
        </w:trPr>
        <w:tc>
          <w:tcPr>
            <w:tcW w:w="4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as of December 31, 2025</w:t>
            </w:r>
          </w:p>
        </w:tc>
        <w:tc>
          <w:tcPr>
            <w:tcW w:w="19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8,702</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2,745</w:t>
            </w:r>
          </w:p>
        </w:tc>
        <w:tc>
          <w:tcPr>
            <w:tcW w:w="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2,041</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13,489</w:t>
            </w:r>
          </w:p>
        </w:tc>
      </w:tr>
      <w:tr>
        <w:trPr>
          <w:trHeight w:val="256"/>
        </w:trPr>
        <w:tc>
          <w:tcPr>
            <w:tcW w:w="4380" w:type="dxa"/>
            <w:vAlign w:val="bottom"/>
          </w:tcPr>
          <w:p>
            <w:pPr>
              <w:ind w:left="20"/>
              <w:spacing w:after="0"/>
              <w:rPr>
                <w:sz w:val="20"/>
                <w:szCs w:val="20"/>
                <w:color w:val="auto"/>
              </w:rPr>
            </w:pPr>
            <w:r>
              <w:rPr>
                <w:rFonts w:ascii="Arial" w:cs="Arial" w:eastAsia="Arial" w:hAnsi="Arial"/>
                <w:sz w:val="16"/>
                <w:szCs w:val="16"/>
                <w:color w:val="auto"/>
              </w:rPr>
              <w:t>Acquisitions</w:t>
            </w:r>
            <w:r>
              <w:rPr>
                <w:rFonts w:ascii="Arial" w:cs="Arial" w:eastAsia="Arial" w:hAnsi="Arial"/>
                <w:sz w:val="21"/>
                <w:szCs w:val="21"/>
                <w:color w:val="auto"/>
                <w:vertAlign w:val="superscript"/>
              </w:rPr>
              <w:t>(1)</w:t>
            </w:r>
          </w:p>
        </w:tc>
        <w:tc>
          <w:tcPr>
            <w:tcW w:w="19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1,668</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1,668</w:t>
            </w:r>
          </w:p>
        </w:tc>
      </w:tr>
      <w:tr>
        <w:trPr>
          <w:trHeight w:val="262"/>
        </w:trPr>
        <w:tc>
          <w:tcPr>
            <w:tcW w:w="4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and other</w:t>
            </w:r>
          </w:p>
        </w:tc>
        <w:tc>
          <w:tcPr>
            <w:tcW w:w="194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30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w:t>
            </w:r>
          </w:p>
        </w:tc>
      </w:tr>
      <w:tr>
        <w:trPr>
          <w:trHeight w:val="229"/>
        </w:trPr>
        <w:tc>
          <w:tcPr>
            <w:tcW w:w="43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September 30, 2026</w:t>
            </w:r>
          </w:p>
        </w:tc>
        <w:tc>
          <w:tcPr>
            <w:tcW w:w="19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10,355</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2,745</w:t>
            </w:r>
          </w:p>
        </w:tc>
        <w:tc>
          <w:tcPr>
            <w:tcW w:w="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2,039</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15,140</w:t>
            </w:r>
          </w:p>
        </w:tc>
      </w:tr>
      <w:tr>
        <w:trPr>
          <w:trHeight w:val="21"/>
        </w:trPr>
        <w:tc>
          <w:tcPr>
            <w:tcW w:w="4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Includes the purchase of Intelerad recorded within our AIS segment, as described above.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60" w:type="dxa"/>
            <w:vAlign w:val="bottom"/>
          </w:tcPr>
          <w:p>
            <w:pPr>
              <w:spacing w:after="0"/>
              <w:rPr>
                <w:sz w:val="20"/>
                <w:szCs w:val="20"/>
                <w:color w:val="auto"/>
              </w:rPr>
            </w:pPr>
            <w:r>
              <w:rPr>
                <w:rFonts w:ascii="Arial" w:cs="Arial" w:eastAsia="Arial" w:hAnsi="Arial"/>
                <w:sz w:val="16"/>
                <w:szCs w:val="16"/>
                <w:b w:val="1"/>
                <w:bCs w:val="1"/>
                <w:color w:val="auto"/>
              </w:rPr>
              <w:t>OTHER INTANGIBLE ASSETS.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40" w:type="dxa"/>
            <w:vAlign w:val="bottom"/>
            <w:gridSpan w:val="4"/>
          </w:tcPr>
          <w:p>
            <w:pPr>
              <w:jc w:val="center"/>
              <w:ind w:left="539"/>
              <w:spacing w:after="0"/>
              <w:rPr>
                <w:sz w:val="20"/>
                <w:szCs w:val="20"/>
                <w:color w:val="auto"/>
              </w:rPr>
            </w:pPr>
            <w:r>
              <w:rPr>
                <w:rFonts w:ascii="Arial" w:cs="Arial" w:eastAsia="Arial" w:hAnsi="Arial"/>
                <w:sz w:val="16"/>
                <w:szCs w:val="16"/>
                <w:b w:val="1"/>
                <w:bCs w:val="1"/>
                <w:color w:val="454545"/>
              </w:rPr>
              <w:t>As of September 30, 2026</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40" w:type="dxa"/>
            <w:vAlign w:val="bottom"/>
            <w:gridSpan w:val="4"/>
          </w:tcPr>
          <w:p>
            <w:pPr>
              <w:jc w:val="center"/>
              <w:ind w:left="559"/>
              <w:spacing w:after="0"/>
              <w:rPr>
                <w:sz w:val="20"/>
                <w:szCs w:val="20"/>
                <w:color w:val="auto"/>
              </w:rPr>
            </w:pPr>
            <w:r>
              <w:rPr>
                <w:rFonts w:ascii="Arial" w:cs="Arial" w:eastAsia="Arial" w:hAnsi="Arial"/>
                <w:sz w:val="16"/>
                <w:szCs w:val="16"/>
                <w:b w:val="1"/>
                <w:bCs w:val="1"/>
                <w:color w:val="454545"/>
              </w:rPr>
              <w:t>As of December 31, 2025</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280" w:type="dxa"/>
            <w:vAlign w:val="bottom"/>
            <w:tcBorders>
              <w:bottom w:val="single" w:sz="8" w:color="454545"/>
            </w:tcBorders>
            <w:gridSpan w:val="2"/>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454545"/>
            </w:tcBorders>
            <w:gridSpan w:val="2"/>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3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454545"/>
              </w:rPr>
              <w:t>Gross Carrying</w:t>
            </w:r>
          </w:p>
        </w:tc>
        <w:tc>
          <w:tcPr>
            <w:tcW w:w="12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454545"/>
                <w:w w:val="99"/>
              </w:rPr>
              <w:t>Accumulated</w:t>
            </w:r>
          </w:p>
        </w:tc>
        <w:tc>
          <w:tcPr>
            <w:tcW w:w="420" w:type="dxa"/>
            <w:vAlign w:val="bottom"/>
          </w:tcPr>
          <w:p>
            <w:pPr>
              <w:spacing w:after="0"/>
              <w:rPr>
                <w:sz w:val="18"/>
                <w:szCs w:val="18"/>
                <w:color w:val="auto"/>
              </w:rPr>
            </w:pPr>
          </w:p>
        </w:tc>
        <w:tc>
          <w:tcPr>
            <w:tcW w:w="84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454545"/>
              </w:rPr>
              <w:t>Net</w:t>
            </w:r>
          </w:p>
        </w:tc>
        <w:tc>
          <w:tcPr>
            <w:tcW w:w="2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454545"/>
              </w:rPr>
              <w:t>Gross Carrying</w:t>
            </w:r>
          </w:p>
        </w:tc>
        <w:tc>
          <w:tcPr>
            <w:tcW w:w="140" w:type="dxa"/>
            <w:vAlign w:val="bottom"/>
          </w:tcPr>
          <w:p>
            <w:pPr>
              <w:spacing w:after="0"/>
              <w:rPr>
                <w:sz w:val="18"/>
                <w:szCs w:val="18"/>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454545"/>
              </w:rPr>
              <w:t>Accumulated</w:t>
            </w:r>
          </w:p>
        </w:tc>
        <w:tc>
          <w:tcPr>
            <w:tcW w:w="400" w:type="dxa"/>
            <w:vAlign w:val="bottom"/>
          </w:tcPr>
          <w:p>
            <w:pPr>
              <w:spacing w:after="0"/>
              <w:rPr>
                <w:sz w:val="18"/>
                <w:szCs w:val="18"/>
                <w:color w:val="auto"/>
              </w:rPr>
            </w:pPr>
          </w:p>
        </w:tc>
        <w:tc>
          <w:tcPr>
            <w:tcW w:w="8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454545"/>
              </w:rPr>
              <w:t>Net</w:t>
            </w:r>
          </w:p>
        </w:tc>
        <w:tc>
          <w:tcPr>
            <w:tcW w:w="0" w:type="dxa"/>
            <w:vAlign w:val="bottom"/>
          </w:tcPr>
          <w:p>
            <w:pPr>
              <w:spacing w:after="0"/>
              <w:rPr>
                <w:sz w:val="1"/>
                <w:szCs w:val="1"/>
                <w:color w:val="auto"/>
              </w:rPr>
            </w:pPr>
          </w:p>
        </w:tc>
      </w:tr>
      <w:tr>
        <w:trPr>
          <w:trHeight w:val="115"/>
        </w:trPr>
        <w:tc>
          <w:tcPr>
            <w:tcW w:w="3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454545"/>
              </w:rPr>
              <w:t>Amount</w:t>
            </w:r>
          </w:p>
        </w:tc>
        <w:tc>
          <w:tcPr>
            <w:tcW w:w="120" w:type="dxa"/>
            <w:vAlign w:val="bottom"/>
          </w:tcPr>
          <w:p>
            <w:pPr>
              <w:spacing w:after="0"/>
              <w:rPr>
                <w:sz w:val="9"/>
                <w:szCs w:val="9"/>
                <w:color w:val="auto"/>
              </w:rPr>
            </w:pPr>
          </w:p>
        </w:tc>
        <w:tc>
          <w:tcPr>
            <w:tcW w:w="11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454545"/>
              </w:rPr>
              <w:t>Amortization</w:t>
            </w:r>
          </w:p>
        </w:tc>
        <w:tc>
          <w:tcPr>
            <w:tcW w:w="4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454545"/>
              </w:rPr>
              <w:t>Amount</w:t>
            </w:r>
          </w:p>
        </w:tc>
        <w:tc>
          <w:tcPr>
            <w:tcW w:w="140" w:type="dxa"/>
            <w:vAlign w:val="bottom"/>
          </w:tcPr>
          <w:p>
            <w:pPr>
              <w:spacing w:after="0"/>
              <w:rPr>
                <w:sz w:val="9"/>
                <w:szCs w:val="9"/>
                <w:color w:val="auto"/>
              </w:rPr>
            </w:pPr>
          </w:p>
        </w:tc>
        <w:tc>
          <w:tcPr>
            <w:tcW w:w="116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454545"/>
              </w:rPr>
              <w:t>Amortization</w:t>
            </w:r>
          </w:p>
        </w:tc>
        <w:tc>
          <w:tcPr>
            <w:tcW w:w="4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3360" w:type="dxa"/>
            <w:vAlign w:val="bottom"/>
            <w:tcBorders>
              <w:bottom w:val="single" w:sz="8" w:color="6022A6"/>
            </w:tcBorders>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Borders>
              <w:bottom w:val="single" w:sz="8" w:color="6022A6"/>
            </w:tcBorders>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336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Definite-lived assets</w:t>
            </w:r>
          </w:p>
        </w:tc>
        <w:tc>
          <w:tcPr>
            <w:tcW w:w="240" w:type="dxa"/>
            <w:vAlign w:val="bottom"/>
            <w:tcBorders>
              <w:top w:val="single" w:sz="8" w:color="6022A6"/>
              <w:bottom w:val="single" w:sz="8" w:color="E4E4E4"/>
            </w:tcBorders>
            <w:shd w:val="clear" w:color="auto" w:fill="E4E4E4"/>
          </w:tcPr>
          <w:p>
            <w:pPr>
              <w:spacing w:after="0"/>
              <w:rPr>
                <w:sz w:val="19"/>
                <w:szCs w:val="19"/>
                <w:color w:val="auto"/>
              </w:rPr>
            </w:pPr>
          </w:p>
        </w:tc>
        <w:tc>
          <w:tcPr>
            <w:tcW w:w="1040" w:type="dxa"/>
            <w:vAlign w:val="bottom"/>
            <w:tcBorders>
              <w:top w:val="single" w:sz="8" w:color="6022A6"/>
              <w:bottom w:val="single" w:sz="8" w:color="E4E4E4"/>
            </w:tcBorders>
            <w:shd w:val="clear" w:color="auto" w:fill="E4E4E4"/>
          </w:tcPr>
          <w:p>
            <w:pPr>
              <w:spacing w:after="0"/>
              <w:rPr>
                <w:sz w:val="19"/>
                <w:szCs w:val="19"/>
                <w:color w:val="auto"/>
              </w:rPr>
            </w:pPr>
          </w:p>
        </w:tc>
        <w:tc>
          <w:tcPr>
            <w:tcW w:w="120" w:type="dxa"/>
            <w:vAlign w:val="bottom"/>
            <w:tcBorders>
              <w:top w:val="single" w:sz="8" w:color="6022A6"/>
              <w:bottom w:val="single" w:sz="8" w:color="E4E4E4"/>
            </w:tcBorders>
            <w:shd w:val="clear" w:color="auto" w:fill="E4E4E4"/>
          </w:tcPr>
          <w:p>
            <w:pPr>
              <w:spacing w:after="0"/>
              <w:rPr>
                <w:sz w:val="19"/>
                <w:szCs w:val="19"/>
                <w:color w:val="auto"/>
              </w:rPr>
            </w:pPr>
          </w:p>
        </w:tc>
        <w:tc>
          <w:tcPr>
            <w:tcW w:w="1160" w:type="dxa"/>
            <w:vAlign w:val="bottom"/>
            <w:tcBorders>
              <w:top w:val="single" w:sz="8" w:color="6022A6"/>
              <w:bottom w:val="single" w:sz="8" w:color="E4E4E4"/>
            </w:tcBorders>
            <w:shd w:val="clear" w:color="auto" w:fill="E4E4E4"/>
          </w:tcPr>
          <w:p>
            <w:pPr>
              <w:spacing w:after="0"/>
              <w:rPr>
                <w:sz w:val="19"/>
                <w:szCs w:val="19"/>
                <w:color w:val="auto"/>
              </w:rPr>
            </w:pPr>
          </w:p>
        </w:tc>
        <w:tc>
          <w:tcPr>
            <w:tcW w:w="420" w:type="dxa"/>
            <w:vAlign w:val="bottom"/>
            <w:tcBorders>
              <w:top w:val="single" w:sz="8" w:color="6022A6"/>
              <w:bottom w:val="single" w:sz="8" w:color="E4E4E4"/>
            </w:tcBorders>
            <w:shd w:val="clear" w:color="auto" w:fill="E4E4E4"/>
          </w:tcPr>
          <w:p>
            <w:pPr>
              <w:spacing w:after="0"/>
              <w:rPr>
                <w:sz w:val="19"/>
                <w:szCs w:val="19"/>
                <w:color w:val="auto"/>
              </w:rPr>
            </w:pPr>
          </w:p>
        </w:tc>
        <w:tc>
          <w:tcPr>
            <w:tcW w:w="840" w:type="dxa"/>
            <w:vAlign w:val="bottom"/>
            <w:tcBorders>
              <w:top w:val="single" w:sz="8" w:color="6022A6"/>
              <w:bottom w:val="single" w:sz="8" w:color="E4E4E4"/>
            </w:tcBorders>
            <w:shd w:val="clear" w:color="auto" w:fill="E4E4E4"/>
          </w:tcPr>
          <w:p>
            <w:pPr>
              <w:spacing w:after="0"/>
              <w:rPr>
                <w:sz w:val="19"/>
                <w:szCs w:val="19"/>
                <w:color w:val="auto"/>
              </w:rPr>
            </w:pPr>
          </w:p>
        </w:tc>
        <w:tc>
          <w:tcPr>
            <w:tcW w:w="240" w:type="dxa"/>
            <w:vAlign w:val="bottom"/>
            <w:tcBorders>
              <w:top w:val="single" w:sz="8" w:color="E4E4E4"/>
              <w:bottom w:val="single" w:sz="8" w:color="E4E4E4"/>
            </w:tcBorders>
            <w:shd w:val="clear" w:color="auto" w:fill="E4E4E4"/>
          </w:tcPr>
          <w:p>
            <w:pPr>
              <w:spacing w:after="0"/>
              <w:rPr>
                <w:sz w:val="19"/>
                <w:szCs w:val="19"/>
                <w:color w:val="auto"/>
              </w:rPr>
            </w:pPr>
          </w:p>
        </w:tc>
        <w:tc>
          <w:tcPr>
            <w:tcW w:w="220" w:type="dxa"/>
            <w:vAlign w:val="bottom"/>
            <w:tcBorders>
              <w:top w:val="single" w:sz="8" w:color="6022A6"/>
              <w:bottom w:val="single" w:sz="8" w:color="E4E4E4"/>
            </w:tcBorders>
            <w:shd w:val="clear" w:color="auto" w:fill="E4E4E4"/>
          </w:tcPr>
          <w:p>
            <w:pPr>
              <w:spacing w:after="0"/>
              <w:rPr>
                <w:sz w:val="19"/>
                <w:szCs w:val="19"/>
                <w:color w:val="auto"/>
              </w:rPr>
            </w:pPr>
          </w:p>
        </w:tc>
        <w:tc>
          <w:tcPr>
            <w:tcW w:w="1040" w:type="dxa"/>
            <w:vAlign w:val="bottom"/>
            <w:tcBorders>
              <w:top w:val="single" w:sz="8" w:color="6022A6"/>
              <w:bottom w:val="single" w:sz="8" w:color="E4E4E4"/>
            </w:tcBorders>
            <w:shd w:val="clear" w:color="auto" w:fill="E4E4E4"/>
          </w:tcPr>
          <w:p>
            <w:pPr>
              <w:spacing w:after="0"/>
              <w:rPr>
                <w:sz w:val="19"/>
                <w:szCs w:val="19"/>
                <w:color w:val="auto"/>
              </w:rPr>
            </w:pPr>
          </w:p>
        </w:tc>
        <w:tc>
          <w:tcPr>
            <w:tcW w:w="140" w:type="dxa"/>
            <w:vAlign w:val="bottom"/>
            <w:tcBorders>
              <w:top w:val="single" w:sz="8" w:color="6022A6"/>
              <w:bottom w:val="single" w:sz="8" w:color="E4E4E4"/>
            </w:tcBorders>
            <w:shd w:val="clear" w:color="auto" w:fill="E4E4E4"/>
          </w:tcPr>
          <w:p>
            <w:pPr>
              <w:spacing w:after="0"/>
              <w:rPr>
                <w:sz w:val="19"/>
                <w:szCs w:val="19"/>
                <w:color w:val="auto"/>
              </w:rPr>
            </w:pPr>
          </w:p>
        </w:tc>
        <w:tc>
          <w:tcPr>
            <w:tcW w:w="1160" w:type="dxa"/>
            <w:vAlign w:val="bottom"/>
            <w:tcBorders>
              <w:top w:val="single" w:sz="8" w:color="6022A6"/>
              <w:bottom w:val="single" w:sz="8" w:color="E4E4E4"/>
            </w:tcBorders>
            <w:shd w:val="clear" w:color="auto" w:fill="E4E4E4"/>
          </w:tcPr>
          <w:p>
            <w:pPr>
              <w:spacing w:after="0"/>
              <w:rPr>
                <w:sz w:val="19"/>
                <w:szCs w:val="19"/>
                <w:color w:val="auto"/>
              </w:rPr>
            </w:pPr>
          </w:p>
        </w:tc>
        <w:tc>
          <w:tcPr>
            <w:tcW w:w="400" w:type="dxa"/>
            <w:vAlign w:val="bottom"/>
            <w:tcBorders>
              <w:top w:val="single" w:sz="8" w:color="6022A6"/>
              <w:bottom w:val="single" w:sz="8" w:color="E4E4E4"/>
            </w:tcBorders>
            <w:shd w:val="clear" w:color="auto" w:fill="E4E4E4"/>
          </w:tcPr>
          <w:p>
            <w:pPr>
              <w:spacing w:after="0"/>
              <w:rPr>
                <w:sz w:val="19"/>
                <w:szCs w:val="19"/>
                <w:color w:val="auto"/>
              </w:rPr>
            </w:pPr>
          </w:p>
        </w:tc>
        <w:tc>
          <w:tcPr>
            <w:tcW w:w="860" w:type="dxa"/>
            <w:vAlign w:val="bottom"/>
            <w:tcBorders>
              <w:top w:val="single" w:sz="8" w:color="6022A6"/>
              <w:bottom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60" w:type="dxa"/>
            <w:vAlign w:val="bottom"/>
          </w:tcPr>
          <w:p>
            <w:pPr>
              <w:ind w:left="140"/>
              <w:spacing w:after="0"/>
              <w:rPr>
                <w:sz w:val="20"/>
                <w:szCs w:val="20"/>
                <w:color w:val="auto"/>
              </w:rPr>
            </w:pPr>
            <w:r>
              <w:rPr>
                <w:rFonts w:ascii="Arial" w:cs="Arial" w:eastAsia="Arial" w:hAnsi="Arial"/>
                <w:sz w:val="16"/>
                <w:szCs w:val="16"/>
                <w:color w:val="auto"/>
              </w:rPr>
              <w:t>Customer-related</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(63)</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333</w:t>
            </w:r>
          </w:p>
        </w:tc>
        <w:tc>
          <w:tcPr>
            <w:tcW w:w="4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(43)</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9"/>
        </w:trPr>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3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Patents and technology</w:t>
            </w:r>
          </w:p>
        </w:tc>
        <w:tc>
          <w:tcPr>
            <w:tcW w:w="24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3,376</w:t>
            </w:r>
          </w:p>
        </w:tc>
        <w:tc>
          <w:tcPr>
            <w:tcW w:w="12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(2,257)</w:t>
            </w:r>
          </w:p>
        </w:tc>
        <w:tc>
          <w:tcPr>
            <w:tcW w:w="42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1,119</w:t>
            </w:r>
          </w:p>
        </w:tc>
        <w:tc>
          <w:tcPr>
            <w:tcW w:w="240" w:type="dxa"/>
            <w:vAlign w:val="bottom"/>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2,698</w:t>
            </w:r>
          </w:p>
        </w:tc>
        <w:tc>
          <w:tcPr>
            <w:tcW w:w="1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(2,128)</w:t>
            </w:r>
          </w:p>
        </w:tc>
        <w:tc>
          <w:tcPr>
            <w:tcW w:w="40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28"/>
        </w:trPr>
        <w:tc>
          <w:tcPr>
            <w:tcW w:w="3360" w:type="dxa"/>
            <w:vAlign w:val="bottom"/>
          </w:tcPr>
          <w:p>
            <w:pPr>
              <w:ind w:left="140"/>
              <w:spacing w:after="0"/>
              <w:rPr>
                <w:sz w:val="20"/>
                <w:szCs w:val="20"/>
                <w:color w:val="auto"/>
              </w:rPr>
            </w:pPr>
            <w:r>
              <w:rPr>
                <w:rFonts w:ascii="Arial" w:cs="Arial" w:eastAsia="Arial" w:hAnsi="Arial"/>
                <w:sz w:val="16"/>
                <w:szCs w:val="16"/>
                <w:color w:val="auto"/>
              </w:rPr>
              <w:t>Capitalized software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1,794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(1,524)</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1,703</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(1,470)</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9"/>
        </w:trPr>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3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Trademarks and other</w:t>
            </w:r>
          </w:p>
        </w:tc>
        <w:tc>
          <w:tcPr>
            <w:tcW w:w="24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w:t>
            </w:r>
          </w:p>
        </w:tc>
        <w:tc>
          <w:tcPr>
            <w:tcW w:w="420" w:type="dxa"/>
            <w:vAlign w:val="bottom"/>
            <w:tcBorders>
              <w:bottom w:val="single" w:sz="8" w:color="E4E4E4"/>
            </w:tcBorders>
            <w:shd w:val="clear" w:color="auto" w:fill="E4E4E4"/>
          </w:tcPr>
          <w:p>
            <w:pPr>
              <w:spacing w:after="0"/>
              <w:rPr>
                <w:sz w:val="22"/>
                <w:szCs w:val="22"/>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auto"/>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w:t>
            </w:r>
          </w:p>
        </w:tc>
        <w:tc>
          <w:tcPr>
            <w:tcW w:w="14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400" w:type="dxa"/>
            <w:vAlign w:val="bottom"/>
            <w:tcBorders>
              <w:bottom w:val="single" w:sz="8" w:color="E4E4E4"/>
            </w:tcBorders>
            <w:shd w:val="clear" w:color="auto" w:fill="E4E4E4"/>
          </w:tcPr>
          <w:p>
            <w:pPr>
              <w:spacing w:after="0"/>
              <w:rPr>
                <w:sz w:val="22"/>
                <w:szCs w:val="22"/>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9"/>
        </w:trPr>
        <w:tc>
          <w:tcPr>
            <w:tcW w:w="33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definite-lived assets</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5,621</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(3,881)</w:t>
            </w: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1,741</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4,727</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(3,672)</w:t>
            </w: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1,055</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Indefinite-lived assets</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w:t>
            </w:r>
          </w:p>
        </w:tc>
        <w:tc>
          <w:tcPr>
            <w:tcW w:w="120" w:type="dxa"/>
            <w:vAlign w:val="bottom"/>
            <w:tcBorders>
              <w:bottom w:val="single" w:sz="8" w:color="auto"/>
            </w:tcBorders>
            <w:shd w:val="clear" w:color="auto" w:fill="E4E4E4"/>
          </w:tcPr>
          <w:p>
            <w:pPr>
              <w:spacing w:after="0"/>
              <w:rPr>
                <w:sz w:val="21"/>
                <w:szCs w:val="21"/>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shd w:val="clear" w:color="auto" w:fill="E4E4E4"/>
          </w:tcPr>
          <w:p>
            <w:pPr>
              <w:spacing w:after="0"/>
              <w:rPr>
                <w:sz w:val="21"/>
                <w:szCs w:val="21"/>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w:t>
            </w:r>
          </w:p>
        </w:tc>
        <w:tc>
          <w:tcPr>
            <w:tcW w:w="240" w:type="dxa"/>
            <w:vAlign w:val="bottom"/>
            <w:tcBorders>
              <w:bottom w:val="single" w:sz="8" w:color="auto"/>
            </w:tcBorders>
            <w:shd w:val="clear" w:color="auto" w:fill="E4E4E4"/>
          </w:tcPr>
          <w:p>
            <w:pPr>
              <w:spacing w:after="0"/>
              <w:rPr>
                <w:sz w:val="21"/>
                <w:szCs w:val="21"/>
                <w:color w:val="auto"/>
              </w:rPr>
            </w:pPr>
          </w:p>
        </w:tc>
        <w:tc>
          <w:tcPr>
            <w:tcW w:w="22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75</w:t>
            </w:r>
          </w:p>
        </w:tc>
        <w:tc>
          <w:tcPr>
            <w:tcW w:w="140" w:type="dxa"/>
            <w:vAlign w:val="bottom"/>
            <w:tcBorders>
              <w:bottom w:val="single" w:sz="8" w:color="auto"/>
            </w:tcBorders>
            <w:shd w:val="clear" w:color="auto" w:fill="E4E4E4"/>
          </w:tcPr>
          <w:p>
            <w:pPr>
              <w:spacing w:after="0"/>
              <w:rPr>
                <w:sz w:val="21"/>
                <w:szCs w:val="21"/>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shd w:val="clear" w:color="auto" w:fill="E4E4E4"/>
          </w:tcPr>
          <w:p>
            <w:pPr>
              <w:spacing w:after="0"/>
              <w:rPr>
                <w:sz w:val="21"/>
                <w:szCs w:val="21"/>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235"/>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Total other intangible assets</w:t>
            </w:r>
          </w:p>
        </w:tc>
        <w:tc>
          <w:tcPr>
            <w:tcW w:w="24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5,693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(3,881)</w:t>
            </w: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1,812</w:t>
            </w:r>
          </w:p>
        </w:tc>
        <w:tc>
          <w:tcPr>
            <w:tcW w:w="460" w:type="dxa"/>
            <w:vAlign w:val="bottom"/>
            <w:gridSpan w:val="2"/>
          </w:tcPr>
          <w:p>
            <w:pPr>
              <w:ind w:left="28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4,802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(3,672)</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1,130</w:t>
            </w:r>
          </w:p>
        </w:tc>
        <w:tc>
          <w:tcPr>
            <w:tcW w:w="0" w:type="dxa"/>
            <w:vAlign w:val="bottom"/>
          </w:tcPr>
          <w:p>
            <w:pPr>
              <w:spacing w:after="0"/>
              <w:rPr>
                <w:sz w:val="1"/>
                <w:szCs w:val="1"/>
                <w:color w:val="auto"/>
              </w:rPr>
            </w:pP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Indefinite-lived intangible assets relate to acquired in-process research and development prior to project completion and are not amortized.</w:t>
      </w:r>
    </w:p>
    <w:p>
      <w:pPr>
        <w:spacing w:after="0" w:line="262"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Amortization expense was $82 million and $74 million for the three months ended September 30, 2026 and 2025, respectively, and $241 million and $219 million for the nine months ended September 30, 2026 and 2025, respectively.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Company’s borrowings include the senior unsecured notes and credit agreements detailed below.</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Unsecured Notes</w:t>
      </w:r>
    </w:p>
    <w:p>
      <w:pPr>
        <w:spacing w:after="0" w:line="29" w:lineRule="exact"/>
        <w:rPr>
          <w:sz w:val="20"/>
          <w:szCs w:val="20"/>
          <w:color w:val="auto"/>
        </w:rPr>
      </w:pPr>
    </w:p>
    <w:p>
      <w:pPr>
        <w:ind w:right="500"/>
        <w:spacing w:after="0" w:line="270" w:lineRule="auto"/>
        <w:rPr>
          <w:sz w:val="20"/>
          <w:szCs w:val="20"/>
          <w:color w:val="auto"/>
        </w:rPr>
      </w:pPr>
      <w:r>
        <w:rPr>
          <w:rFonts w:ascii="Arial" w:cs="Arial" w:eastAsia="Arial" w:hAnsi="Arial"/>
          <w:sz w:val="16"/>
          <w:szCs w:val="16"/>
          <w:color w:val="auto"/>
        </w:rPr>
        <w:t>As of September 30, 2026, the Company’s borrowings include $9,500 million aggregate principal amount of senior unsecured notes in nine series with maturity dates ranging from 2027 through 2052.</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Facilities</w:t>
      </w:r>
    </w:p>
    <w:p>
      <w:pPr>
        <w:spacing w:after="0" w:line="19"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In the first quarter of 2026, the Company terminated its existing $500 million 364-day senior unsecured revolving credit facility and replaced it with a new $500 million 364-day senior unsecured revolving credit facility with terms that are substantially similar to those of the terminated facility.</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credit agreements providing for:</w:t>
      </w:r>
    </w:p>
    <w:p>
      <w:pPr>
        <w:spacing w:after="0" w:line="167"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five-year senior unsecured revolving credit facility in an aggregate committed amount of $3,000 million, maturing on March 27, 2030;</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364-day senior unsecured revolving credit facility in an aggregate committed amount of $500 million, maturing on February 25, 2027; and</w:t>
      </w:r>
    </w:p>
    <w:p>
      <w:pPr>
        <w:spacing w:after="0" w:line="8" w:lineRule="exact"/>
        <w:rPr>
          <w:rFonts w:ascii="Arial" w:cs="Arial" w:eastAsia="Arial" w:hAnsi="Arial"/>
          <w:sz w:val="16"/>
          <w:szCs w:val="16"/>
          <w:color w:val="auto"/>
        </w:rPr>
      </w:pPr>
    </w:p>
    <w:p>
      <w:pPr>
        <w:ind w:left="660" w:right="160" w:hanging="328"/>
        <w:spacing w:after="0" w:line="264"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three-year senior unsecured delayed draw term loan credit facility in an aggregate principal amount of $650 million, maturing on March 16, 2029 (the “Delayed Draw Term Loan Facility” and, together with the five-year and the 364-day senior unsecured revolving credit facilities, the “Credit Facilities”).</w:t>
      </w:r>
    </w:p>
    <w:p>
      <w:pPr>
        <w:spacing w:after="0" w:line="11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In the first quarter of 2026, in connection with the acquisition of Intelerad, the Company borrowed $500 million under the 364-day senior unsecured revolving credit facility and subsequently completed a $650 million drawdown of the Delayed Draw Term Loan Facility, which had aggregate lender commitments of $750 million. The $100 million of unused lender commitments for the Delayed Draw Term Loan Facility automatically terminated upon completion of the drawdown. Immediately following the acquisition, the Company repaid $500 million under the 364-day senior unsecured revolving credit facility. Refer to Note 7, “Acquisitions, Goodwill, and Other Intangible Assets” for more information on our Intelerad acquisition.</w:t>
      </w:r>
    </w:p>
    <w:p>
      <w:pPr>
        <w:spacing w:after="0" w:line="118"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There were no outstanding amounts under the five-year senior unsecured revolving credit facility or the 364-day senior unsecured revolving credit facility as of September 30, 2026 and December 31, 2025, respectively.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Borrowings Composition</w:t>
            </w:r>
          </w:p>
        </w:tc>
        <w:tc>
          <w:tcPr>
            <w:tcW w:w="260" w:type="dxa"/>
            <w:vAlign w:val="bottom"/>
          </w:tcPr>
          <w:p>
            <w:pPr>
              <w:spacing w:after="0"/>
              <w:rPr>
                <w:sz w:val="19"/>
                <w:szCs w:val="19"/>
                <w:color w:val="auto"/>
              </w:rPr>
            </w:pPr>
          </w:p>
        </w:tc>
        <w:tc>
          <w:tcPr>
            <w:tcW w:w="23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As of</w:t>
            </w:r>
          </w:p>
        </w:tc>
        <w:tc>
          <w:tcPr>
            <w:tcW w:w="1980" w:type="dxa"/>
            <w:vAlign w:val="bottom"/>
          </w:tcPr>
          <w:p>
            <w:pPr>
              <w:spacing w:after="0"/>
              <w:rPr>
                <w:sz w:val="19"/>
                <w:szCs w:val="19"/>
                <w:color w:val="auto"/>
              </w:rPr>
            </w:pPr>
          </w:p>
        </w:tc>
      </w:tr>
      <w:tr>
        <w:trPr>
          <w:trHeight w:val="21"/>
        </w:trPr>
        <w:tc>
          <w:tcPr>
            <w:tcW w:w="664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204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980" w:type="dxa"/>
            <w:vAlign w:val="bottom"/>
            <w:tcBorders>
              <w:bottom w:val="single" w:sz="8" w:color="454545"/>
            </w:tcBorders>
          </w:tcPr>
          <w:p>
            <w:pPr>
              <w:spacing w:after="0" w:line="20" w:lineRule="exact"/>
              <w:rPr>
                <w:sz w:val="1"/>
                <w:szCs w:val="1"/>
                <w:color w:val="auto"/>
              </w:rPr>
            </w:pPr>
          </w:p>
        </w:tc>
      </w:tr>
      <w:tr>
        <w:trPr>
          <w:trHeight w:val="229"/>
        </w:trPr>
        <w:tc>
          <w:tcPr>
            <w:tcW w:w="6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ind w:right="299"/>
              <w:spacing w:after="0"/>
              <w:rPr>
                <w:sz w:val="20"/>
                <w:szCs w:val="20"/>
                <w:color w:val="auto"/>
              </w:rPr>
            </w:pPr>
            <w:r>
              <w:rPr>
                <w:rFonts w:ascii="Arial" w:cs="Arial" w:eastAsia="Arial" w:hAnsi="Arial"/>
                <w:sz w:val="16"/>
                <w:szCs w:val="16"/>
                <w:b w:val="1"/>
                <w:bCs w:val="1"/>
                <w:color w:val="454545"/>
              </w:rPr>
              <w:t>September 30, 2026</w:t>
            </w:r>
          </w:p>
        </w:tc>
        <w:tc>
          <w:tcPr>
            <w:tcW w:w="320" w:type="dxa"/>
            <w:vAlign w:val="bottom"/>
          </w:tcPr>
          <w:p>
            <w:pPr>
              <w:spacing w:after="0"/>
              <w:rPr>
                <w:sz w:val="19"/>
                <w:szCs w:val="19"/>
                <w:color w:val="auto"/>
              </w:rPr>
            </w:pPr>
          </w:p>
        </w:tc>
        <w:tc>
          <w:tcPr>
            <w:tcW w:w="1980" w:type="dxa"/>
            <w:vAlign w:val="bottom"/>
          </w:tcPr>
          <w:p>
            <w:pPr>
              <w:jc w:val="right"/>
              <w:ind w:right="339"/>
              <w:spacing w:after="0"/>
              <w:rPr>
                <w:sz w:val="20"/>
                <w:szCs w:val="20"/>
                <w:color w:val="auto"/>
              </w:rPr>
            </w:pPr>
            <w:r>
              <w:rPr>
                <w:rFonts w:ascii="Arial" w:cs="Arial" w:eastAsia="Arial" w:hAnsi="Arial"/>
                <w:sz w:val="16"/>
                <w:szCs w:val="16"/>
                <w:b w:val="1"/>
                <w:bCs w:val="1"/>
                <w:color w:val="454545"/>
              </w:rPr>
              <w:t>December 31, 2025</w:t>
            </w:r>
          </w:p>
        </w:tc>
      </w:tr>
      <w:tr>
        <w:trPr>
          <w:trHeight w:val="21"/>
        </w:trPr>
        <w:tc>
          <w:tcPr>
            <w:tcW w:w="664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204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980" w:type="dxa"/>
            <w:vAlign w:val="bottom"/>
            <w:tcBorders>
              <w:bottom w:val="single" w:sz="8" w:color="6022A6"/>
            </w:tcBorders>
          </w:tcPr>
          <w:p>
            <w:pPr>
              <w:spacing w:after="0" w:line="20" w:lineRule="exact"/>
              <w:rPr>
                <w:sz w:val="1"/>
                <w:szCs w:val="1"/>
                <w:color w:val="auto"/>
              </w:rPr>
            </w:pPr>
          </w:p>
        </w:tc>
      </w:tr>
      <w:tr>
        <w:trPr>
          <w:trHeight w:val="230"/>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5.650% senior notes due November 15, 2027</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4.150% senior notes due December 15, 2028</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600</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9"/>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4.800% senior notes due August 14, 2029</w:t>
            </w:r>
          </w:p>
        </w:tc>
        <w:tc>
          <w:tcPr>
            <w:tcW w:w="260" w:type="dxa"/>
            <w:vAlign w:val="bottom"/>
            <w:tcBorders>
              <w:bottom w:val="single" w:sz="8" w:color="E4E4E4"/>
            </w:tcBorders>
            <w:shd w:val="clear" w:color="auto" w:fill="E4E4E4"/>
          </w:tcPr>
          <w:p>
            <w:pPr>
              <w:spacing w:after="0"/>
              <w:rPr>
                <w:sz w:val="20"/>
                <w:szCs w:val="20"/>
                <w:color w:val="auto"/>
              </w:rPr>
            </w:pPr>
          </w:p>
        </w:tc>
        <w:tc>
          <w:tcPr>
            <w:tcW w:w="2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5.857% senior notes due March 15, 2030</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1,250</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9"/>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4.800% senior notes due January 15, 2031</w:t>
            </w:r>
          </w:p>
        </w:tc>
        <w:tc>
          <w:tcPr>
            <w:tcW w:w="260" w:type="dxa"/>
            <w:vAlign w:val="bottom"/>
            <w:tcBorders>
              <w:bottom w:val="single" w:sz="8" w:color="E4E4E4"/>
            </w:tcBorders>
            <w:shd w:val="clear" w:color="auto" w:fill="E4E4E4"/>
          </w:tcPr>
          <w:p>
            <w:pPr>
              <w:spacing w:after="0"/>
              <w:rPr>
                <w:sz w:val="20"/>
                <w:szCs w:val="20"/>
                <w:color w:val="auto"/>
              </w:rPr>
            </w:pPr>
          </w:p>
        </w:tc>
        <w:tc>
          <w:tcPr>
            <w:tcW w:w="2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650</w:t>
            </w:r>
          </w:p>
        </w:tc>
        <w:tc>
          <w:tcPr>
            <w:tcW w:w="32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5.905% senior notes due November 22, 2032</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1,750</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1,750</w:t>
            </w:r>
          </w:p>
        </w:tc>
      </w:tr>
      <w:tr>
        <w:trPr>
          <w:trHeight w:val="29"/>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5.500% senior notes due June 15, 2035</w:t>
            </w:r>
          </w:p>
        </w:tc>
        <w:tc>
          <w:tcPr>
            <w:tcW w:w="260" w:type="dxa"/>
            <w:vAlign w:val="bottom"/>
            <w:tcBorders>
              <w:bottom w:val="single" w:sz="8" w:color="E4E4E4"/>
            </w:tcBorders>
            <w:shd w:val="clear" w:color="auto" w:fill="E4E4E4"/>
          </w:tcPr>
          <w:p>
            <w:pPr>
              <w:spacing w:after="0"/>
              <w:rPr>
                <w:sz w:val="20"/>
                <w:szCs w:val="20"/>
                <w:color w:val="auto"/>
              </w:rPr>
            </w:pPr>
          </w:p>
        </w:tc>
        <w:tc>
          <w:tcPr>
            <w:tcW w:w="2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850</w:t>
            </w:r>
          </w:p>
        </w:tc>
        <w:tc>
          <w:tcPr>
            <w:tcW w:w="32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4.950% senior notes due December 15, 2035</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650</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29"/>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6.377% senior notes due November 22, 2052</w:t>
            </w:r>
          </w:p>
        </w:tc>
        <w:tc>
          <w:tcPr>
            <w:tcW w:w="260" w:type="dxa"/>
            <w:vAlign w:val="bottom"/>
            <w:tcBorders>
              <w:bottom w:val="single" w:sz="8" w:color="E4E4E4"/>
            </w:tcBorders>
            <w:shd w:val="clear" w:color="auto" w:fill="E4E4E4"/>
          </w:tcPr>
          <w:p>
            <w:pPr>
              <w:spacing w:after="0"/>
              <w:rPr>
                <w:sz w:val="20"/>
                <w:szCs w:val="20"/>
                <w:color w:val="auto"/>
              </w:rPr>
            </w:pPr>
          </w:p>
        </w:tc>
        <w:tc>
          <w:tcPr>
            <w:tcW w:w="2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Floating rate Delayed Draw Term Loan Facility due March 16, 2029</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650</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6"/>
        </w:trPr>
        <w:tc>
          <w:tcPr>
            <w:tcW w:w="6640" w:type="dxa"/>
            <w:vAlign w:val="bottom"/>
            <w:shd w:val="clear" w:color="auto" w:fill="E4E4E4"/>
          </w:tcPr>
          <w:p>
            <w:pPr>
              <w:ind w:left="20"/>
              <w:spacing w:after="0"/>
              <w:rPr>
                <w:sz w:val="20"/>
                <w:szCs w:val="20"/>
                <w:color w:val="auto"/>
              </w:rPr>
            </w:pPr>
            <w:r>
              <w:rPr>
                <w:rFonts w:ascii="Arial" w:cs="Arial" w:eastAsia="Arial" w:hAnsi="Arial"/>
                <w:sz w:val="16"/>
                <w:szCs w:val="16"/>
                <w:color w:val="auto"/>
              </w:rPr>
              <w:t>Floating rate Term Loan Facility due January 2, 2026</w:t>
            </w:r>
            <w:r>
              <w:rPr>
                <w:rFonts w:ascii="Arial" w:cs="Arial" w:eastAsia="Arial" w:hAnsi="Arial"/>
                <w:sz w:val="21"/>
                <w:szCs w:val="21"/>
                <w:color w:val="auto"/>
                <w:vertAlign w:val="superscript"/>
              </w:rPr>
              <w:t>(1)</w:t>
            </w:r>
          </w:p>
        </w:tc>
        <w:tc>
          <w:tcPr>
            <w:tcW w:w="260" w:type="dxa"/>
            <w:vAlign w:val="bottom"/>
            <w:shd w:val="clear" w:color="auto" w:fill="E4E4E4"/>
          </w:tcPr>
          <w:p>
            <w:pPr>
              <w:spacing w:after="0"/>
              <w:rPr>
                <w:sz w:val="22"/>
                <w:szCs w:val="22"/>
                <w:color w:val="auto"/>
              </w:rPr>
            </w:pPr>
          </w:p>
        </w:tc>
        <w:tc>
          <w:tcPr>
            <w:tcW w:w="20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E4E4E4"/>
          </w:tcPr>
          <w:p>
            <w:pPr>
              <w:spacing w:after="0"/>
              <w:rPr>
                <w:sz w:val="22"/>
                <w:szCs w:val="22"/>
                <w:color w:val="auto"/>
              </w:rPr>
            </w:pPr>
          </w:p>
        </w:tc>
        <w:tc>
          <w:tcPr>
            <w:tcW w:w="19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500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9"/>
        </w:trPr>
        <w:tc>
          <w:tcPr>
            <w:tcW w:w="6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5"/>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principal debt issued</w:t>
            </w:r>
          </w:p>
        </w:tc>
        <w:tc>
          <w:tcPr>
            <w:tcW w:w="260" w:type="dxa"/>
            <w:vAlign w:val="bottom"/>
            <w:tcBorders>
              <w:bottom w:val="single" w:sz="8" w:color="E4E4E4"/>
            </w:tcBorders>
            <w:shd w:val="clear" w:color="auto" w:fill="E4E4E4"/>
          </w:tcPr>
          <w:p>
            <w:pPr>
              <w:spacing w:after="0"/>
              <w:rPr>
                <w:sz w:val="21"/>
                <w:szCs w:val="21"/>
                <w:color w:val="auto"/>
              </w:rPr>
            </w:pPr>
          </w:p>
        </w:tc>
        <w:tc>
          <w:tcPr>
            <w:tcW w:w="2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10,162</w:t>
            </w:r>
          </w:p>
        </w:tc>
        <w:tc>
          <w:tcPr>
            <w:tcW w:w="320" w:type="dxa"/>
            <w:vAlign w:val="bottom"/>
            <w:tcBorders>
              <w:bottom w:val="single" w:sz="8" w:color="E4E4E4"/>
            </w:tcBorders>
            <w:shd w:val="clear" w:color="auto" w:fill="E4E4E4"/>
          </w:tcPr>
          <w:p>
            <w:pPr>
              <w:spacing w:after="0"/>
              <w:rPr>
                <w:sz w:val="21"/>
                <w:szCs w:val="21"/>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10,024</w:t>
            </w:r>
          </w:p>
        </w:tc>
      </w:tr>
      <w:tr>
        <w:trPr>
          <w:trHeight w:val="221"/>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Less: Unamortized debt issuance costs and discounts</w:t>
            </w:r>
          </w:p>
        </w:tc>
        <w:tc>
          <w:tcPr>
            <w:tcW w:w="26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3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w:t>
            </w:r>
          </w:p>
        </w:tc>
      </w:tr>
      <w:tr>
        <w:trPr>
          <w:trHeight w:val="29"/>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1"/>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Cumulative basis adjustment for fair value hedges</w:t>
            </w:r>
          </w:p>
        </w:tc>
        <w:tc>
          <w:tcPr>
            <w:tcW w:w="260" w:type="dxa"/>
            <w:vAlign w:val="bottom"/>
            <w:tcBorders>
              <w:bottom w:val="single" w:sz="8" w:color="E4E4E4"/>
            </w:tcBorders>
            <w:shd w:val="clear" w:color="auto" w:fill="E4E4E4"/>
          </w:tcPr>
          <w:p>
            <w:pPr>
              <w:spacing w:after="0"/>
              <w:rPr>
                <w:sz w:val="22"/>
                <w:szCs w:val="22"/>
                <w:color w:val="auto"/>
              </w:rPr>
            </w:pPr>
          </w:p>
        </w:tc>
        <w:tc>
          <w:tcPr>
            <w:tcW w:w="2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(147)</w:t>
            </w:r>
          </w:p>
        </w:tc>
        <w:tc>
          <w:tcPr>
            <w:tcW w:w="320" w:type="dxa"/>
            <w:vAlign w:val="bottom"/>
            <w:tcBorders>
              <w:bottom w:val="single" w:sz="8" w:color="E4E4E4"/>
            </w:tcBorders>
            <w:shd w:val="clear" w:color="auto" w:fill="E4E4E4"/>
          </w:tcPr>
          <w:p>
            <w:pPr>
              <w:spacing w:after="0"/>
              <w:rPr>
                <w:sz w:val="22"/>
                <w:szCs w:val="22"/>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r>
      <w:tr>
        <w:trPr>
          <w:trHeight w:val="229"/>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borrowings</w:t>
            </w:r>
          </w:p>
        </w:tc>
        <w:tc>
          <w:tcPr>
            <w:tcW w:w="26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9,973</w:t>
            </w:r>
          </w:p>
        </w:tc>
        <w:tc>
          <w:tcPr>
            <w:tcW w:w="3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10,003</w:t>
            </w: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50"/>
        </w:trPr>
        <w:tc>
          <w:tcPr>
            <w:tcW w:w="66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Less: Short-term borrowings</w:t>
            </w:r>
            <w:r>
              <w:rPr>
                <w:rFonts w:ascii="Arial" w:cs="Arial" w:eastAsia="Arial" w:hAnsi="Arial"/>
                <w:sz w:val="21"/>
                <w:szCs w:val="21"/>
                <w:color w:val="auto"/>
                <w:vertAlign w:val="superscript"/>
              </w:rPr>
              <w:t>(2)</w:t>
            </w:r>
          </w:p>
        </w:tc>
        <w:tc>
          <w:tcPr>
            <w:tcW w:w="260" w:type="dxa"/>
            <w:vAlign w:val="bottom"/>
            <w:tcBorders>
              <w:bottom w:val="single" w:sz="8" w:color="auto"/>
            </w:tcBorders>
            <w:shd w:val="clear" w:color="auto" w:fill="E4E4E4"/>
          </w:tcPr>
          <w:p>
            <w:pPr>
              <w:spacing w:after="0"/>
              <w:rPr>
                <w:sz w:val="21"/>
                <w:szCs w:val="21"/>
                <w:color w:val="auto"/>
              </w:rPr>
            </w:pPr>
          </w:p>
        </w:tc>
        <w:tc>
          <w:tcPr>
            <w:tcW w:w="2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shd w:val="clear" w:color="auto" w:fill="E4E4E4"/>
          </w:tcPr>
          <w:p>
            <w:pPr>
              <w:spacing w:after="0"/>
              <w:rPr>
                <w:sz w:val="21"/>
                <w:szCs w:val="21"/>
                <w:color w:val="auto"/>
              </w:rPr>
            </w:pPr>
          </w:p>
        </w:tc>
        <w:tc>
          <w:tcPr>
            <w:tcW w:w="19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508</w:t>
            </w:r>
          </w:p>
        </w:tc>
      </w:tr>
      <w:tr>
        <w:trPr>
          <w:trHeight w:val="229"/>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Long-term borrowings</w:t>
            </w:r>
          </w:p>
        </w:tc>
        <w:tc>
          <w:tcPr>
            <w:tcW w:w="2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9,970</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980" w:type="dxa"/>
            <w:vAlign w:val="bottom"/>
          </w:tcPr>
          <w:p>
            <w:pPr>
              <w:jc w:val="right"/>
              <w:spacing w:after="0"/>
              <w:rPr>
                <w:sz w:val="20"/>
                <w:szCs w:val="20"/>
                <w:color w:val="auto"/>
              </w:rPr>
            </w:pPr>
            <w:r>
              <w:rPr>
                <w:rFonts w:ascii="Arial" w:cs="Arial" w:eastAsia="Arial" w:hAnsi="Arial"/>
                <w:sz w:val="16"/>
                <w:szCs w:val="16"/>
                <w:b w:val="1"/>
                <w:bCs w:val="1"/>
                <w:color w:val="auto"/>
              </w:rPr>
              <w:t>9,495</w:t>
            </w: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first quarter of 2026, the Company repaid $500 million of the remaining Term Loan Facility upon maturity.</w:t>
      </w:r>
    </w:p>
    <w:p>
      <w:pPr>
        <w:spacing w:after="0" w:line="21" w:lineRule="exact"/>
        <w:rPr>
          <w:rFonts w:ascii="Arial" w:cs="Arial" w:eastAsia="Arial" w:hAnsi="Arial"/>
          <w:sz w:val="16"/>
          <w:szCs w:val="16"/>
          <w:color w:val="auto"/>
        </w:rPr>
      </w:pPr>
    </w:p>
    <w:p>
      <w:pPr>
        <w:ind w:left="260" w:right="40" w:hanging="252"/>
        <w:spacing w:after="0" w:line="265" w:lineRule="auto"/>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Short-term borrowings as of September 30, 2026 and December 31, 2025 includes $2 million and $502 million, respectively, related to the current portion of our long-term borrowings, net of unamortized debt issuance costs and discounts.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See Note 12, “Financial Instruments and Fair Value Measurements” for further information about borrowings and associated derivatives contracts.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 GUARANTEES, AND OTHER COMMITMENTS.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2026 and December 31, 2025, the Company had bank guarantees and surety bonds of approximately $1,307 million and</w:t>
      </w:r>
    </w:p>
    <w:p>
      <w:pPr>
        <w:spacing w:after="0" w:line="3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$1,149 million, respectively, related to certain commercial contracts. Additionally, we have issued approximately $19 million and $22 million of guarantees as of September 30, 2026 and December 31, 2025, respectively, primarily related to residual value and credit guarantees on equipment sold to third-party finance companies. Our Condensed Consolidated Statements of Financial Position reflect a liability of $3 million as of both September 30, 2026 and December 31, 2025, related to these guarantees. For credit-related guarantees, we estimate our expected credit losses related to off-balance sheet credit exposure consistent with the method used to estimate the allowance for credit losses on financial assets held at amortized cost.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POSTRETIREMENT BENEFIT PLANS</w:t>
      </w:r>
    </w:p>
    <w:p>
      <w:pPr>
        <w:spacing w:after="0" w:line="25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sponsor a number of pension and retiree health and life insurance benefit plans that we present in three categories: U.S. Plans, International Plans, and Other Postretirement Plans (“OPEB Plans”). Pension plans with pension assets or obligations less than $50 million are not included in the results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Components of Expense (Income)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0" w:type="dxa"/>
            <w:vAlign w:val="bottom"/>
            <w:gridSpan w:val="5"/>
          </w:tcPr>
          <w:p>
            <w:pPr>
              <w:ind w:left="440"/>
              <w:spacing w:after="0"/>
              <w:rPr>
                <w:sz w:val="20"/>
                <w:szCs w:val="20"/>
                <w:color w:val="auto"/>
              </w:rPr>
            </w:pPr>
            <w:r>
              <w:rPr>
                <w:rFonts w:ascii="Arial" w:cs="Arial" w:eastAsia="Arial" w:hAnsi="Arial"/>
                <w:sz w:val="16"/>
                <w:szCs w:val="16"/>
                <w:b w:val="1"/>
                <w:bCs w:val="1"/>
                <w:color w:val="454545"/>
              </w:rPr>
              <w:t>U.S. Plans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5"/>
          </w:tcPr>
          <w:p>
            <w:pPr>
              <w:ind w:left="120"/>
              <w:spacing w:after="0"/>
              <w:rPr>
                <w:sz w:val="20"/>
                <w:szCs w:val="20"/>
                <w:color w:val="auto"/>
              </w:rPr>
            </w:pPr>
            <w:r>
              <w:rPr>
                <w:rFonts w:ascii="Arial" w:cs="Arial" w:eastAsia="Arial" w:hAnsi="Arial"/>
                <w:sz w:val="16"/>
                <w:szCs w:val="16"/>
                <w:b w:val="1"/>
                <w:bCs w:val="1"/>
                <w:color w:val="454545"/>
              </w:rPr>
              <w:t>International Plans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2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454545"/>
              </w:rPr>
              <w:t>OPEB Plans</w:t>
            </w:r>
          </w:p>
        </w:tc>
        <w:tc>
          <w:tcPr>
            <w:tcW w:w="0" w:type="dxa"/>
            <w:vAlign w:val="bottom"/>
          </w:tcPr>
          <w:p>
            <w:pPr>
              <w:spacing w:after="0"/>
              <w:rPr>
                <w:sz w:val="1"/>
                <w:szCs w:val="1"/>
                <w:color w:val="auto"/>
              </w:rPr>
            </w:pPr>
          </w:p>
        </w:tc>
      </w:tr>
      <w:tr>
        <w:trPr>
          <w:trHeight w:val="21"/>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454545"/>
              </w:rPr>
              <w:t>For the three months ended September 30,</w:t>
            </w:r>
          </w:p>
        </w:tc>
        <w:tc>
          <w:tcPr>
            <w:tcW w:w="2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5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2026</w:t>
            </w: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ind w:left="120"/>
              <w:spacing w:after="0"/>
              <w:rPr>
                <w:sz w:val="20"/>
                <w:szCs w:val="20"/>
                <w:color w:val="auto"/>
              </w:rPr>
            </w:pPr>
            <w:r>
              <w:rPr>
                <w:rFonts w:ascii="Arial" w:cs="Arial" w:eastAsia="Arial" w:hAnsi="Arial"/>
                <w:sz w:val="16"/>
                <w:szCs w:val="16"/>
                <w:b w:val="1"/>
                <w:bCs w:val="1"/>
                <w:color w:val="454545"/>
              </w:rPr>
              <w:t>2026</w:t>
            </w: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2026</w:t>
            </w: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2025</w:t>
            </w:r>
          </w:p>
        </w:tc>
        <w:tc>
          <w:tcPr>
            <w:tcW w:w="0" w:type="dxa"/>
            <w:vAlign w:val="bottom"/>
          </w:tcPr>
          <w:p>
            <w:pPr>
              <w:spacing w:after="0"/>
              <w:rPr>
                <w:sz w:val="1"/>
                <w:szCs w:val="1"/>
                <w:color w:val="auto"/>
              </w:rPr>
            </w:pPr>
          </w:p>
        </w:tc>
      </w:tr>
      <w:tr>
        <w:trPr>
          <w:trHeight w:val="21"/>
        </w:trPr>
        <w:tc>
          <w:tcPr>
            <w:tcW w:w="45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Service cost – Operating</w:t>
            </w:r>
          </w:p>
        </w:tc>
        <w:tc>
          <w:tcPr>
            <w:tcW w:w="240" w:type="dxa"/>
            <w:vAlign w:val="bottom"/>
            <w:tcBorders>
              <w:bottom w:val="single" w:sz="8" w:color="E4E4E4"/>
            </w:tcBorders>
            <w:gridSpan w:val="2"/>
            <w:shd w:val="clear" w:color="auto" w:fill="E4E4E4"/>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gridSpan w:val="2"/>
            <w:shd w:val="clear" w:color="auto" w:fill="E4E4E4"/>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28"/>
        </w:trPr>
        <w:tc>
          <w:tcPr>
            <w:tcW w:w="45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9"/>
        </w:trPr>
        <w:tc>
          <w:tcPr>
            <w:tcW w:w="4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return on plan assets</w:t>
            </w:r>
          </w:p>
        </w:tc>
        <w:tc>
          <w:tcPr>
            <w:tcW w:w="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(275)</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(287)</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560" w:type="dxa"/>
            <w:vAlign w:val="bottom"/>
          </w:tcPr>
          <w:p>
            <w:pPr>
              <w:ind w:left="20"/>
              <w:spacing w:after="0"/>
              <w:rPr>
                <w:sz w:val="20"/>
                <w:szCs w:val="20"/>
                <w:color w:val="auto"/>
              </w:rPr>
            </w:pPr>
            <w:r>
              <w:rPr>
                <w:rFonts w:ascii="Arial" w:cs="Arial" w:eastAsia="Arial" w:hAnsi="Arial"/>
                <w:sz w:val="16"/>
                <w:szCs w:val="16"/>
                <w:color w:val="auto"/>
              </w:rPr>
              <w:t>Amortization of net loss (gain)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9"/>
        </w:trPr>
        <w:tc>
          <w:tcPr>
            <w:tcW w:w="4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8"/>
        </w:trPr>
        <w:tc>
          <w:tcPr>
            <w:tcW w:w="4560" w:type="dxa"/>
            <w:vAlign w:val="bottom"/>
          </w:tcPr>
          <w:p>
            <w:pPr>
              <w:ind w:left="20"/>
              <w:spacing w:after="0"/>
              <w:rPr>
                <w:sz w:val="20"/>
                <w:szCs w:val="20"/>
                <w:color w:val="auto"/>
              </w:rPr>
            </w:pPr>
            <w:r>
              <w:rPr>
                <w:rFonts w:ascii="Arial" w:cs="Arial" w:eastAsia="Arial" w:hAnsi="Arial"/>
                <w:sz w:val="16"/>
                <w:szCs w:val="16"/>
                <w:color w:val="auto"/>
              </w:rPr>
              <w:t>Special termination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4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Non-operating</w:t>
            </w:r>
          </w:p>
        </w:tc>
        <w:tc>
          <w:tcPr>
            <w:tcW w:w="240" w:type="dxa"/>
            <w:vAlign w:val="bottom"/>
            <w:tcBorders>
              <w:bottom w:val="single" w:sz="8" w:color="E4E4E4"/>
            </w:tcBorders>
            <w:gridSpan w:val="2"/>
            <w:shd w:val="clear" w:color="auto" w:fill="E4E4E4"/>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(60)</w:t>
            </w:r>
          </w:p>
        </w:tc>
        <w:tc>
          <w:tcPr>
            <w:tcW w:w="20" w:type="dxa"/>
            <w:vAlign w:val="bottom"/>
            <w:tcBorders>
              <w:bottom w:val="single" w:sz="8" w:color="E4E4E4"/>
            </w:tcBorders>
            <w:shd w:val="clear" w:color="auto" w:fill="E4E4E4"/>
          </w:tcPr>
          <w:p>
            <w:pPr>
              <w:spacing w:after="0"/>
              <w:rPr>
                <w:sz w:val="21"/>
                <w:szCs w:val="21"/>
                <w:color w:val="auto"/>
              </w:rPr>
            </w:pPr>
          </w:p>
        </w:tc>
        <w:tc>
          <w:tcPr>
            <w:tcW w:w="6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gridSpan w:val="2"/>
            <w:shd w:val="clear" w:color="auto" w:fill="E4E4E4"/>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20" w:type="dxa"/>
            <w:vAlign w:val="bottom"/>
            <w:tcBorders>
              <w:bottom w:val="single" w:sz="8" w:color="E4E4E4"/>
            </w:tcBorders>
            <w:shd w:val="clear" w:color="auto" w:fill="E4E4E4"/>
          </w:tcPr>
          <w:p>
            <w:pPr>
              <w:spacing w:after="0"/>
              <w:rPr>
                <w:sz w:val="21"/>
                <w:szCs w:val="21"/>
                <w:color w:val="auto"/>
              </w:rPr>
            </w:pPr>
          </w:p>
        </w:tc>
        <w:tc>
          <w:tcPr>
            <w:tcW w:w="6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29"/>
        </w:trPr>
        <w:tc>
          <w:tcPr>
            <w:tcW w:w="45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periodic expense (income)</w:t>
            </w:r>
          </w:p>
        </w:tc>
        <w:tc>
          <w:tcPr>
            <w:tcW w:w="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21"/>
        </w:trPr>
        <w:tc>
          <w:tcPr>
            <w:tcW w:w="4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0"/>
        </w:trPr>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5"/>
          </w:tcPr>
          <w:p>
            <w:pPr>
              <w:ind w:left="460"/>
              <w:spacing w:after="0"/>
              <w:rPr>
                <w:sz w:val="20"/>
                <w:szCs w:val="20"/>
                <w:color w:val="auto"/>
              </w:rPr>
            </w:pPr>
            <w:r>
              <w:rPr>
                <w:rFonts w:ascii="Arial" w:cs="Arial" w:eastAsia="Arial" w:hAnsi="Arial"/>
                <w:sz w:val="16"/>
                <w:szCs w:val="16"/>
                <w:b w:val="1"/>
                <w:bCs w:val="1"/>
                <w:color w:val="454545"/>
              </w:rPr>
              <w:t>U.S. Plans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ind w:left="140"/>
              <w:spacing w:after="0"/>
              <w:rPr>
                <w:sz w:val="20"/>
                <w:szCs w:val="20"/>
                <w:color w:val="auto"/>
              </w:rPr>
            </w:pPr>
            <w:r>
              <w:rPr>
                <w:rFonts w:ascii="Arial" w:cs="Arial" w:eastAsia="Arial" w:hAnsi="Arial"/>
                <w:sz w:val="16"/>
                <w:szCs w:val="16"/>
                <w:b w:val="1"/>
                <w:bCs w:val="1"/>
                <w:color w:val="454545"/>
              </w:rPr>
              <w:t>International Plans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454545"/>
              </w:rPr>
              <w:t>OPEB Plans</w:t>
            </w:r>
          </w:p>
        </w:tc>
        <w:tc>
          <w:tcPr>
            <w:tcW w:w="0" w:type="dxa"/>
            <w:vAlign w:val="bottom"/>
          </w:tcPr>
          <w:p>
            <w:pPr>
              <w:spacing w:after="0"/>
              <w:rPr>
                <w:sz w:val="1"/>
                <w:szCs w:val="1"/>
                <w:color w:val="auto"/>
              </w:rPr>
            </w:pPr>
          </w:p>
        </w:tc>
      </w:tr>
      <w:tr>
        <w:trPr>
          <w:trHeight w:val="21"/>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454545"/>
              </w:rPr>
              <w:t>For the nine months ended September 30,</w:t>
            </w:r>
          </w:p>
        </w:tc>
        <w:tc>
          <w:tcPr>
            <w:tcW w:w="2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5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2026</w:t>
            </w:r>
          </w:p>
        </w:tc>
        <w:tc>
          <w:tcPr>
            <w:tcW w:w="240" w:type="dxa"/>
            <w:vAlign w:val="bottom"/>
          </w:tcPr>
          <w:p>
            <w:pPr>
              <w:spacing w:after="0"/>
              <w:rPr>
                <w:sz w:val="19"/>
                <w:szCs w:val="19"/>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ind w:left="140"/>
              <w:spacing w:after="0"/>
              <w:rPr>
                <w:sz w:val="20"/>
                <w:szCs w:val="20"/>
                <w:color w:val="auto"/>
              </w:rPr>
            </w:pPr>
            <w:r>
              <w:rPr>
                <w:rFonts w:ascii="Arial" w:cs="Arial" w:eastAsia="Arial" w:hAnsi="Arial"/>
                <w:sz w:val="16"/>
                <w:szCs w:val="16"/>
                <w:b w:val="1"/>
                <w:bCs w:val="1"/>
                <w:color w:val="454545"/>
              </w:rPr>
              <w:t>2026</w:t>
            </w:r>
          </w:p>
        </w:tc>
        <w:tc>
          <w:tcPr>
            <w:tcW w:w="240" w:type="dxa"/>
            <w:vAlign w:val="bottom"/>
          </w:tcPr>
          <w:p>
            <w:pPr>
              <w:spacing w:after="0"/>
              <w:rPr>
                <w:sz w:val="19"/>
                <w:szCs w:val="19"/>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2026</w:t>
            </w: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2025</w:t>
            </w:r>
          </w:p>
        </w:tc>
        <w:tc>
          <w:tcPr>
            <w:tcW w:w="0" w:type="dxa"/>
            <w:vAlign w:val="bottom"/>
          </w:tcPr>
          <w:p>
            <w:pPr>
              <w:spacing w:after="0"/>
              <w:rPr>
                <w:sz w:val="1"/>
                <w:szCs w:val="1"/>
                <w:color w:val="auto"/>
              </w:rPr>
            </w:pPr>
          </w:p>
        </w:tc>
      </w:tr>
      <w:tr>
        <w:trPr>
          <w:trHeight w:val="21"/>
        </w:trPr>
        <w:tc>
          <w:tcPr>
            <w:tcW w:w="45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Service cost – Operating</w:t>
            </w:r>
          </w:p>
        </w:tc>
        <w:tc>
          <w:tcPr>
            <w:tcW w:w="240" w:type="dxa"/>
            <w:vAlign w:val="bottom"/>
            <w:tcBorders>
              <w:bottom w:val="single" w:sz="8" w:color="E4E4E4"/>
            </w:tcBorders>
            <w:gridSpan w:val="2"/>
            <w:shd w:val="clear" w:color="auto" w:fill="E4E4E4"/>
          </w:tcPr>
          <w:p>
            <w:pPr>
              <w:jc w:val="right"/>
              <w:ind w:right="10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gridSpan w:val="2"/>
            <w:shd w:val="clear" w:color="auto" w:fill="E4E4E4"/>
          </w:tcPr>
          <w:p>
            <w:pPr>
              <w:jc w:val="right"/>
              <w:ind w:right="10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gridSpan w:val="2"/>
            <w:shd w:val="clear" w:color="auto" w:fill="E4E4E4"/>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28"/>
        </w:trPr>
        <w:tc>
          <w:tcPr>
            <w:tcW w:w="45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722</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9"/>
        </w:trPr>
        <w:tc>
          <w:tcPr>
            <w:tcW w:w="4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return on plan assets</w:t>
            </w:r>
          </w:p>
        </w:tc>
        <w:tc>
          <w:tcPr>
            <w:tcW w:w="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(825)</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(860)</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(113)</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560" w:type="dxa"/>
            <w:vAlign w:val="bottom"/>
          </w:tcPr>
          <w:p>
            <w:pPr>
              <w:ind w:left="20"/>
              <w:spacing w:after="0"/>
              <w:rPr>
                <w:sz w:val="20"/>
                <w:szCs w:val="20"/>
                <w:color w:val="auto"/>
              </w:rPr>
            </w:pPr>
            <w:r>
              <w:rPr>
                <w:rFonts w:ascii="Arial" w:cs="Arial" w:eastAsia="Arial" w:hAnsi="Arial"/>
                <w:sz w:val="16"/>
                <w:szCs w:val="16"/>
                <w:color w:val="auto"/>
              </w:rPr>
              <w:t>Amortization of net loss (gain)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9"/>
        </w:trPr>
        <w:tc>
          <w:tcPr>
            <w:tcW w:w="4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28"/>
        </w:trPr>
        <w:tc>
          <w:tcPr>
            <w:tcW w:w="4560" w:type="dxa"/>
            <w:vAlign w:val="bottom"/>
          </w:tcPr>
          <w:p>
            <w:pPr>
              <w:ind w:left="20"/>
              <w:spacing w:after="0"/>
              <w:rPr>
                <w:sz w:val="20"/>
                <w:szCs w:val="20"/>
                <w:color w:val="auto"/>
              </w:rPr>
            </w:pPr>
            <w:r>
              <w:rPr>
                <w:rFonts w:ascii="Arial" w:cs="Arial" w:eastAsia="Arial" w:hAnsi="Arial"/>
                <w:sz w:val="16"/>
                <w:szCs w:val="16"/>
                <w:color w:val="auto"/>
              </w:rPr>
              <w:t>Special termination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9"/>
        </w:trPr>
        <w:tc>
          <w:tcPr>
            <w:tcW w:w="4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Non-operating</w:t>
            </w:r>
          </w:p>
        </w:tc>
        <w:tc>
          <w:tcPr>
            <w:tcW w:w="240" w:type="dxa"/>
            <w:vAlign w:val="bottom"/>
            <w:tcBorders>
              <w:bottom w:val="single" w:sz="8" w:color="E4E4E4"/>
            </w:tcBorders>
            <w:gridSpan w:val="2"/>
            <w:shd w:val="clear" w:color="auto" w:fill="E4E4E4"/>
          </w:tcPr>
          <w:p>
            <w:pPr>
              <w:jc w:val="right"/>
              <w:ind w:right="10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(111)</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(179)</w:t>
            </w:r>
          </w:p>
        </w:tc>
        <w:tc>
          <w:tcPr>
            <w:tcW w:w="20" w:type="dxa"/>
            <w:vAlign w:val="bottom"/>
            <w:tcBorders>
              <w:bottom w:val="single" w:sz="8" w:color="E4E4E4"/>
            </w:tcBorders>
            <w:shd w:val="clear" w:color="auto" w:fill="E4E4E4"/>
          </w:tcPr>
          <w:p>
            <w:pPr>
              <w:spacing w:after="0"/>
              <w:rPr>
                <w:sz w:val="21"/>
                <w:szCs w:val="21"/>
                <w:color w:val="auto"/>
              </w:rPr>
            </w:pPr>
          </w:p>
        </w:tc>
        <w:tc>
          <w:tcPr>
            <w:tcW w:w="6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gridSpan w:val="2"/>
            <w:shd w:val="clear" w:color="auto" w:fill="E4E4E4"/>
          </w:tcPr>
          <w:p>
            <w:pPr>
              <w:jc w:val="right"/>
              <w:ind w:right="10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w:t>
            </w:r>
          </w:p>
        </w:tc>
        <w:tc>
          <w:tcPr>
            <w:tcW w:w="20" w:type="dxa"/>
            <w:vAlign w:val="bottom"/>
            <w:tcBorders>
              <w:bottom w:val="single" w:sz="8" w:color="E4E4E4"/>
            </w:tcBorders>
            <w:shd w:val="clear" w:color="auto" w:fill="E4E4E4"/>
          </w:tcPr>
          <w:p>
            <w:pPr>
              <w:spacing w:after="0"/>
              <w:rPr>
                <w:sz w:val="21"/>
                <w:szCs w:val="21"/>
                <w:color w:val="auto"/>
              </w:rPr>
            </w:pPr>
          </w:p>
        </w:tc>
        <w:tc>
          <w:tcPr>
            <w:tcW w:w="6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gridSpan w:val="2"/>
            <w:shd w:val="clear" w:color="auto" w:fill="E4E4E4"/>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(63)</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(64)</w:t>
            </w:r>
          </w:p>
        </w:tc>
        <w:tc>
          <w:tcPr>
            <w:tcW w:w="0" w:type="dxa"/>
            <w:vAlign w:val="bottom"/>
          </w:tcPr>
          <w:p>
            <w:pPr>
              <w:spacing w:after="0"/>
              <w:rPr>
                <w:sz w:val="1"/>
                <w:szCs w:val="1"/>
                <w:color w:val="auto"/>
              </w:rPr>
            </w:pPr>
          </w:p>
        </w:tc>
      </w:tr>
      <w:tr>
        <w:trPr>
          <w:trHeight w:val="229"/>
        </w:trPr>
        <w:tc>
          <w:tcPr>
            <w:tcW w:w="45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periodic expense (income)</w:t>
            </w:r>
          </w:p>
        </w:tc>
        <w:tc>
          <w:tcPr>
            <w:tcW w:w="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(108)</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(176)</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21"/>
        </w:trPr>
        <w:tc>
          <w:tcPr>
            <w:tcW w:w="4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In the nine months ended September 30, 2026, the Company made cash payments totaling $135 million to its U.S. Plans, $24 million to its International Plans, and $84 million to its OPEB Plans. As of September 30, 2026, the Company expects to make total cash contributions of approximately $350 million to these plans in 2026. The Company funds annually, at a minimum, the statutorily required minimum amount for our qualified plans. Non-qualified plans are unfunded and we pay benefits from our cash on hand.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Defined Contribution Plan</w:t>
      </w:r>
    </w:p>
    <w:p>
      <w:pPr>
        <w:spacing w:after="0" w:line="19"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GE HealthCare sponsors a defined contribution plan for its eligible U.S. employees. Expenses associated with our employees’ participation in GE HealthCare’s defined contribution plan were $34 million for both the three months ended September 30, 2026 and 2025, and $121 million and $118 million for the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5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Our effective income tax rate was 17.1% and 27.8% for the three months ended September 30, 2026 and 2025, respectively, and 17.5% and 20.3% for the nine months ended September 30, 2026 and 2025, respectively.</w:t>
      </w:r>
    </w:p>
    <w:p>
      <w:pPr>
        <w:spacing w:after="0" w:line="196"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tax rate for the three months ended September 30, 2026 is lower than the U.S. statutory rate primarily due to foreign income tax reserve releases and the use of tax attributes and foreign-derived deduction eligible income benefits, partially offset by withholding taxes, a foreign tax audit settlement, and geographic earnings mix. The tax rate for the nine months ended September 30, 2026 is lower than the U.S. statutory rate primarily due to the use of tax attributes and foreign-derived deduction eligible income benefits, foreign income tax reserve releases, reconciling adjustments to recorded tax account balances, and research and development (“R&amp;D”) benefits, partially offset by a foreign tax audit settlement, withholding taxes, geographic earnings mix, and state taxes.</w:t>
      </w:r>
    </w:p>
    <w:p>
      <w:pPr>
        <w:spacing w:after="0" w:line="40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tax rate for the three months ended September 30, 2025 is higher than the U.S. statutory rate primarily due to U.S. and foreign tax law changes, reconciling adjustments to recorded tax account balances, withholding taxes, geographic earnings mix, and state taxes, offset by the use of tax attributes and R&amp;D benefits. The tax rate for the nine months ended September 30, 2025 is lower than the U.S. statutory rate primarily due to foreign income tax reserve releases, the use of tax attributes, the nontaxable remeasurement gain that was recorded in connection with the NMP acquisition, and R&amp;D benefits, partially offset by withholding taxes, U.S. and foreign tax law changes, geographic earnings mix, reconciling adjustments to recorded tax account balances, and state taxes.</w:t>
      </w:r>
    </w:p>
    <w:p>
      <w:pPr>
        <w:spacing w:after="0" w:line="217"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The Company is currently being audited, or remains subject to audit, in a number of jurisdictions for the tax years 2004-2024, including China, France, Germany, India, Israel, Japan, Norway, the United Kingdom, and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80" w:type="dxa"/>
            <w:vAlign w:val="bottom"/>
          </w:tcPr>
          <w:p>
            <w:pPr>
              <w:spacing w:after="0"/>
              <w:rPr>
                <w:sz w:val="20"/>
                <w:szCs w:val="20"/>
                <w:color w:val="auto"/>
              </w:rPr>
            </w:pPr>
            <w:r>
              <w:rPr>
                <w:rFonts w:ascii="Arial" w:cs="Arial" w:eastAsia="Arial" w:hAnsi="Arial"/>
                <w:sz w:val="16"/>
                <w:szCs w:val="16"/>
                <w:b w:val="1"/>
                <w:bCs w:val="1"/>
                <w:color w:val="auto"/>
              </w:rPr>
              <w:t xml:space="preserve">ACCUMULATED OTHER COMPREHENSIVE INCOME (LOSS) </w:t>
            </w:r>
            <w:r>
              <w:rPr>
                <w:rFonts w:ascii="Arial" w:cs="Arial" w:eastAsia="Arial" w:hAnsi="Arial"/>
                <w:sz w:val="16"/>
                <w:szCs w:val="16"/>
                <w:color w:val="auto"/>
              </w:rPr>
              <w:t>–</w:t>
            </w:r>
            <w:r>
              <w:rPr>
                <w:rFonts w:ascii="Arial" w:cs="Arial" w:eastAsia="Arial" w:hAnsi="Arial"/>
                <w:sz w:val="16"/>
                <w:szCs w:val="16"/>
                <w:b w:val="1"/>
                <w:bCs w:val="1"/>
                <w:color w:val="auto"/>
              </w:rPr>
              <w:t xml:space="preserve"> NET.</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38"/>
        </w:trPr>
        <w:tc>
          <w:tcPr>
            <w:tcW w:w="5480" w:type="dxa"/>
            <w:vAlign w:val="bottom"/>
          </w:tcPr>
          <w:p>
            <w:pPr>
              <w:spacing w:after="0"/>
              <w:rPr>
                <w:sz w:val="20"/>
                <w:szCs w:val="20"/>
                <w:color w:val="auto"/>
              </w:rPr>
            </w:pPr>
            <w:r>
              <w:rPr>
                <w:rFonts w:ascii="Arial" w:cs="Arial" w:eastAsia="Arial" w:hAnsi="Arial"/>
                <w:sz w:val="16"/>
                <w:szCs w:val="16"/>
                <w:color w:val="auto"/>
              </w:rPr>
              <w:t>Changes in AOCI by component were as follows.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7"/>
        </w:trPr>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gridSpan w:val="7"/>
          </w:tcPr>
          <w:p>
            <w:pPr>
              <w:jc w:val="right"/>
              <w:ind w:right="959"/>
              <w:spacing w:after="0"/>
              <w:rPr>
                <w:sz w:val="20"/>
                <w:szCs w:val="20"/>
                <w:color w:val="auto"/>
              </w:rPr>
            </w:pPr>
            <w:r>
              <w:rPr>
                <w:rFonts w:ascii="Arial" w:cs="Arial" w:eastAsia="Arial" w:hAnsi="Arial"/>
                <w:sz w:val="16"/>
                <w:szCs w:val="16"/>
                <w:b w:val="1"/>
                <w:bCs w:val="1"/>
                <w:color w:val="454545"/>
              </w:rPr>
              <w:t>For the three months ended September 30, 2026</w:t>
            </w:r>
          </w:p>
        </w:tc>
      </w:tr>
      <w:tr>
        <w:trPr>
          <w:trHeight w:val="21"/>
        </w:trPr>
        <w:tc>
          <w:tcPr>
            <w:tcW w:w="54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r>
      <w:tr>
        <w:trPr>
          <w:trHeight w:val="209"/>
        </w:trPr>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Pension and</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Currency</w:t>
            </w:r>
          </w:p>
        </w:tc>
        <w:tc>
          <w:tcPr>
            <w:tcW w:w="140" w:type="dxa"/>
            <w:vAlign w:val="bottom"/>
          </w:tcPr>
          <w:p>
            <w:pPr>
              <w:spacing w:after="0"/>
              <w:rPr>
                <w:sz w:val="17"/>
                <w:szCs w:val="17"/>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Other</w:t>
            </w: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454545"/>
              </w:rPr>
              <w:t>translation</w:t>
            </w:r>
          </w:p>
        </w:tc>
        <w:tc>
          <w:tcPr>
            <w:tcW w:w="140" w:type="dxa"/>
            <w:vAlign w:val="bottom"/>
          </w:tcPr>
          <w:p>
            <w:pPr>
              <w:spacing w:after="0"/>
              <w:rPr>
                <w:sz w:val="17"/>
                <w:szCs w:val="17"/>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5480" w:type="dxa"/>
            <w:vAlign w:val="bottom"/>
            <w:tcBorders>
              <w:bottom w:val="single" w:sz="8" w:color="6022A6"/>
            </w:tcBorders>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center"/>
              <w:ind w:right="59"/>
              <w:spacing w:after="0" w:line="230" w:lineRule="exact"/>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40" w:type="dxa"/>
            <w:vAlign w:val="bottom"/>
          </w:tcPr>
          <w:p>
            <w:pPr>
              <w:spacing w:after="0"/>
              <w:rPr>
                <w:sz w:val="21"/>
                <w:szCs w:val="21"/>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Plans</w:t>
            </w: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454545"/>
              </w:rPr>
              <w:t>Cash flow hedges</w:t>
            </w:r>
          </w:p>
        </w:tc>
        <w:tc>
          <w:tcPr>
            <w:tcW w:w="180" w:type="dxa"/>
            <w:vAlign w:val="bottom"/>
          </w:tcPr>
          <w:p>
            <w:pPr>
              <w:spacing w:after="0"/>
              <w:rPr>
                <w:sz w:val="21"/>
                <w:szCs w:val="21"/>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454545"/>
              </w:rPr>
              <w:t>Total AOCI</w:t>
            </w:r>
          </w:p>
        </w:tc>
      </w:tr>
      <w:tr>
        <w:trPr>
          <w:trHeight w:val="223"/>
        </w:trPr>
        <w:tc>
          <w:tcPr>
            <w:tcW w:w="548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June 30, 2026</w:t>
            </w:r>
          </w:p>
        </w:tc>
        <w:tc>
          <w:tcPr>
            <w:tcW w:w="16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(1,637)</w:t>
            </w:r>
          </w:p>
        </w:tc>
        <w:tc>
          <w:tcPr>
            <w:tcW w:w="1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129</w:t>
            </w:r>
          </w:p>
        </w:tc>
        <w:tc>
          <w:tcPr>
            <w:tcW w:w="640" w:type="dxa"/>
            <w:vAlign w:val="bottom"/>
            <w:tcBorders>
              <w:top w:val="single" w:sz="8" w:color="6022A6"/>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w:t>
            </w:r>
          </w:p>
        </w:tc>
        <w:tc>
          <w:tcPr>
            <w:tcW w:w="18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(1,480)</w:t>
            </w: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 – net of taxes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of $—, $1, and $2</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9"/>
        </w:trPr>
        <w:tc>
          <w:tcPr>
            <w:tcW w:w="5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54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$7, and $2</w:t>
            </w:r>
          </w:p>
        </w:tc>
        <w:tc>
          <w:tcPr>
            <w:tcW w:w="160" w:type="dxa"/>
            <w:vAlign w:val="bottom"/>
            <w:tcBorders>
              <w:bottom w:val="single" w:sz="8" w:color="auto"/>
            </w:tcBorders>
            <w:shd w:val="clear" w:color="auto" w:fill="E4E4E4"/>
          </w:tcPr>
          <w:p>
            <w:pPr>
              <w:spacing w:after="0"/>
              <w:rPr>
                <w:sz w:val="22"/>
                <w:szCs w:val="22"/>
                <w:color w:val="auto"/>
              </w:rPr>
            </w:pPr>
          </w:p>
        </w:tc>
        <w:tc>
          <w:tcPr>
            <w:tcW w:w="13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64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shd w:val="clear" w:color="auto" w:fill="E4E4E4"/>
          </w:tcPr>
          <w:p>
            <w:pPr>
              <w:spacing w:after="0"/>
              <w:rPr>
                <w:sz w:val="22"/>
                <w:szCs w:val="22"/>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(23)</w:t>
            </w:r>
          </w:p>
        </w:tc>
      </w:tr>
      <w:tr>
        <w:trPr>
          <w:trHeight w:val="229"/>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548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shd w:val="clear" w:color="auto" w:fill="E4E4E4"/>
          </w:tcPr>
          <w:p>
            <w:pPr>
              <w:spacing w:after="0"/>
              <w:rPr>
                <w:sz w:val="18"/>
                <w:szCs w:val="18"/>
                <w:color w:val="auto"/>
              </w:rPr>
            </w:pPr>
          </w:p>
        </w:tc>
        <w:tc>
          <w:tcPr>
            <w:tcW w:w="130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4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160" w:type="dxa"/>
            <w:vAlign w:val="bottom"/>
            <w:shd w:val="clear" w:color="auto" w:fill="E4E4E4"/>
          </w:tcPr>
          <w:p>
            <w:pPr>
              <w:spacing w:after="0"/>
              <w:rPr>
                <w:sz w:val="18"/>
                <w:szCs w:val="18"/>
                <w:color w:val="auto"/>
              </w:rPr>
            </w:pPr>
          </w:p>
        </w:tc>
      </w:tr>
      <w:tr>
        <w:trPr>
          <w:trHeight w:val="249"/>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E4E4E4"/>
            </w:tcBorders>
            <w:shd w:val="clear" w:color="auto" w:fill="E4E4E4"/>
          </w:tcPr>
          <w:p>
            <w:pPr>
              <w:spacing w:after="0"/>
              <w:rPr>
                <w:sz w:val="21"/>
                <w:szCs w:val="21"/>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1"/>
                <w:szCs w:val="21"/>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(1,575)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104</w:t>
            </w: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(1,459)</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0" w:type="dxa"/>
            <w:vAlign w:val="bottom"/>
            <w:tcBorders>
              <w:bottom w:val="single" w:sz="8" w:color="auto"/>
            </w:tcBorders>
            <w:gridSpan w:val="7"/>
          </w:tcPr>
          <w:p>
            <w:pPr>
              <w:spacing w:after="0" w:line="20" w:lineRule="exact"/>
              <w:rPr>
                <w:sz w:val="1"/>
                <w:szCs w:val="1"/>
                <w:color w:val="auto"/>
              </w:rPr>
            </w:pPr>
          </w:p>
        </w:tc>
      </w:tr>
      <w:tr>
        <w:trPr>
          <w:trHeight w:val="594"/>
        </w:trPr>
        <w:tc>
          <w:tcPr>
            <w:tcW w:w="5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0" w:type="dxa"/>
            <w:vAlign w:val="bottom"/>
            <w:gridSpan w:val="7"/>
          </w:tcPr>
          <w:p>
            <w:pPr>
              <w:jc w:val="right"/>
              <w:ind w:right="959"/>
              <w:spacing w:after="0"/>
              <w:rPr>
                <w:sz w:val="20"/>
                <w:szCs w:val="20"/>
                <w:color w:val="auto"/>
              </w:rPr>
            </w:pPr>
            <w:r>
              <w:rPr>
                <w:rFonts w:ascii="Arial" w:cs="Arial" w:eastAsia="Arial" w:hAnsi="Arial"/>
                <w:sz w:val="16"/>
                <w:szCs w:val="16"/>
                <w:b w:val="1"/>
                <w:bCs w:val="1"/>
                <w:color w:val="454545"/>
              </w:rPr>
              <w:t>For the three months ended September 30, 2025</w:t>
            </w:r>
          </w:p>
        </w:tc>
      </w:tr>
      <w:tr>
        <w:trPr>
          <w:trHeight w:val="21"/>
        </w:trPr>
        <w:tc>
          <w:tcPr>
            <w:tcW w:w="54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r>
      <w:tr>
        <w:trPr>
          <w:trHeight w:val="209"/>
        </w:trPr>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Pension and</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Currency</w:t>
            </w:r>
          </w:p>
        </w:tc>
        <w:tc>
          <w:tcPr>
            <w:tcW w:w="140" w:type="dxa"/>
            <w:vAlign w:val="bottom"/>
          </w:tcPr>
          <w:p>
            <w:pPr>
              <w:spacing w:after="0"/>
              <w:rPr>
                <w:sz w:val="17"/>
                <w:szCs w:val="17"/>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Other</w:t>
            </w: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454545"/>
              </w:rPr>
              <w:t>translation</w:t>
            </w:r>
          </w:p>
        </w:tc>
        <w:tc>
          <w:tcPr>
            <w:tcW w:w="140" w:type="dxa"/>
            <w:vAlign w:val="bottom"/>
          </w:tcPr>
          <w:p>
            <w:pPr>
              <w:spacing w:after="0"/>
              <w:rPr>
                <w:sz w:val="17"/>
                <w:szCs w:val="17"/>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5480" w:type="dxa"/>
            <w:vAlign w:val="bottom"/>
            <w:tcBorders>
              <w:bottom w:val="single" w:sz="8" w:color="6022A6"/>
            </w:tcBorders>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center"/>
              <w:ind w:right="59"/>
              <w:spacing w:after="0" w:line="230" w:lineRule="exact"/>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40" w:type="dxa"/>
            <w:vAlign w:val="bottom"/>
          </w:tcPr>
          <w:p>
            <w:pPr>
              <w:spacing w:after="0"/>
              <w:rPr>
                <w:sz w:val="21"/>
                <w:szCs w:val="21"/>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Plans</w:t>
            </w: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454545"/>
              </w:rPr>
              <w:t>Cash flow hedges</w:t>
            </w:r>
          </w:p>
        </w:tc>
        <w:tc>
          <w:tcPr>
            <w:tcW w:w="180" w:type="dxa"/>
            <w:vAlign w:val="bottom"/>
          </w:tcPr>
          <w:p>
            <w:pPr>
              <w:spacing w:after="0"/>
              <w:rPr>
                <w:sz w:val="21"/>
                <w:szCs w:val="21"/>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454545"/>
              </w:rPr>
              <w:t>Total AOCI</w:t>
            </w:r>
          </w:p>
        </w:tc>
      </w:tr>
      <w:tr>
        <w:trPr>
          <w:trHeight w:val="224"/>
        </w:trPr>
        <w:tc>
          <w:tcPr>
            <w:tcW w:w="548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June 30, 2025</w:t>
            </w:r>
          </w:p>
        </w:tc>
        <w:tc>
          <w:tcPr>
            <w:tcW w:w="16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(1,495)</w:t>
            </w:r>
          </w:p>
        </w:tc>
        <w:tc>
          <w:tcPr>
            <w:tcW w:w="1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428</w:t>
            </w:r>
          </w:p>
        </w:tc>
        <w:tc>
          <w:tcPr>
            <w:tcW w:w="640" w:type="dxa"/>
            <w:vAlign w:val="bottom"/>
            <w:tcBorders>
              <w:top w:val="single" w:sz="8" w:color="6022A6"/>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w:t>
            </w:r>
          </w:p>
        </w:tc>
        <w:tc>
          <w:tcPr>
            <w:tcW w:w="18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(1,090)</w:t>
            </w: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 – net of taxes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of $5, $(4), and $(5)</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9"/>
        </w:trPr>
        <w:tc>
          <w:tcPr>
            <w:tcW w:w="5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6"/>
        </w:trPr>
        <w:tc>
          <w:tcPr>
            <w:tcW w:w="54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$12, and $1</w:t>
            </w:r>
          </w:p>
        </w:tc>
        <w:tc>
          <w:tcPr>
            <w:tcW w:w="160" w:type="dxa"/>
            <w:vAlign w:val="bottom"/>
            <w:tcBorders>
              <w:bottom w:val="single" w:sz="8" w:color="auto"/>
            </w:tcBorders>
            <w:shd w:val="clear" w:color="auto" w:fill="E4E4E4"/>
          </w:tcPr>
          <w:p>
            <w:pPr>
              <w:spacing w:after="0"/>
              <w:rPr>
                <w:sz w:val="22"/>
                <w:szCs w:val="22"/>
                <w:color w:val="auto"/>
              </w:rPr>
            </w:pPr>
          </w:p>
        </w:tc>
        <w:tc>
          <w:tcPr>
            <w:tcW w:w="13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64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180" w:type="dxa"/>
            <w:vAlign w:val="bottom"/>
            <w:tcBorders>
              <w:bottom w:val="single" w:sz="8" w:color="auto"/>
            </w:tcBorders>
            <w:shd w:val="clear" w:color="auto" w:fill="E4E4E4"/>
          </w:tcPr>
          <w:p>
            <w:pPr>
              <w:spacing w:after="0"/>
              <w:rPr>
                <w:sz w:val="22"/>
                <w:szCs w:val="22"/>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(51)</w:t>
            </w:r>
          </w:p>
        </w:tc>
      </w:tr>
      <w:tr>
        <w:trPr>
          <w:trHeight w:val="229"/>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(59)</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(71)</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548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shd w:val="clear" w:color="auto" w:fill="E4E4E4"/>
          </w:tcPr>
          <w:p>
            <w:pPr>
              <w:spacing w:after="0"/>
              <w:rPr>
                <w:sz w:val="18"/>
                <w:szCs w:val="18"/>
                <w:color w:val="auto"/>
              </w:rPr>
            </w:pPr>
          </w:p>
        </w:tc>
        <w:tc>
          <w:tcPr>
            <w:tcW w:w="130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4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160" w:type="dxa"/>
            <w:vAlign w:val="bottom"/>
            <w:shd w:val="clear" w:color="auto" w:fill="E4E4E4"/>
          </w:tcPr>
          <w:p>
            <w:pPr>
              <w:spacing w:after="0"/>
              <w:rPr>
                <w:sz w:val="18"/>
                <w:szCs w:val="18"/>
                <w:color w:val="auto"/>
              </w:rPr>
            </w:pPr>
          </w:p>
        </w:tc>
      </w:tr>
      <w:tr>
        <w:trPr>
          <w:trHeight w:val="249"/>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E4E4E4"/>
            </w:tcBorders>
            <w:shd w:val="clear" w:color="auto" w:fill="E4E4E4"/>
          </w:tcPr>
          <w:p>
            <w:pPr>
              <w:spacing w:after="0"/>
              <w:rPr>
                <w:sz w:val="21"/>
                <w:szCs w:val="21"/>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1"/>
                <w:szCs w:val="21"/>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(1,549)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399</w:t>
            </w: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(1,156)</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0" w:type="dxa"/>
            <w:vAlign w:val="bottom"/>
            <w:gridSpan w:val="7"/>
          </w:tcPr>
          <w:p>
            <w:pPr>
              <w:jc w:val="right"/>
              <w:ind w:right="979"/>
              <w:spacing w:after="0"/>
              <w:rPr>
                <w:sz w:val="20"/>
                <w:szCs w:val="20"/>
                <w:color w:val="auto"/>
              </w:rPr>
            </w:pPr>
            <w:r>
              <w:rPr>
                <w:rFonts w:ascii="Arial" w:cs="Arial" w:eastAsia="Arial" w:hAnsi="Arial"/>
                <w:sz w:val="16"/>
                <w:szCs w:val="16"/>
                <w:b w:val="1"/>
                <w:bCs w:val="1"/>
                <w:color w:val="454545"/>
              </w:rPr>
              <w:t>For the nine months ended September 30, 2026</w:t>
            </w:r>
          </w:p>
        </w:tc>
      </w:tr>
      <w:tr>
        <w:trPr>
          <w:trHeight w:val="21"/>
        </w:trPr>
        <w:tc>
          <w:tcPr>
            <w:tcW w:w="54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r>
      <w:tr>
        <w:trPr>
          <w:trHeight w:val="209"/>
        </w:trPr>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Pension and</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Currency</w:t>
            </w:r>
          </w:p>
        </w:tc>
        <w:tc>
          <w:tcPr>
            <w:tcW w:w="140" w:type="dxa"/>
            <w:vAlign w:val="bottom"/>
          </w:tcPr>
          <w:p>
            <w:pPr>
              <w:spacing w:after="0"/>
              <w:rPr>
                <w:sz w:val="17"/>
                <w:szCs w:val="17"/>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Other</w:t>
            </w: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454545"/>
              </w:rPr>
              <w:t>translation</w:t>
            </w:r>
          </w:p>
        </w:tc>
        <w:tc>
          <w:tcPr>
            <w:tcW w:w="140" w:type="dxa"/>
            <w:vAlign w:val="bottom"/>
          </w:tcPr>
          <w:p>
            <w:pPr>
              <w:spacing w:after="0"/>
              <w:rPr>
                <w:sz w:val="17"/>
                <w:szCs w:val="17"/>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5480" w:type="dxa"/>
            <w:vAlign w:val="bottom"/>
            <w:tcBorders>
              <w:bottom w:val="single" w:sz="8" w:color="6022A6"/>
            </w:tcBorders>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center"/>
              <w:ind w:right="59"/>
              <w:spacing w:after="0" w:line="230" w:lineRule="exact"/>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40" w:type="dxa"/>
            <w:vAlign w:val="bottom"/>
          </w:tcPr>
          <w:p>
            <w:pPr>
              <w:spacing w:after="0"/>
              <w:rPr>
                <w:sz w:val="21"/>
                <w:szCs w:val="21"/>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Plans</w:t>
            </w: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454545"/>
              </w:rPr>
              <w:t>Cash flow hedges</w:t>
            </w:r>
          </w:p>
        </w:tc>
        <w:tc>
          <w:tcPr>
            <w:tcW w:w="180" w:type="dxa"/>
            <w:vAlign w:val="bottom"/>
          </w:tcPr>
          <w:p>
            <w:pPr>
              <w:spacing w:after="0"/>
              <w:rPr>
                <w:sz w:val="21"/>
                <w:szCs w:val="21"/>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454545"/>
              </w:rPr>
              <w:t>Total AOCI</w:t>
            </w:r>
          </w:p>
        </w:tc>
      </w:tr>
      <w:tr>
        <w:trPr>
          <w:trHeight w:val="223"/>
        </w:trPr>
        <w:tc>
          <w:tcPr>
            <w:tcW w:w="548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2025</w:t>
            </w:r>
          </w:p>
        </w:tc>
        <w:tc>
          <w:tcPr>
            <w:tcW w:w="16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(1,548)</w:t>
            </w:r>
          </w:p>
        </w:tc>
        <w:tc>
          <w:tcPr>
            <w:tcW w:w="1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158</w:t>
            </w:r>
          </w:p>
        </w:tc>
        <w:tc>
          <w:tcPr>
            <w:tcW w:w="640" w:type="dxa"/>
            <w:vAlign w:val="bottom"/>
            <w:tcBorders>
              <w:top w:val="single" w:sz="8" w:color="6022A6"/>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18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(1,388)</w:t>
            </w: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 – net of taxes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of $(17), $(2), and $(8)</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5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6"/>
        </w:trPr>
        <w:tc>
          <w:tcPr>
            <w:tcW w:w="54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$19, and $3</w:t>
            </w:r>
          </w:p>
        </w:tc>
        <w:tc>
          <w:tcPr>
            <w:tcW w:w="160" w:type="dxa"/>
            <w:vAlign w:val="bottom"/>
            <w:tcBorders>
              <w:bottom w:val="single" w:sz="8" w:color="auto"/>
            </w:tcBorders>
            <w:shd w:val="clear" w:color="auto" w:fill="E4E4E4"/>
          </w:tcPr>
          <w:p>
            <w:pPr>
              <w:spacing w:after="0"/>
              <w:rPr>
                <w:sz w:val="22"/>
                <w:szCs w:val="22"/>
                <w:color w:val="auto"/>
              </w:rPr>
            </w:pPr>
          </w:p>
        </w:tc>
        <w:tc>
          <w:tcPr>
            <w:tcW w:w="13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(64)</w:t>
            </w:r>
          </w:p>
        </w:tc>
        <w:tc>
          <w:tcPr>
            <w:tcW w:w="64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180" w:type="dxa"/>
            <w:vAlign w:val="bottom"/>
            <w:tcBorders>
              <w:bottom w:val="single" w:sz="8" w:color="auto"/>
            </w:tcBorders>
            <w:shd w:val="clear" w:color="auto" w:fill="E4E4E4"/>
          </w:tcPr>
          <w:p>
            <w:pPr>
              <w:spacing w:after="0"/>
              <w:rPr>
                <w:sz w:val="22"/>
                <w:szCs w:val="22"/>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(80)</w:t>
            </w:r>
          </w:p>
        </w:tc>
      </w:tr>
      <w:tr>
        <w:trPr>
          <w:trHeight w:val="229"/>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(80)</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548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shd w:val="clear" w:color="auto" w:fill="E4E4E4"/>
          </w:tcPr>
          <w:p>
            <w:pPr>
              <w:spacing w:after="0"/>
              <w:rPr>
                <w:sz w:val="18"/>
                <w:szCs w:val="18"/>
                <w:color w:val="auto"/>
              </w:rPr>
            </w:pPr>
          </w:p>
        </w:tc>
        <w:tc>
          <w:tcPr>
            <w:tcW w:w="130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4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160" w:type="dxa"/>
            <w:vAlign w:val="bottom"/>
            <w:shd w:val="clear" w:color="auto" w:fill="E4E4E4"/>
          </w:tcPr>
          <w:p>
            <w:pPr>
              <w:spacing w:after="0"/>
              <w:rPr>
                <w:sz w:val="18"/>
                <w:szCs w:val="18"/>
                <w:color w:val="auto"/>
              </w:rPr>
            </w:pPr>
          </w:p>
        </w:tc>
      </w:tr>
      <w:tr>
        <w:trPr>
          <w:trHeight w:val="249"/>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E4E4E4"/>
            </w:tcBorders>
            <w:shd w:val="clear" w:color="auto" w:fill="E4E4E4"/>
          </w:tcPr>
          <w:p>
            <w:pPr>
              <w:spacing w:after="0"/>
              <w:rPr>
                <w:sz w:val="21"/>
                <w:szCs w:val="21"/>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64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1"/>
                <w:szCs w:val="21"/>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r>
      <w:tr>
        <w:trPr>
          <w:trHeight w:val="22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(1,575)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104</w:t>
            </w: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(1,459)</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0" w:type="dxa"/>
            <w:vAlign w:val="bottom"/>
            <w:tcBorders>
              <w:bottom w:val="single" w:sz="8" w:color="auto"/>
            </w:tcBorders>
            <w:gridSpan w:val="7"/>
          </w:tcPr>
          <w:p>
            <w:pPr>
              <w:spacing w:after="0" w:line="20" w:lineRule="exact"/>
              <w:rPr>
                <w:sz w:val="1"/>
                <w:szCs w:val="1"/>
                <w:color w:val="auto"/>
              </w:rPr>
            </w:pPr>
          </w:p>
        </w:tc>
      </w:tr>
      <w:tr>
        <w:trPr>
          <w:trHeight w:val="593"/>
        </w:trPr>
        <w:tc>
          <w:tcPr>
            <w:tcW w:w="5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0" w:type="dxa"/>
            <w:vAlign w:val="bottom"/>
            <w:gridSpan w:val="7"/>
          </w:tcPr>
          <w:p>
            <w:pPr>
              <w:jc w:val="right"/>
              <w:ind w:right="979"/>
              <w:spacing w:after="0"/>
              <w:rPr>
                <w:sz w:val="20"/>
                <w:szCs w:val="20"/>
                <w:color w:val="auto"/>
              </w:rPr>
            </w:pPr>
            <w:r>
              <w:rPr>
                <w:rFonts w:ascii="Arial" w:cs="Arial" w:eastAsia="Arial" w:hAnsi="Arial"/>
                <w:sz w:val="16"/>
                <w:szCs w:val="16"/>
                <w:b w:val="1"/>
                <w:bCs w:val="1"/>
                <w:color w:val="454545"/>
              </w:rPr>
              <w:t>For the nine months ended September 30, 2025</w:t>
            </w:r>
          </w:p>
        </w:tc>
      </w:tr>
      <w:tr>
        <w:trPr>
          <w:trHeight w:val="21"/>
        </w:trPr>
        <w:tc>
          <w:tcPr>
            <w:tcW w:w="54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r>
      <w:tr>
        <w:trPr>
          <w:trHeight w:val="209"/>
        </w:trPr>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Pension and</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Currency</w:t>
            </w:r>
          </w:p>
        </w:tc>
        <w:tc>
          <w:tcPr>
            <w:tcW w:w="140" w:type="dxa"/>
            <w:vAlign w:val="bottom"/>
          </w:tcPr>
          <w:p>
            <w:pPr>
              <w:spacing w:after="0"/>
              <w:rPr>
                <w:sz w:val="17"/>
                <w:szCs w:val="17"/>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Other</w:t>
            </w: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454545"/>
              </w:rPr>
              <w:t>translation</w:t>
            </w:r>
          </w:p>
        </w:tc>
        <w:tc>
          <w:tcPr>
            <w:tcW w:w="140" w:type="dxa"/>
            <w:vAlign w:val="bottom"/>
          </w:tcPr>
          <w:p>
            <w:pPr>
              <w:spacing w:after="0"/>
              <w:rPr>
                <w:sz w:val="17"/>
                <w:szCs w:val="17"/>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5480" w:type="dxa"/>
            <w:vAlign w:val="bottom"/>
            <w:tcBorders>
              <w:bottom w:val="single" w:sz="8" w:color="6022A6"/>
            </w:tcBorders>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center"/>
              <w:ind w:right="59"/>
              <w:spacing w:after="0" w:line="230" w:lineRule="exact"/>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40" w:type="dxa"/>
            <w:vAlign w:val="bottom"/>
          </w:tcPr>
          <w:p>
            <w:pPr>
              <w:spacing w:after="0"/>
              <w:rPr>
                <w:sz w:val="21"/>
                <w:szCs w:val="21"/>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454545"/>
              </w:rPr>
              <w:t>Plans</w:t>
            </w: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454545"/>
              </w:rPr>
              <w:t>Cash flow hedges</w:t>
            </w:r>
          </w:p>
        </w:tc>
        <w:tc>
          <w:tcPr>
            <w:tcW w:w="180" w:type="dxa"/>
            <w:vAlign w:val="bottom"/>
          </w:tcPr>
          <w:p>
            <w:pPr>
              <w:spacing w:after="0"/>
              <w:rPr>
                <w:sz w:val="21"/>
                <w:szCs w:val="21"/>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454545"/>
              </w:rPr>
              <w:t>Total AOCI</w:t>
            </w:r>
          </w:p>
        </w:tc>
      </w:tr>
      <w:tr>
        <w:trPr>
          <w:trHeight w:val="224"/>
        </w:trPr>
        <w:tc>
          <w:tcPr>
            <w:tcW w:w="548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2024</w:t>
            </w:r>
          </w:p>
        </w:tc>
        <w:tc>
          <w:tcPr>
            <w:tcW w:w="16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(1,973)</w:t>
            </w:r>
          </w:p>
        </w:tc>
        <w:tc>
          <w:tcPr>
            <w:tcW w:w="1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576</w:t>
            </w:r>
          </w:p>
        </w:tc>
        <w:tc>
          <w:tcPr>
            <w:tcW w:w="640" w:type="dxa"/>
            <w:vAlign w:val="bottom"/>
            <w:tcBorders>
              <w:top w:val="single" w:sz="8" w:color="6022A6"/>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18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(1,379)</w:t>
            </w: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 – net of taxes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of $64, $13, and $9</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356</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9"/>
        </w:trPr>
        <w:tc>
          <w:tcPr>
            <w:tcW w:w="5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54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(2)(3)</w:t>
            </w:r>
            <w:r>
              <w:rPr>
                <w:rFonts w:ascii="Arial" w:cs="Arial" w:eastAsia="Arial" w:hAnsi="Arial"/>
                <w:sz w:val="16"/>
                <w:szCs w:val="16"/>
                <w:color w:val="auto"/>
              </w:rPr>
              <w:t xml:space="preserve"> of $—, $40, and $1</w:t>
            </w:r>
          </w:p>
        </w:tc>
        <w:tc>
          <w:tcPr>
            <w:tcW w:w="160" w:type="dxa"/>
            <w:vAlign w:val="bottom"/>
            <w:tcBorders>
              <w:bottom w:val="single" w:sz="8" w:color="auto"/>
            </w:tcBorders>
            <w:shd w:val="clear" w:color="auto" w:fill="E4E4E4"/>
          </w:tcPr>
          <w:p>
            <w:pPr>
              <w:spacing w:after="0"/>
              <w:rPr>
                <w:sz w:val="22"/>
                <w:szCs w:val="22"/>
                <w:color w:val="auto"/>
              </w:rPr>
            </w:pPr>
          </w:p>
        </w:tc>
        <w:tc>
          <w:tcPr>
            <w:tcW w:w="13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63</w:t>
            </w:r>
          </w:p>
        </w:tc>
        <w:tc>
          <w:tcPr>
            <w:tcW w:w="14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(131)</w:t>
            </w:r>
          </w:p>
        </w:tc>
        <w:tc>
          <w:tcPr>
            <w:tcW w:w="64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auto"/>
            </w:tcBorders>
            <w:shd w:val="clear" w:color="auto" w:fill="E4E4E4"/>
          </w:tcPr>
          <w:p>
            <w:pPr>
              <w:spacing w:after="0"/>
              <w:rPr>
                <w:sz w:val="22"/>
                <w:szCs w:val="22"/>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(71)</w:t>
            </w:r>
          </w:p>
        </w:tc>
      </w:tr>
      <w:tr>
        <w:trPr>
          <w:trHeight w:val="229"/>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419</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(177)</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218</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548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shd w:val="clear" w:color="auto" w:fill="E4E4E4"/>
          </w:tcPr>
          <w:p>
            <w:pPr>
              <w:spacing w:after="0"/>
              <w:rPr>
                <w:sz w:val="18"/>
                <w:szCs w:val="18"/>
                <w:color w:val="auto"/>
              </w:rPr>
            </w:pPr>
          </w:p>
        </w:tc>
        <w:tc>
          <w:tcPr>
            <w:tcW w:w="130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4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160" w:type="dxa"/>
            <w:vAlign w:val="bottom"/>
            <w:shd w:val="clear" w:color="auto" w:fill="E4E4E4"/>
          </w:tcPr>
          <w:p>
            <w:pPr>
              <w:spacing w:after="0"/>
              <w:rPr>
                <w:sz w:val="18"/>
                <w:szCs w:val="18"/>
                <w:color w:val="auto"/>
              </w:rPr>
            </w:pPr>
          </w:p>
        </w:tc>
      </w:tr>
      <w:tr>
        <w:trPr>
          <w:trHeight w:val="249"/>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E4E4E4"/>
            </w:tcBorders>
            <w:shd w:val="clear" w:color="auto" w:fill="E4E4E4"/>
          </w:tcPr>
          <w:p>
            <w:pPr>
              <w:spacing w:after="0"/>
              <w:rPr>
                <w:sz w:val="21"/>
                <w:szCs w:val="21"/>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1"/>
                <w:szCs w:val="21"/>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(1,549)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399</w:t>
            </w: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(1,156)</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100" w:hanging="252"/>
        <w:spacing w:after="0" w:line="265"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amount of Currency translation adjustments recognized within Other comprehensive income (loss) (“OCI”) included net gains (losses) relating to net investment hedges, as further discussed in Note 12, “Financial Instruments and Fair Value Measurements.”</w:t>
      </w:r>
    </w:p>
    <w:p>
      <w:pPr>
        <w:spacing w:after="0" w:line="1" w:lineRule="exact"/>
        <w:rPr>
          <w:rFonts w:ascii="Arial" w:cs="Arial" w:eastAsia="Arial" w:hAnsi="Arial"/>
          <w:sz w:val="16"/>
          <w:szCs w:val="16"/>
          <w:color w:val="auto"/>
        </w:rPr>
      </w:pPr>
    </w:p>
    <w:p>
      <w:pPr>
        <w:ind w:left="260" w:right="80" w:hanging="252"/>
        <w:spacing w:after="0" w:line="255"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Reclassifications from AOCI into earnings for Pension and Other Postretirement Plans are recognized within Non-operating benefit (income) costs, while Cash flow hedges are recognized within Cost of products and Cost of services in our Condensed Consolidated Statements of Income.</w:t>
      </w:r>
    </w:p>
    <w:p>
      <w:pPr>
        <w:ind w:left="260" w:right="100" w:hanging="252"/>
        <w:spacing w:after="0" w:line="264"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net of tax impact of $63 million of gains to Currency translation adjustments and $8 million of losses to Pension and Other Postretirement Plans related to the derecognition of the prior NMP equity method investment. Refer to Note 7, “Acquisitions, Goodwill, and Other Intangible Assets” for additional information on the NMP acquisition.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REPURCHASES.</w:t>
      </w:r>
    </w:p>
    <w:p>
      <w:pPr>
        <w:spacing w:after="0" w:line="262" w:lineRule="exact"/>
        <w:rPr>
          <w:sz w:val="20"/>
          <w:szCs w:val="20"/>
          <w:color w:val="auto"/>
        </w:rPr>
      </w:pPr>
    </w:p>
    <w:p>
      <w:pPr>
        <w:jc w:val="both"/>
        <w:ind w:right="140"/>
        <w:spacing w:after="0" w:line="257" w:lineRule="auto"/>
        <w:rPr>
          <w:sz w:val="20"/>
          <w:szCs w:val="20"/>
          <w:color w:val="auto"/>
        </w:rPr>
      </w:pPr>
      <w:r>
        <w:rPr>
          <w:rFonts w:ascii="Arial" w:cs="Arial" w:eastAsia="Arial" w:hAnsi="Arial"/>
          <w:sz w:val="16"/>
          <w:szCs w:val="16"/>
          <w:color w:val="auto"/>
        </w:rPr>
        <w:t>On April 30, 2025, our Board of Directors authorized a share repurchase program (the “repurchase program”) for up to $1,000 million of our common stock. The repurchase program does not have an expiration date, does not obligate the Company to acquire any particular amount of common stock, and may be suspended or terminated at any time at the Company's discretion. We did not repurchase any shares during the three months ended September 30, 2026.</w:t>
      </w:r>
    </w:p>
    <w:p>
      <w:pPr>
        <w:spacing w:after="0" w:line="2"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During the nine months ended September 30, 2026, we repurchased 4.7 million shares for total consideration of approximately $300 million. During the three and nine months ended September 30, 2025, we repurchased 1.4 million shares and 2.8 million shares, respectively, for total consideration of approximately $100 million and $200 million, respectively. As of September 30, 2026, we had $500 million available under the repurchase program authorization.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INSTRUMENTS AND FAIR VALUE MEASUREMENTS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w:t>
      </w:r>
    </w:p>
    <w:p>
      <w:pPr>
        <w:spacing w:after="0" w:line="24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Our primary objective in executing and holding derivative contracts is to reduce the volatility of earnings and cash flows associated with risks related to foreign currency exchange rates, interest rates, and equity prices. These derivative contracts reduce, but do not entirely eliminate, the aforementioned risks. Our policy is to use derivative contracts solely for managing risks and not for speculative purposes.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 Hedges</w:t>
      </w:r>
    </w:p>
    <w:p>
      <w:pPr>
        <w:spacing w:after="0" w:line="19"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For derivative instruments designated as cash flow hedges, changes in the fair value of designated hedging instruments are initially recorded as a component of AOCI and subsequently reclassified to earnings in the period in which the hedged transaction affects earnings and to the same financial statement line item impacted by the hedged transaction. As of September 30, 2026, we expect to reclassify $29 million of pre-tax net deferred gains associated with designated cash flow hedges to earnings in the next 12 months, contemporaneously with the impact on earnings of the related hedged transactions.</w:t>
      </w:r>
    </w:p>
    <w:p>
      <w:pPr>
        <w:sectPr>
          <w:pgSz w:w="11900" w:h="16838" w:orient="portrait"/>
          <w:cols w:equalWidth="0" w:num="1">
            <w:col w:w="11240"/>
          </w:cols>
          <w:pgMar w:left="320" w:top="130" w:right="339" w:bottom="11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119"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Within the Condensed Consolidated Statements of Cash Flows, cash flows associated with derivatives designated as cash flow hedges are recorded in All other operating activities – net.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Investment Hedges</w:t>
      </w:r>
    </w:p>
    <w:p>
      <w:pPr>
        <w:spacing w:after="0" w:line="19"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We use cross-currency interest rate swaps and foreign currency forward contracts in combination with foreign currency option contracts to hedge the foreign currency risk associated with our net investment in foreign operations. As of September 30, 2026, these contracts were designated as hedges of our net investment in foreign operations, primarily in Euro and Chinese Renminbi currencies.</w:t>
      </w:r>
    </w:p>
    <w:p>
      <w:pPr>
        <w:spacing w:after="0" w:line="20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Within the Condensed Consolidated Statements of Cash Flows, cash flows associated with derivatives designated as net investment hedges are recorded in All other investing activities – net and cash flows from the periodic interest settlements on the cross-currency swaps are recorded in All other operating activities – net.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Hedges</w:t>
      </w:r>
    </w:p>
    <w:p>
      <w:pPr>
        <w:spacing w:after="0" w:line="19"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We use interest rate swaps to hedge the interest rate risk on our fixed rate borrowings. These derivatives are designated as fair value hedges to hedge the changes in fair value due to benchmark interest rate risk of specific designated cash flows of our senior unsecured notes.</w:t>
      </w:r>
    </w:p>
    <w:p>
      <w:pPr>
        <w:spacing w:after="0" w:line="212"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color w:val="auto"/>
        </w:rPr>
        <w:t>We record the changes in fair value on these swap contracts in Interest and other financial charges – net in our Condensed Consolidated Statements of Income, the same line item where the offsetting change in the fair value of the designated cash flows of the senior unsecured note is recorded as a basis adjustment.</w:t>
      </w:r>
    </w:p>
    <w:p>
      <w:pPr>
        <w:spacing w:after="0" w:line="19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Within the Condensed Consolidated Statements of Cash Flows, cash flows for the periodic interest settlements on the interest rate swaps are recorded in All other operating activities – net.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 Not Designated as Hedging Instrument</w:t>
      </w:r>
      <w:r>
        <w:rPr>
          <w:rFonts w:ascii="Arial" w:cs="Arial" w:eastAsia="Arial" w:hAnsi="Arial"/>
          <w:sz w:val="16"/>
          <w:szCs w:val="16"/>
          <w:color w:val="auto"/>
        </w:rPr>
        <w:t>s</w:t>
      </w:r>
    </w:p>
    <w:p>
      <w:pPr>
        <w:spacing w:after="0" w:line="2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also execute derivative instruments, such as foreign currency forward contracts and equity-linked total return swaps, which are not designated as qualifying hedges. These derivatives serve as economic hedges of foreign currency exchange rate and equity price risks. We also identify and record foreign currency-related features in our purchase or sales contracts where the currency is not the local or functional currency of any substantive party to the contract as embedded derivatives.</w:t>
      </w:r>
    </w:p>
    <w:p>
      <w:pPr>
        <w:spacing w:after="0" w:line="21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changes in fair value of derivatives not designated as qualifying hedge transactions are recorded in Cost of products, Cost of services, Selling, general, and administrative (“SG&amp;A”), and Other (income) expense – net in the Condensed Consolidated Statements of Income based on the nature of the underlying hedged transaction. Changes in fair value of embedded derivatives are recognized within Other (income) expense – net in the Condensed Consolidated Statements of Income.</w:t>
      </w:r>
    </w:p>
    <w:p>
      <w:pPr>
        <w:spacing w:after="0" w:line="200" w:lineRule="exact"/>
        <w:rPr>
          <w:sz w:val="20"/>
          <w:szCs w:val="20"/>
          <w:color w:val="auto"/>
        </w:rPr>
      </w:pPr>
    </w:p>
    <w:p>
      <w:pPr>
        <w:jc w:val="both"/>
        <w:ind w:right="300"/>
        <w:spacing w:after="0" w:line="275" w:lineRule="auto"/>
        <w:rPr>
          <w:sz w:val="20"/>
          <w:szCs w:val="20"/>
          <w:color w:val="auto"/>
        </w:rPr>
      </w:pPr>
      <w:r>
        <w:rPr>
          <w:rFonts w:ascii="Arial" w:cs="Arial" w:eastAsia="Arial" w:hAnsi="Arial"/>
          <w:sz w:val="16"/>
          <w:szCs w:val="16"/>
          <w:color w:val="auto"/>
        </w:rPr>
        <w:t>Within the Condensed Consolidated Statements of Cash Flows, cash flows associated with derivatives not designated but used as economic hedges are recorded, based on the nature of the underlying hedged transaction, in All other operating activities – net and All other investing activities – net, and cash flows related to embedded derivatives are recorded in All other operating activities – net.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gross fair values of our outstanding derivative instruments.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Fair Value of Derivatives</w:t>
            </w:r>
          </w:p>
        </w:tc>
        <w:tc>
          <w:tcPr>
            <w:tcW w:w="160" w:type="dxa"/>
            <w:vAlign w:val="bottom"/>
          </w:tcPr>
          <w:p>
            <w:pPr>
              <w:spacing w:after="0"/>
              <w:rPr>
                <w:sz w:val="19"/>
                <w:szCs w:val="19"/>
                <w:color w:val="auto"/>
              </w:rPr>
            </w:pPr>
          </w:p>
        </w:tc>
        <w:tc>
          <w:tcPr>
            <w:tcW w:w="2920" w:type="dxa"/>
            <w:vAlign w:val="bottom"/>
            <w:gridSpan w:val="5"/>
          </w:tcPr>
          <w:p>
            <w:pPr>
              <w:jc w:val="center"/>
              <w:ind w:right="59"/>
              <w:spacing w:after="0"/>
              <w:rPr>
                <w:sz w:val="20"/>
                <w:szCs w:val="20"/>
                <w:color w:val="auto"/>
              </w:rPr>
            </w:pPr>
            <w:r>
              <w:rPr>
                <w:rFonts w:ascii="Arial" w:cs="Arial" w:eastAsia="Arial" w:hAnsi="Arial"/>
                <w:sz w:val="16"/>
                <w:szCs w:val="16"/>
                <w:b w:val="1"/>
                <w:bCs w:val="1"/>
                <w:color w:val="454545"/>
              </w:rPr>
              <w:t>September 30, 2026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5"/>
          </w:tcPr>
          <w:p>
            <w:pPr>
              <w:jc w:val="center"/>
              <w:ind w:right="79"/>
              <w:spacing w:after="0"/>
              <w:rPr>
                <w:sz w:val="20"/>
                <w:szCs w:val="20"/>
                <w:color w:val="auto"/>
              </w:rPr>
            </w:pPr>
            <w:r>
              <w:rPr>
                <w:rFonts w:ascii="Arial" w:cs="Arial" w:eastAsia="Arial" w:hAnsi="Arial"/>
                <w:sz w:val="16"/>
                <w:szCs w:val="16"/>
                <w:b w:val="1"/>
                <w:bCs w:val="1"/>
                <w:color w:val="454545"/>
              </w:rPr>
              <w:t>December 31, 2025</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gridSpan w:val="2"/>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gridSpan w:val="2"/>
          </w:tcPr>
          <w:p>
            <w:pPr>
              <w:spacing w:after="0" w:line="20" w:lineRule="exact"/>
              <w:rPr>
                <w:sz w:val="1"/>
                <w:szCs w:val="1"/>
                <w:color w:val="auto"/>
              </w:rPr>
            </w:pPr>
          </w:p>
        </w:tc>
        <w:tc>
          <w:tcPr>
            <w:tcW w:w="1060" w:type="dxa"/>
            <w:vAlign w:val="bottom"/>
            <w:tcBorders>
              <w:bottom w:val="single" w:sz="8" w:color="454545"/>
            </w:tcBorders>
            <w:gridSpan w:val="2"/>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b w:val="1"/>
                <w:bCs w:val="1"/>
                <w:color w:val="454545"/>
              </w:rPr>
              <w:t>Gross</w:t>
            </w: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Fair Value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b w:val="1"/>
                <w:bCs w:val="1"/>
                <w:color w:val="454545"/>
              </w:rPr>
              <w:t>Gross</w:t>
            </w: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Fair Value –</w:t>
            </w:r>
          </w:p>
        </w:tc>
      </w:tr>
      <w:tr>
        <w:trPr>
          <w:trHeight w:val="237"/>
        </w:trPr>
        <w:tc>
          <w:tcPr>
            <w:tcW w:w="4980" w:type="dxa"/>
            <w:vAlign w:val="bottom"/>
            <w:tcBorders>
              <w:bottom w:val="single" w:sz="8" w:color="6022A6"/>
            </w:tcBorders>
          </w:tcPr>
          <w:p>
            <w:pPr>
              <w:spacing w:after="0"/>
              <w:rPr>
                <w:sz w:val="20"/>
                <w:szCs w:val="20"/>
                <w:color w:val="auto"/>
              </w:rPr>
            </w:pPr>
          </w:p>
        </w:tc>
        <w:tc>
          <w:tcPr>
            <w:tcW w:w="160" w:type="dxa"/>
            <w:vAlign w:val="bottom"/>
            <w:tcBorders>
              <w:bottom w:val="single" w:sz="8" w:color="6022A6"/>
            </w:tcBorders>
          </w:tcPr>
          <w:p>
            <w:pPr>
              <w:spacing w:after="0"/>
              <w:rPr>
                <w:sz w:val="20"/>
                <w:szCs w:val="20"/>
                <w:color w:val="auto"/>
              </w:rPr>
            </w:pPr>
          </w:p>
        </w:tc>
        <w:tc>
          <w:tcPr>
            <w:tcW w:w="860" w:type="dxa"/>
            <w:vAlign w:val="bottom"/>
            <w:tcBorders>
              <w:bottom w:val="single" w:sz="8" w:color="6022A6"/>
            </w:tcBorders>
          </w:tcPr>
          <w:p>
            <w:pPr>
              <w:jc w:val="right"/>
              <w:ind w:right="99"/>
              <w:spacing w:after="0"/>
              <w:rPr>
                <w:sz w:val="20"/>
                <w:szCs w:val="20"/>
                <w:color w:val="auto"/>
              </w:rPr>
            </w:pPr>
            <w:r>
              <w:rPr>
                <w:rFonts w:ascii="Arial" w:cs="Arial" w:eastAsia="Arial" w:hAnsi="Arial"/>
                <w:sz w:val="16"/>
                <w:szCs w:val="16"/>
                <w:b w:val="1"/>
                <w:bCs w:val="1"/>
                <w:color w:val="454545"/>
              </w:rPr>
              <w:t>Notional</w:t>
            </w:r>
          </w:p>
        </w:tc>
        <w:tc>
          <w:tcPr>
            <w:tcW w:w="200" w:type="dxa"/>
            <w:vAlign w:val="bottom"/>
            <w:tcBorders>
              <w:bottom w:val="single" w:sz="8" w:color="6022A6"/>
            </w:tcBorders>
          </w:tcPr>
          <w:p>
            <w:pPr>
              <w:spacing w:after="0"/>
              <w:rPr>
                <w:sz w:val="20"/>
                <w:szCs w:val="20"/>
                <w:color w:val="auto"/>
              </w:rPr>
            </w:pPr>
          </w:p>
        </w:tc>
        <w:tc>
          <w:tcPr>
            <w:tcW w:w="82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rPr>
              <w:t>Assets</w:t>
            </w:r>
          </w:p>
        </w:tc>
        <w:tc>
          <w:tcPr>
            <w:tcW w:w="160" w:type="dxa"/>
            <w:vAlign w:val="bottom"/>
            <w:tcBorders>
              <w:bottom w:val="single" w:sz="8" w:color="6022A6"/>
            </w:tcBorders>
          </w:tcPr>
          <w:p>
            <w:pPr>
              <w:spacing w:after="0"/>
              <w:rPr>
                <w:sz w:val="20"/>
                <w:szCs w:val="20"/>
                <w:color w:val="auto"/>
              </w:rPr>
            </w:pPr>
          </w:p>
        </w:tc>
        <w:tc>
          <w:tcPr>
            <w:tcW w:w="880" w:type="dxa"/>
            <w:vAlign w:val="bottom"/>
            <w:tcBorders>
              <w:bottom w:val="single" w:sz="8" w:color="6022A6"/>
            </w:tcBorders>
          </w:tcPr>
          <w:p>
            <w:pPr>
              <w:jc w:val="right"/>
              <w:ind w:right="59"/>
              <w:spacing w:after="0"/>
              <w:rPr>
                <w:sz w:val="20"/>
                <w:szCs w:val="20"/>
                <w:color w:val="auto"/>
              </w:rPr>
            </w:pPr>
            <w:r>
              <w:rPr>
                <w:rFonts w:ascii="Arial" w:cs="Arial" w:eastAsia="Arial" w:hAnsi="Arial"/>
                <w:sz w:val="16"/>
                <w:szCs w:val="16"/>
                <w:b w:val="1"/>
                <w:bCs w:val="1"/>
                <w:color w:val="454545"/>
                <w:w w:val="97"/>
              </w:rPr>
              <w:t>Liabilities</w:t>
            </w:r>
          </w:p>
        </w:tc>
        <w:tc>
          <w:tcPr>
            <w:tcW w:w="80" w:type="dxa"/>
            <w:vAlign w:val="bottom"/>
            <w:tcBorders>
              <w:bottom w:val="single" w:sz="8" w:color="6022A6"/>
            </w:tcBorders>
          </w:tcPr>
          <w:p>
            <w:pPr>
              <w:spacing w:after="0"/>
              <w:rPr>
                <w:sz w:val="20"/>
                <w:szCs w:val="20"/>
                <w:color w:val="auto"/>
              </w:rPr>
            </w:pPr>
          </w:p>
        </w:tc>
        <w:tc>
          <w:tcPr>
            <w:tcW w:w="160" w:type="dxa"/>
            <w:vAlign w:val="bottom"/>
            <w:tcBorders>
              <w:bottom w:val="single" w:sz="8" w:color="6022A6"/>
            </w:tcBorders>
          </w:tcPr>
          <w:p>
            <w:pPr>
              <w:spacing w:after="0"/>
              <w:rPr>
                <w:sz w:val="20"/>
                <w:szCs w:val="20"/>
                <w:color w:val="auto"/>
              </w:rPr>
            </w:pPr>
          </w:p>
        </w:tc>
        <w:tc>
          <w:tcPr>
            <w:tcW w:w="860" w:type="dxa"/>
            <w:vAlign w:val="bottom"/>
            <w:tcBorders>
              <w:bottom w:val="single" w:sz="8" w:color="6022A6"/>
            </w:tcBorders>
          </w:tcPr>
          <w:p>
            <w:pPr>
              <w:jc w:val="right"/>
              <w:ind w:right="99"/>
              <w:spacing w:after="0"/>
              <w:rPr>
                <w:sz w:val="20"/>
                <w:szCs w:val="20"/>
                <w:color w:val="auto"/>
              </w:rPr>
            </w:pPr>
            <w:r>
              <w:rPr>
                <w:rFonts w:ascii="Arial" w:cs="Arial" w:eastAsia="Arial" w:hAnsi="Arial"/>
                <w:sz w:val="16"/>
                <w:szCs w:val="16"/>
                <w:b w:val="1"/>
                <w:bCs w:val="1"/>
                <w:color w:val="454545"/>
              </w:rPr>
              <w:t>Notional</w:t>
            </w:r>
          </w:p>
        </w:tc>
        <w:tc>
          <w:tcPr>
            <w:tcW w:w="200" w:type="dxa"/>
            <w:vAlign w:val="bottom"/>
            <w:tcBorders>
              <w:bottom w:val="single" w:sz="8" w:color="6022A6"/>
            </w:tcBorders>
          </w:tcPr>
          <w:p>
            <w:pPr>
              <w:spacing w:after="0"/>
              <w:rPr>
                <w:sz w:val="20"/>
                <w:szCs w:val="20"/>
                <w:color w:val="auto"/>
              </w:rPr>
            </w:pPr>
          </w:p>
        </w:tc>
        <w:tc>
          <w:tcPr>
            <w:tcW w:w="82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rPr>
              <w:t>Assets</w:t>
            </w:r>
          </w:p>
        </w:tc>
        <w:tc>
          <w:tcPr>
            <w:tcW w:w="160" w:type="dxa"/>
            <w:vAlign w:val="bottom"/>
            <w:tcBorders>
              <w:bottom w:val="single" w:sz="8" w:color="6022A6"/>
            </w:tcBorders>
          </w:tcPr>
          <w:p>
            <w:pPr>
              <w:spacing w:after="0"/>
              <w:rPr>
                <w:sz w:val="20"/>
                <w:szCs w:val="20"/>
                <w:color w:val="auto"/>
              </w:rPr>
            </w:pPr>
          </w:p>
        </w:tc>
        <w:tc>
          <w:tcPr>
            <w:tcW w:w="900" w:type="dxa"/>
            <w:vAlign w:val="bottom"/>
            <w:tcBorders>
              <w:bottom w:val="single" w:sz="8" w:color="6022A6"/>
            </w:tcBorders>
          </w:tcPr>
          <w:p>
            <w:pPr>
              <w:jc w:val="right"/>
              <w:ind w:right="59"/>
              <w:spacing w:after="0"/>
              <w:rPr>
                <w:sz w:val="20"/>
                <w:szCs w:val="20"/>
                <w:color w:val="auto"/>
              </w:rPr>
            </w:pPr>
            <w:r>
              <w:rPr>
                <w:rFonts w:ascii="Arial" w:cs="Arial" w:eastAsia="Arial" w:hAnsi="Arial"/>
                <w:sz w:val="16"/>
                <w:szCs w:val="16"/>
                <w:b w:val="1"/>
                <w:bCs w:val="1"/>
                <w:color w:val="454545"/>
              </w:rPr>
              <w:t>Liabilities</w:t>
            </w: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1,438</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1,508</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accounted for as cash flow hedges</w:t>
            </w: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1,438</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1,508</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16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3,977</w:t>
            </w:r>
          </w:p>
        </w:tc>
        <w:tc>
          <w:tcPr>
            <w:tcW w:w="20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67</w:t>
            </w:r>
          </w:p>
        </w:tc>
        <w:tc>
          <w:tcPr>
            <w:tcW w:w="1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69</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4,115</w:t>
            </w:r>
          </w:p>
        </w:tc>
        <w:tc>
          <w:tcPr>
            <w:tcW w:w="20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c>
          <w:tcPr>
            <w:tcW w:w="16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135</w:t>
            </w:r>
          </w:p>
        </w:tc>
      </w:tr>
      <w:tr>
        <w:trPr>
          <w:trHeight w:val="257"/>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2,888</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2,581</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55"/>
        </w:trPr>
        <w:tc>
          <w:tcPr>
            <w:tcW w:w="498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net investment hedges</w:t>
            </w:r>
          </w:p>
        </w:tc>
        <w:tc>
          <w:tcPr>
            <w:tcW w:w="160" w:type="dxa"/>
            <w:vAlign w:val="bottom"/>
            <w:tcBorders>
              <w:top w:val="single" w:sz="8" w:color="auto"/>
              <w:bottom w:val="single" w:sz="8" w:color="E4E4E4"/>
            </w:tcBorders>
            <w:shd w:val="clear" w:color="auto" w:fill="E4E4E4"/>
          </w:tcPr>
          <w:p>
            <w:pPr>
              <w:spacing w:after="0"/>
              <w:rPr>
                <w:sz w:val="21"/>
                <w:szCs w:val="21"/>
                <w:color w:val="auto"/>
              </w:rPr>
            </w:pPr>
          </w:p>
        </w:tc>
        <w:tc>
          <w:tcPr>
            <w:tcW w:w="8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6,865</w:t>
            </w:r>
          </w:p>
        </w:tc>
        <w:tc>
          <w:tcPr>
            <w:tcW w:w="200" w:type="dxa"/>
            <w:vAlign w:val="bottom"/>
            <w:tcBorders>
              <w:top w:val="single" w:sz="8" w:color="auto"/>
              <w:bottom w:val="single" w:sz="8" w:color="E4E4E4"/>
            </w:tcBorders>
            <w:shd w:val="clear" w:color="auto" w:fill="E4E4E4"/>
          </w:tcPr>
          <w:p>
            <w:pPr>
              <w:spacing w:after="0"/>
              <w:rPr>
                <w:sz w:val="21"/>
                <w:szCs w:val="21"/>
                <w:color w:val="auto"/>
              </w:rPr>
            </w:pPr>
          </w:p>
        </w:tc>
        <w:tc>
          <w:tcPr>
            <w:tcW w:w="8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105</w:t>
            </w:r>
          </w:p>
        </w:tc>
        <w:tc>
          <w:tcPr>
            <w:tcW w:w="160" w:type="dxa"/>
            <w:vAlign w:val="bottom"/>
            <w:tcBorders>
              <w:top w:val="single" w:sz="8" w:color="auto"/>
              <w:bottom w:val="single" w:sz="8" w:color="E4E4E4"/>
            </w:tcBorders>
            <w:shd w:val="clear" w:color="auto" w:fill="E4E4E4"/>
          </w:tcPr>
          <w:p>
            <w:pPr>
              <w:spacing w:after="0"/>
              <w:rPr>
                <w:sz w:val="21"/>
                <w:szCs w:val="21"/>
                <w:color w:val="auto"/>
              </w:rPr>
            </w:pPr>
          </w:p>
        </w:tc>
        <w:tc>
          <w:tcPr>
            <w:tcW w:w="88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91</w:t>
            </w:r>
          </w:p>
        </w:tc>
        <w:tc>
          <w:tcPr>
            <w:tcW w:w="80" w:type="dxa"/>
            <w:vAlign w:val="bottom"/>
            <w:tcBorders>
              <w:top w:val="single" w:sz="8" w:color="E4E4E4"/>
              <w:bottom w:val="single" w:sz="8" w:color="E4E4E4"/>
            </w:tcBorders>
            <w:shd w:val="clear" w:color="auto" w:fill="E4E4E4"/>
          </w:tcPr>
          <w:p>
            <w:pPr>
              <w:spacing w:after="0"/>
              <w:rPr>
                <w:sz w:val="21"/>
                <w:szCs w:val="21"/>
                <w:color w:val="auto"/>
              </w:rPr>
            </w:pPr>
          </w:p>
        </w:tc>
        <w:tc>
          <w:tcPr>
            <w:tcW w:w="160" w:type="dxa"/>
            <w:vAlign w:val="bottom"/>
            <w:tcBorders>
              <w:top w:val="single" w:sz="8" w:color="auto"/>
              <w:bottom w:val="single" w:sz="8" w:color="E4E4E4"/>
            </w:tcBorders>
            <w:shd w:val="clear" w:color="auto" w:fill="E4E4E4"/>
          </w:tcPr>
          <w:p>
            <w:pPr>
              <w:spacing w:after="0"/>
              <w:rPr>
                <w:sz w:val="21"/>
                <w:szCs w:val="21"/>
                <w:color w:val="auto"/>
              </w:rPr>
            </w:pPr>
          </w:p>
        </w:tc>
        <w:tc>
          <w:tcPr>
            <w:tcW w:w="8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6,697</w:t>
            </w:r>
          </w:p>
        </w:tc>
        <w:tc>
          <w:tcPr>
            <w:tcW w:w="200" w:type="dxa"/>
            <w:vAlign w:val="bottom"/>
            <w:tcBorders>
              <w:top w:val="single" w:sz="8" w:color="auto"/>
              <w:bottom w:val="single" w:sz="8" w:color="E4E4E4"/>
            </w:tcBorders>
            <w:shd w:val="clear" w:color="auto" w:fill="E4E4E4"/>
          </w:tcPr>
          <w:p>
            <w:pPr>
              <w:spacing w:after="0"/>
              <w:rPr>
                <w:sz w:val="21"/>
                <w:szCs w:val="21"/>
                <w:color w:val="auto"/>
              </w:rPr>
            </w:pPr>
          </w:p>
        </w:tc>
        <w:tc>
          <w:tcPr>
            <w:tcW w:w="8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101</w:t>
            </w:r>
          </w:p>
        </w:tc>
        <w:tc>
          <w:tcPr>
            <w:tcW w:w="160" w:type="dxa"/>
            <w:vAlign w:val="bottom"/>
            <w:tcBorders>
              <w:top w:val="single" w:sz="8" w:color="auto"/>
              <w:bottom w:val="single" w:sz="8" w:color="E4E4E4"/>
            </w:tcBorders>
            <w:shd w:val="clear" w:color="auto" w:fill="E4E4E4"/>
          </w:tcPr>
          <w:p>
            <w:pPr>
              <w:spacing w:after="0"/>
              <w:rPr>
                <w:sz w:val="21"/>
                <w:szCs w:val="21"/>
                <w:color w:val="auto"/>
              </w:rPr>
            </w:pPr>
          </w:p>
        </w:tc>
        <w:tc>
          <w:tcPr>
            <w:tcW w:w="9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172</w:t>
            </w:r>
          </w:p>
        </w:tc>
      </w:tr>
      <w:tr>
        <w:trPr>
          <w:trHeight w:val="221"/>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Interest rate swaps</w:t>
            </w: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2,700</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2,700</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fair value hedges</w:t>
            </w:r>
          </w:p>
        </w:tc>
        <w:tc>
          <w:tcPr>
            <w:tcW w:w="160" w:type="dxa"/>
            <w:vAlign w:val="bottom"/>
            <w:tcBorders>
              <w:bottom w:val="single" w:sz="8" w:color="E4E4E4"/>
            </w:tcBorders>
            <w:shd w:val="clear" w:color="auto" w:fill="E4E4E4"/>
          </w:tcPr>
          <w:p>
            <w:pPr>
              <w:spacing w:after="0"/>
              <w:rPr>
                <w:sz w:val="21"/>
                <w:szCs w:val="21"/>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2,700</w:t>
            </w:r>
          </w:p>
        </w:tc>
        <w:tc>
          <w:tcPr>
            <w:tcW w:w="20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E4E4E4"/>
            </w:tcBorders>
            <w:shd w:val="clear" w:color="auto" w:fill="E4E4E4"/>
          </w:tcPr>
          <w:p>
            <w:pPr>
              <w:spacing w:after="0"/>
              <w:rPr>
                <w:sz w:val="21"/>
                <w:szCs w:val="21"/>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147</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2,700</w:t>
            </w:r>
          </w:p>
        </w:tc>
        <w:tc>
          <w:tcPr>
            <w:tcW w:w="20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w:t>
            </w:r>
          </w:p>
        </w:tc>
        <w:tc>
          <w:tcPr>
            <w:tcW w:w="16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21"/>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5,241</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4,761</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9"/>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3"/>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(1)</w:t>
            </w:r>
          </w:p>
        </w:tc>
        <w:tc>
          <w:tcPr>
            <w:tcW w:w="160" w:type="dxa"/>
            <w:vAlign w:val="bottom"/>
            <w:tcBorders>
              <w:bottom w:val="single" w:sz="8" w:color="E4E4E4"/>
            </w:tcBorders>
            <w:shd w:val="clear" w:color="auto" w:fill="E4E4E4"/>
          </w:tcPr>
          <w:p>
            <w:pPr>
              <w:spacing w:after="0"/>
              <w:rPr>
                <w:sz w:val="22"/>
                <w:szCs w:val="22"/>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310</w:t>
            </w:r>
          </w:p>
        </w:tc>
        <w:tc>
          <w:tcPr>
            <w:tcW w:w="200" w:type="dxa"/>
            <w:vAlign w:val="bottom"/>
            <w:tcBorders>
              <w:bottom w:val="single" w:sz="8" w:color="E4E4E4"/>
            </w:tcBorders>
            <w:shd w:val="clear" w:color="auto" w:fill="E4E4E4"/>
          </w:tcPr>
          <w:p>
            <w:pPr>
              <w:spacing w:after="0"/>
              <w:rPr>
                <w:sz w:val="22"/>
                <w:szCs w:val="22"/>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160" w:type="dxa"/>
            <w:vAlign w:val="bottom"/>
            <w:tcBorders>
              <w:bottom w:val="single" w:sz="8" w:color="E4E4E4"/>
            </w:tcBorders>
            <w:shd w:val="clear" w:color="auto" w:fill="E4E4E4"/>
          </w:tcPr>
          <w:p>
            <w:pPr>
              <w:spacing w:after="0"/>
              <w:rPr>
                <w:sz w:val="22"/>
                <w:szCs w:val="22"/>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320</w:t>
            </w:r>
          </w:p>
        </w:tc>
        <w:tc>
          <w:tcPr>
            <w:tcW w:w="200" w:type="dxa"/>
            <w:vAlign w:val="bottom"/>
            <w:tcBorders>
              <w:bottom w:val="single" w:sz="8" w:color="E4E4E4"/>
            </w:tcBorders>
            <w:shd w:val="clear" w:color="auto" w:fill="E4E4E4"/>
          </w:tcPr>
          <w:p>
            <w:pPr>
              <w:spacing w:after="0"/>
              <w:rPr>
                <w:sz w:val="22"/>
                <w:szCs w:val="22"/>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w:t>
            </w:r>
          </w:p>
        </w:tc>
        <w:tc>
          <w:tcPr>
            <w:tcW w:w="160" w:type="dxa"/>
            <w:vAlign w:val="bottom"/>
            <w:tcBorders>
              <w:bottom w:val="single" w:sz="8" w:color="E4E4E4"/>
            </w:tcBorders>
            <w:shd w:val="clear" w:color="auto" w:fill="E4E4E4"/>
          </w:tcPr>
          <w:p>
            <w:pPr>
              <w:spacing w:after="0"/>
              <w:rPr>
                <w:sz w:val="22"/>
                <w:szCs w:val="22"/>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3"/>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5,550</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5,081</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76</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derivatives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16,554</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183</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285</w:t>
            </w:r>
          </w:p>
        </w:tc>
        <w:tc>
          <w:tcPr>
            <w:tcW w:w="24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15,986</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256</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207</w:t>
            </w:r>
          </w:p>
        </w:tc>
      </w:tr>
      <w:tr>
        <w:trPr>
          <w:trHeight w:val="20"/>
        </w:trPr>
        <w:tc>
          <w:tcPr>
            <w:tcW w:w="4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Other derivatives are comprised of embedded derivatives and derivatives related to equity contracts.</w:t>
      </w:r>
    </w:p>
    <w:p>
      <w:pPr>
        <w:spacing w:after="0" w:line="248"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The following table presents amounts recorded in Long-term borrowings in the Condensed Consolidated Statements of Financial Position related to cumulative basis adjustment for fair value hedges.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60" w:type="dxa"/>
            <w:vAlign w:val="bottom"/>
            <w:gridSpan w:val="4"/>
          </w:tcPr>
          <w:p>
            <w:pPr>
              <w:ind w:left="380"/>
              <w:spacing w:after="0"/>
              <w:rPr>
                <w:sz w:val="20"/>
                <w:szCs w:val="20"/>
                <w:color w:val="auto"/>
              </w:rPr>
            </w:pPr>
            <w:r>
              <w:rPr>
                <w:rFonts w:ascii="Arial" w:cs="Arial" w:eastAsia="Arial" w:hAnsi="Arial"/>
                <w:sz w:val="16"/>
                <w:szCs w:val="16"/>
                <w:b w:val="1"/>
                <w:bCs w:val="1"/>
                <w:color w:val="454545"/>
              </w:rPr>
              <w:t>September 30, 2026</w:t>
            </w:r>
          </w:p>
        </w:tc>
        <w:tc>
          <w:tcPr>
            <w:tcW w:w="520" w:type="dxa"/>
            <w:vAlign w:val="bottom"/>
          </w:tcPr>
          <w:p>
            <w:pPr>
              <w:spacing w:after="0"/>
              <w:rPr>
                <w:sz w:val="19"/>
                <w:szCs w:val="19"/>
                <w:color w:val="auto"/>
              </w:rPr>
            </w:pPr>
          </w:p>
        </w:tc>
        <w:tc>
          <w:tcPr>
            <w:tcW w:w="27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454545"/>
              </w:rPr>
              <w:t>December 31, 2025</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50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center"/>
              <w:ind w:right="79"/>
              <w:spacing w:after="0" w:line="182" w:lineRule="exact"/>
              <w:rPr>
                <w:sz w:val="20"/>
                <w:szCs w:val="20"/>
                <w:color w:val="auto"/>
              </w:rPr>
            </w:pPr>
            <w:r>
              <w:rPr>
                <w:rFonts w:ascii="Arial" w:cs="Arial" w:eastAsia="Arial" w:hAnsi="Arial"/>
                <w:sz w:val="16"/>
                <w:szCs w:val="16"/>
                <w:b w:val="1"/>
                <w:bCs w:val="1"/>
                <w:color w:val="454545"/>
              </w:rPr>
              <w:t>Cumulative basis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60" w:type="dxa"/>
            <w:vAlign w:val="bottom"/>
            <w:gridSpan w:val="3"/>
          </w:tcPr>
          <w:p>
            <w:pPr>
              <w:jc w:val="center"/>
              <w:ind w:right="60"/>
              <w:spacing w:after="0" w:line="175" w:lineRule="exact"/>
              <w:rPr>
                <w:sz w:val="20"/>
                <w:szCs w:val="20"/>
                <w:color w:val="auto"/>
              </w:rPr>
            </w:pPr>
            <w:r>
              <w:rPr>
                <w:rFonts w:ascii="Arial" w:cs="Arial" w:eastAsia="Arial" w:hAnsi="Arial"/>
                <w:sz w:val="16"/>
                <w:szCs w:val="16"/>
                <w:b w:val="1"/>
                <w:bCs w:val="1"/>
                <w:color w:val="454545"/>
              </w:rPr>
              <w:t>adjustment included</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center"/>
              <w:ind w:right="99"/>
              <w:spacing w:after="0" w:line="175" w:lineRule="exact"/>
              <w:rPr>
                <w:sz w:val="20"/>
                <w:szCs w:val="20"/>
                <w:color w:val="auto"/>
              </w:rPr>
            </w:pPr>
            <w:r>
              <w:rPr>
                <w:rFonts w:ascii="Arial" w:cs="Arial" w:eastAsia="Arial" w:hAnsi="Arial"/>
                <w:sz w:val="16"/>
                <w:szCs w:val="16"/>
                <w:b w:val="1"/>
                <w:bCs w:val="1"/>
                <w:color w:val="454545"/>
              </w:rPr>
              <w:t>Cumulative basis</w:t>
            </w: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5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454545"/>
              </w:rPr>
              <w:t>Carrying amount</w:t>
            </w:r>
          </w:p>
        </w:tc>
        <w:tc>
          <w:tcPr>
            <w:tcW w:w="180" w:type="dxa"/>
            <w:vAlign w:val="bottom"/>
          </w:tcPr>
          <w:p>
            <w:pPr>
              <w:spacing w:after="0"/>
              <w:rPr>
                <w:sz w:val="15"/>
                <w:szCs w:val="15"/>
                <w:color w:val="auto"/>
              </w:rPr>
            </w:pPr>
          </w:p>
        </w:tc>
        <w:tc>
          <w:tcPr>
            <w:tcW w:w="168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454545"/>
              </w:rPr>
              <w:t>in the carrying</w:t>
            </w:r>
          </w:p>
        </w:tc>
        <w:tc>
          <w:tcPr>
            <w:tcW w:w="15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454545"/>
              </w:rPr>
              <w:t>Carrying amount</w:t>
            </w:r>
          </w:p>
        </w:tc>
        <w:tc>
          <w:tcPr>
            <w:tcW w:w="18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454545"/>
              </w:rPr>
              <w:t>adjustment included</w:t>
            </w:r>
          </w:p>
        </w:tc>
        <w:tc>
          <w:tcPr>
            <w:tcW w:w="0" w:type="dxa"/>
            <w:vAlign w:val="bottom"/>
          </w:tcPr>
          <w:p>
            <w:pPr>
              <w:spacing w:after="0"/>
              <w:rPr>
                <w:sz w:val="1"/>
                <w:szCs w:val="1"/>
                <w:color w:val="auto"/>
              </w:rPr>
            </w:pPr>
          </w:p>
        </w:tc>
      </w:tr>
      <w:tr>
        <w:trPr>
          <w:trHeight w:val="239"/>
        </w:trPr>
        <w:tc>
          <w:tcPr>
            <w:tcW w:w="4580" w:type="dxa"/>
            <w:vAlign w:val="bottom"/>
            <w:tcBorders>
              <w:bottom w:val="single" w:sz="8" w:color="6022A6"/>
            </w:tcBorders>
          </w:tcPr>
          <w:p>
            <w:pPr>
              <w:spacing w:after="0"/>
              <w:rPr>
                <w:sz w:val="20"/>
                <w:szCs w:val="20"/>
                <w:color w:val="auto"/>
              </w:rPr>
            </w:pPr>
          </w:p>
        </w:tc>
        <w:tc>
          <w:tcPr>
            <w:tcW w:w="1500" w:type="dxa"/>
            <w:vAlign w:val="bottom"/>
            <w:tcBorders>
              <w:bottom w:val="single" w:sz="8" w:color="6022A6"/>
            </w:tcBorders>
            <w:gridSpan w:val="2"/>
            <w:vMerge w:val="continue"/>
          </w:tcPr>
          <w:p>
            <w:pPr>
              <w:spacing w:after="0"/>
              <w:rPr>
                <w:sz w:val="20"/>
                <w:szCs w:val="20"/>
                <w:color w:val="auto"/>
              </w:rPr>
            </w:pPr>
          </w:p>
        </w:tc>
        <w:tc>
          <w:tcPr>
            <w:tcW w:w="180" w:type="dxa"/>
            <w:vAlign w:val="bottom"/>
            <w:tcBorders>
              <w:bottom w:val="single" w:sz="8" w:color="6022A6"/>
            </w:tcBorders>
          </w:tcPr>
          <w:p>
            <w:pPr>
              <w:spacing w:after="0"/>
              <w:rPr>
                <w:sz w:val="20"/>
                <w:szCs w:val="20"/>
                <w:color w:val="auto"/>
              </w:rPr>
            </w:pPr>
          </w:p>
        </w:tc>
        <w:tc>
          <w:tcPr>
            <w:tcW w:w="1680" w:type="dxa"/>
            <w:vAlign w:val="bottom"/>
            <w:tcBorders>
              <w:bottom w:val="single" w:sz="8" w:color="6022A6"/>
            </w:tcBorders>
            <w:gridSpan w:val="2"/>
          </w:tcPr>
          <w:p>
            <w:pPr>
              <w:jc w:val="center"/>
              <w:ind w:right="240"/>
              <w:spacing w:after="0"/>
              <w:rPr>
                <w:sz w:val="20"/>
                <w:szCs w:val="20"/>
                <w:color w:val="auto"/>
              </w:rPr>
            </w:pPr>
            <w:r>
              <w:rPr>
                <w:rFonts w:ascii="Arial" w:cs="Arial" w:eastAsia="Arial" w:hAnsi="Arial"/>
                <w:sz w:val="16"/>
                <w:szCs w:val="16"/>
                <w:b w:val="1"/>
                <w:bCs w:val="1"/>
                <w:color w:val="454545"/>
              </w:rPr>
              <w:t>amount</w:t>
            </w:r>
          </w:p>
        </w:tc>
        <w:tc>
          <w:tcPr>
            <w:tcW w:w="1500" w:type="dxa"/>
            <w:vAlign w:val="bottom"/>
            <w:tcBorders>
              <w:bottom w:val="single" w:sz="8" w:color="6022A6"/>
            </w:tcBorders>
            <w:gridSpan w:val="2"/>
            <w:vMerge w:val="continue"/>
          </w:tcPr>
          <w:p>
            <w:pPr>
              <w:spacing w:after="0"/>
              <w:rPr>
                <w:sz w:val="20"/>
                <w:szCs w:val="20"/>
                <w:color w:val="auto"/>
              </w:rPr>
            </w:pPr>
          </w:p>
        </w:tc>
        <w:tc>
          <w:tcPr>
            <w:tcW w:w="1800" w:type="dxa"/>
            <w:vAlign w:val="bottom"/>
            <w:tcBorders>
              <w:bottom w:val="single" w:sz="8" w:color="6022A6"/>
            </w:tcBorders>
            <w:gridSpan w:val="2"/>
          </w:tcPr>
          <w:p>
            <w:pPr>
              <w:jc w:val="center"/>
              <w:spacing w:after="0"/>
              <w:rPr>
                <w:sz w:val="20"/>
                <w:szCs w:val="20"/>
                <w:color w:val="auto"/>
              </w:rPr>
            </w:pPr>
            <w:r>
              <w:rPr>
                <w:rFonts w:ascii="Arial" w:cs="Arial" w:eastAsia="Arial" w:hAnsi="Arial"/>
                <w:sz w:val="16"/>
                <w:szCs w:val="16"/>
                <w:b w:val="1"/>
                <w:bCs w:val="1"/>
                <w:color w:val="454545"/>
              </w:rPr>
              <w:t>in the carrying amount</w:t>
            </w:r>
          </w:p>
        </w:tc>
        <w:tc>
          <w:tcPr>
            <w:tcW w:w="0" w:type="dxa"/>
            <w:vAlign w:val="bottom"/>
          </w:tcPr>
          <w:p>
            <w:pPr>
              <w:spacing w:after="0"/>
              <w:rPr>
                <w:sz w:val="1"/>
                <w:szCs w:val="1"/>
                <w:color w:val="auto"/>
              </w:rPr>
            </w:pPr>
          </w:p>
        </w:tc>
      </w:tr>
      <w:tr>
        <w:trPr>
          <w:trHeight w:val="234"/>
        </w:trPr>
        <w:tc>
          <w:tcPr>
            <w:tcW w:w="4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borrowings designated as fair value hedges</w:t>
            </w:r>
          </w:p>
        </w:tc>
        <w:tc>
          <w:tcPr>
            <w:tcW w:w="500" w:type="dxa"/>
            <w:vAlign w:val="bottom"/>
            <w:tcBorders>
              <w:bottom w:val="single" w:sz="8" w:color="E4E4E4"/>
            </w:tcBorders>
            <w:shd w:val="clear" w:color="auto" w:fill="E4E4E4"/>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2,548</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(147)</w:t>
            </w:r>
          </w:p>
        </w:tc>
        <w:tc>
          <w:tcPr>
            <w:tcW w:w="8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2,722</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4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Under the master arrangements with the respective counterparties to our derivative contracts, in certain circumstances and subject to applicable requirements, we are allowed to net settle transactions with a single net amount payable by one party to the other. However, we have elected to present the derivative assets and derivative liabilities on a gross basis in our Condensed Consolidated Statements of Financial Position and in the table above.</w:t>
      </w:r>
    </w:p>
    <w:p>
      <w:pPr>
        <w:spacing w:after="0" w:line="19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As of September 30, 2026 and December 31, 2025, the potential effect of rights of offset associated with the derivative contracts would be an offset to both assets and liabilities by $95 million and $107 million,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pre-tax gains (losses) recognized in OCI associated with the Company’s cash flow and net investment hedges.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80" w:type="dxa"/>
            <w:vAlign w:val="bottom"/>
            <w:gridSpan w:val="3"/>
          </w:tcPr>
          <w:p>
            <w:pPr>
              <w:ind w:left="20"/>
              <w:spacing w:after="0"/>
              <w:rPr>
                <w:sz w:val="20"/>
                <w:szCs w:val="20"/>
                <w:color w:val="auto"/>
              </w:rPr>
            </w:pPr>
            <w:r>
              <w:rPr>
                <w:rFonts w:ascii="Arial" w:cs="Arial" w:eastAsia="Arial" w:hAnsi="Arial"/>
                <w:sz w:val="16"/>
                <w:szCs w:val="16"/>
                <w:b w:val="1"/>
                <w:bCs w:val="1"/>
                <w:color w:val="auto"/>
              </w:rPr>
              <w:t>Pre-tax Gains (Losses) Recognized in OCI Related to Cash Flow and Net Investment Hedges</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3"/>
        </w:trPr>
        <w:tc>
          <w:tcPr>
            <w:tcW w:w="4220" w:type="dxa"/>
            <w:vAlign w:val="bottom"/>
          </w:tcPr>
          <w:p>
            <w:pPr>
              <w:spacing w:after="0"/>
              <w:rPr>
                <w:sz w:val="21"/>
                <w:szCs w:val="21"/>
                <w:color w:val="auto"/>
              </w:rPr>
            </w:pPr>
          </w:p>
        </w:tc>
        <w:tc>
          <w:tcPr>
            <w:tcW w:w="3420" w:type="dxa"/>
            <w:vAlign w:val="bottom"/>
            <w:gridSpan w:val="4"/>
          </w:tcPr>
          <w:p>
            <w:pPr>
              <w:ind w:left="40"/>
              <w:spacing w:after="0"/>
              <w:rPr>
                <w:sz w:val="20"/>
                <w:szCs w:val="20"/>
                <w:color w:val="auto"/>
              </w:rPr>
            </w:pPr>
            <w:r>
              <w:rPr>
                <w:rFonts w:ascii="Arial" w:cs="Arial" w:eastAsia="Arial" w:hAnsi="Arial"/>
                <w:sz w:val="16"/>
                <w:szCs w:val="16"/>
                <w:b w:val="1"/>
                <w:bCs w:val="1"/>
                <w:color w:val="454545"/>
              </w:rPr>
              <w:t>For the three months ended September 30</w:t>
            </w:r>
          </w:p>
        </w:tc>
        <w:tc>
          <w:tcPr>
            <w:tcW w:w="180" w:type="dxa"/>
            <w:vAlign w:val="bottom"/>
          </w:tcPr>
          <w:p>
            <w:pPr>
              <w:spacing w:after="0"/>
              <w:rPr>
                <w:sz w:val="21"/>
                <w:szCs w:val="21"/>
                <w:color w:val="auto"/>
              </w:rPr>
            </w:pPr>
          </w:p>
        </w:tc>
        <w:tc>
          <w:tcPr>
            <w:tcW w:w="342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220" w:type="dxa"/>
            <w:vAlign w:val="bottom"/>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r>
      <w:tr>
        <w:trPr>
          <w:trHeight w:val="244"/>
        </w:trPr>
        <w:tc>
          <w:tcPr>
            <w:tcW w:w="4220" w:type="dxa"/>
            <w:vAlign w:val="bottom"/>
            <w:tcBorders>
              <w:bottom w:val="single" w:sz="8" w:color="6022A6"/>
            </w:tcBorders>
          </w:tcPr>
          <w:p>
            <w:pPr>
              <w:spacing w:after="0"/>
              <w:rPr>
                <w:sz w:val="21"/>
                <w:szCs w:val="21"/>
                <w:color w:val="auto"/>
              </w:rPr>
            </w:pPr>
          </w:p>
        </w:tc>
        <w:tc>
          <w:tcPr>
            <w:tcW w:w="1180" w:type="dxa"/>
            <w:vAlign w:val="bottom"/>
            <w:tcBorders>
              <w:bottom w:val="single" w:sz="8" w:color="6022A6"/>
            </w:tcBorders>
          </w:tcPr>
          <w:p>
            <w:pPr>
              <w:jc w:val="right"/>
              <w:ind w:right="79"/>
              <w:spacing w:after="0"/>
              <w:rPr>
                <w:sz w:val="20"/>
                <w:szCs w:val="20"/>
                <w:color w:val="auto"/>
              </w:rPr>
            </w:pPr>
            <w:r>
              <w:rPr>
                <w:rFonts w:ascii="Arial" w:cs="Arial" w:eastAsia="Arial" w:hAnsi="Arial"/>
                <w:sz w:val="16"/>
                <w:szCs w:val="16"/>
                <w:b w:val="1"/>
                <w:bCs w:val="1"/>
                <w:color w:val="454545"/>
              </w:rPr>
              <w:t>2026</w:t>
            </w:r>
          </w:p>
        </w:tc>
        <w:tc>
          <w:tcPr>
            <w:tcW w:w="1780" w:type="dxa"/>
            <w:vAlign w:val="bottom"/>
            <w:tcBorders>
              <w:bottom w:val="single" w:sz="8" w:color="6022A6"/>
            </w:tcBorders>
          </w:tcPr>
          <w:p>
            <w:pPr>
              <w:jc w:val="right"/>
              <w:ind w:right="179"/>
              <w:spacing w:after="0"/>
              <w:rPr>
                <w:sz w:val="20"/>
                <w:szCs w:val="20"/>
                <w:color w:val="auto"/>
              </w:rPr>
            </w:pPr>
            <w:r>
              <w:rPr>
                <w:rFonts w:ascii="Arial" w:cs="Arial" w:eastAsia="Arial" w:hAnsi="Arial"/>
                <w:sz w:val="16"/>
                <w:szCs w:val="16"/>
                <w:b w:val="1"/>
                <w:bCs w:val="1"/>
                <w:color w:val="454545"/>
              </w:rPr>
              <w:t>2025</w:t>
            </w:r>
          </w:p>
        </w:tc>
        <w:tc>
          <w:tcPr>
            <w:tcW w:w="380" w:type="dxa"/>
            <w:vAlign w:val="bottom"/>
            <w:tcBorders>
              <w:bottom w:val="single" w:sz="8" w:color="6022A6"/>
            </w:tcBorders>
          </w:tcPr>
          <w:p>
            <w:pPr>
              <w:spacing w:after="0"/>
              <w:rPr>
                <w:sz w:val="21"/>
                <w:szCs w:val="21"/>
                <w:color w:val="auto"/>
              </w:rPr>
            </w:pPr>
          </w:p>
        </w:tc>
        <w:tc>
          <w:tcPr>
            <w:tcW w:w="80" w:type="dxa"/>
            <w:vAlign w:val="bottom"/>
            <w:tcBorders>
              <w:bottom w:val="single" w:sz="8" w:color="6022A6"/>
            </w:tcBorders>
          </w:tcPr>
          <w:p>
            <w:pPr>
              <w:spacing w:after="0"/>
              <w:rPr>
                <w:sz w:val="21"/>
                <w:szCs w:val="21"/>
                <w:color w:val="auto"/>
              </w:rPr>
            </w:pPr>
          </w:p>
        </w:tc>
        <w:tc>
          <w:tcPr>
            <w:tcW w:w="180" w:type="dxa"/>
            <w:vAlign w:val="bottom"/>
            <w:tcBorders>
              <w:bottom w:val="single" w:sz="8" w:color="6022A6"/>
            </w:tcBorders>
          </w:tcPr>
          <w:p>
            <w:pPr>
              <w:spacing w:after="0"/>
              <w:rPr>
                <w:sz w:val="21"/>
                <w:szCs w:val="21"/>
                <w:color w:val="auto"/>
              </w:rPr>
            </w:pPr>
          </w:p>
        </w:tc>
        <w:tc>
          <w:tcPr>
            <w:tcW w:w="1600" w:type="dxa"/>
            <w:vAlign w:val="bottom"/>
            <w:tcBorders>
              <w:bottom w:val="single" w:sz="8" w:color="6022A6"/>
            </w:tcBorders>
          </w:tcPr>
          <w:p>
            <w:pPr>
              <w:jc w:val="right"/>
              <w:ind w:right="619"/>
              <w:spacing w:after="0"/>
              <w:rPr>
                <w:sz w:val="20"/>
                <w:szCs w:val="20"/>
                <w:color w:val="auto"/>
              </w:rPr>
            </w:pPr>
            <w:r>
              <w:rPr>
                <w:rFonts w:ascii="Arial" w:cs="Arial" w:eastAsia="Arial" w:hAnsi="Arial"/>
                <w:sz w:val="16"/>
                <w:szCs w:val="16"/>
                <w:b w:val="1"/>
                <w:bCs w:val="1"/>
                <w:color w:val="454545"/>
              </w:rPr>
              <w:t>2026</w:t>
            </w:r>
          </w:p>
        </w:tc>
        <w:tc>
          <w:tcPr>
            <w:tcW w:w="440" w:type="dxa"/>
            <w:vAlign w:val="bottom"/>
            <w:tcBorders>
              <w:bottom w:val="single" w:sz="8" w:color="6022A6"/>
            </w:tcBorders>
          </w:tcPr>
          <w:p>
            <w:pPr>
              <w:spacing w:after="0"/>
              <w:rPr>
                <w:sz w:val="21"/>
                <w:szCs w:val="21"/>
                <w:color w:val="auto"/>
              </w:rPr>
            </w:pPr>
          </w:p>
        </w:tc>
        <w:tc>
          <w:tcPr>
            <w:tcW w:w="1380" w:type="dxa"/>
            <w:vAlign w:val="bottom"/>
            <w:tcBorders>
              <w:bottom w:val="single" w:sz="8" w:color="6022A6"/>
            </w:tcBorders>
          </w:tcPr>
          <w:p>
            <w:pPr>
              <w:jc w:val="right"/>
              <w:ind w:right="639"/>
              <w:spacing w:after="0"/>
              <w:rPr>
                <w:sz w:val="20"/>
                <w:szCs w:val="20"/>
                <w:color w:val="auto"/>
              </w:rPr>
            </w:pPr>
            <w:r>
              <w:rPr>
                <w:rFonts w:ascii="Arial" w:cs="Arial" w:eastAsia="Arial" w:hAnsi="Arial"/>
                <w:sz w:val="16"/>
                <w:szCs w:val="16"/>
                <w:b w:val="1"/>
                <w:bCs w:val="1"/>
                <w:color w:val="454545"/>
              </w:rPr>
              <w:t>2025</w:t>
            </w:r>
          </w:p>
        </w:tc>
      </w:tr>
      <w:tr>
        <w:trPr>
          <w:trHeight w:val="236"/>
        </w:trPr>
        <w:tc>
          <w:tcPr>
            <w:tcW w:w="42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w:t>
            </w:r>
          </w:p>
        </w:tc>
        <w:tc>
          <w:tcPr>
            <w:tcW w:w="11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E4E4E4"/>
            </w:tcBorders>
            <w:shd w:val="clear" w:color="auto" w:fill="E4E4E4"/>
          </w:tcPr>
          <w:p>
            <w:pPr>
              <w:jc w:val="right"/>
              <w:ind w:right="1079"/>
              <w:spacing w:after="0"/>
              <w:rPr>
                <w:sz w:val="20"/>
                <w:szCs w:val="20"/>
                <w:color w:val="auto"/>
              </w:rPr>
            </w:pPr>
            <w:r>
              <w:rPr>
                <w:rFonts w:ascii="Arial" w:cs="Arial" w:eastAsia="Arial" w:hAnsi="Arial"/>
                <w:sz w:val="16"/>
                <w:szCs w:val="16"/>
                <w:color w:val="auto"/>
              </w:rPr>
              <w:t>(17) $</w:t>
            </w:r>
          </w:p>
        </w:tc>
        <w:tc>
          <w:tcPr>
            <w:tcW w:w="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r>
      <w:tr>
        <w:trPr>
          <w:trHeight w:val="250"/>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investment hedges</w:t>
            </w:r>
            <w:r>
              <w:rPr>
                <w:rFonts w:ascii="Arial" w:cs="Arial" w:eastAsia="Arial" w:hAnsi="Arial"/>
                <w:sz w:val="21"/>
                <w:szCs w:val="21"/>
                <w:color w:val="auto"/>
                <w:vertAlign w:val="superscript"/>
              </w:rPr>
              <w:t>(1)</w:t>
            </w:r>
          </w:p>
        </w:tc>
        <w:tc>
          <w:tcPr>
            <w:tcW w:w="1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1239"/>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Amounts recognized in OCI for excluded components for the periods presented were immaterial.</w:t>
      </w:r>
    </w:p>
    <w:p>
      <w:pPr>
        <w:spacing w:after="0" w:line="248"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The tables below present the gains (losses) on our derivative financial instruments and hedging activity in the Condensed Consolidated Statements of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 Financial Instruments and Hedging Activity</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20" w:type="dxa"/>
            <w:vAlign w:val="bottom"/>
            <w:gridSpan w:val="5"/>
          </w:tcPr>
          <w:p>
            <w:pPr>
              <w:jc w:val="right"/>
              <w:ind w:right="179"/>
              <w:spacing w:after="0"/>
              <w:rPr>
                <w:sz w:val="20"/>
                <w:szCs w:val="20"/>
                <w:color w:val="auto"/>
              </w:rPr>
            </w:pPr>
            <w:r>
              <w:rPr>
                <w:rFonts w:ascii="Arial" w:cs="Arial" w:eastAsia="Arial" w:hAnsi="Arial"/>
                <w:sz w:val="16"/>
                <w:szCs w:val="16"/>
                <w:b w:val="1"/>
                <w:bCs w:val="1"/>
                <w:color w:val="454545"/>
              </w:rPr>
              <w:t>For the three months ended September 30, 2026</w:t>
            </w:r>
          </w:p>
        </w:tc>
        <w:tc>
          <w:tcPr>
            <w:tcW w:w="1020" w:type="dxa"/>
            <w:vAlign w:val="bottom"/>
          </w:tcPr>
          <w:p>
            <w:pPr>
              <w:spacing w:after="0"/>
              <w:rPr>
                <w:sz w:val="19"/>
                <w:szCs w:val="19"/>
                <w:color w:val="auto"/>
              </w:rPr>
            </w:pPr>
          </w:p>
        </w:tc>
      </w:tr>
      <w:tr>
        <w:trPr>
          <w:trHeight w:val="21"/>
        </w:trPr>
        <w:tc>
          <w:tcPr>
            <w:tcW w:w="4980" w:type="dxa"/>
            <w:vAlign w:val="bottom"/>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29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b w:val="1"/>
                <w:bCs w:val="1"/>
                <w:color w:val="454545"/>
              </w:rPr>
              <w:t>Cost of</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519"/>
              <w:spacing w:after="0"/>
              <w:rPr>
                <w:sz w:val="20"/>
                <w:szCs w:val="20"/>
                <w:color w:val="auto"/>
              </w:rPr>
            </w:pPr>
            <w:r>
              <w:rPr>
                <w:rFonts w:ascii="Arial" w:cs="Arial" w:eastAsia="Arial" w:hAnsi="Arial"/>
                <w:sz w:val="16"/>
                <w:szCs w:val="16"/>
                <w:b w:val="1"/>
                <w:bCs w:val="1"/>
                <w:color w:val="454545"/>
              </w:rPr>
              <w:t>Cost of</w:t>
            </w:r>
          </w:p>
        </w:tc>
        <w:tc>
          <w:tcPr>
            <w:tcW w:w="960" w:type="dxa"/>
            <w:vAlign w:val="bottom"/>
          </w:tcPr>
          <w:p>
            <w:pPr>
              <w:spacing w:after="0"/>
              <w:rPr>
                <w:sz w:val="17"/>
                <w:szCs w:val="17"/>
                <w:color w:val="auto"/>
              </w:rPr>
            </w:pPr>
          </w:p>
        </w:tc>
        <w:tc>
          <w:tcPr>
            <w:tcW w:w="152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980" w:type="dxa"/>
            <w:vAlign w:val="bottom"/>
            <w:tcBorders>
              <w:bottom w:val="single" w:sz="8" w:color="6022A6"/>
            </w:tcBorders>
          </w:tcPr>
          <w:p>
            <w:pPr>
              <w:jc w:val="center"/>
              <w:ind w:left="199"/>
              <w:spacing w:after="0"/>
              <w:rPr>
                <w:sz w:val="20"/>
                <w:szCs w:val="20"/>
                <w:color w:val="auto"/>
              </w:rPr>
            </w:pPr>
            <w:r>
              <w:rPr>
                <w:rFonts w:ascii="Arial" w:cs="Arial" w:eastAsia="Arial" w:hAnsi="Arial"/>
                <w:sz w:val="16"/>
                <w:szCs w:val="16"/>
                <w:b w:val="1"/>
                <w:bCs w:val="1"/>
                <w:color w:val="454545"/>
              </w:rPr>
              <w:t>products</w:t>
            </w:r>
          </w:p>
        </w:tc>
        <w:tc>
          <w:tcPr>
            <w:tcW w:w="240" w:type="dxa"/>
            <w:vAlign w:val="bottom"/>
            <w:tcBorders>
              <w:bottom w:val="single" w:sz="8" w:color="6022A6"/>
            </w:tcBorders>
          </w:tcPr>
          <w:p>
            <w:pPr>
              <w:spacing w:after="0"/>
              <w:rPr>
                <w:sz w:val="21"/>
                <w:szCs w:val="21"/>
                <w:color w:val="auto"/>
              </w:rPr>
            </w:pPr>
          </w:p>
        </w:tc>
        <w:tc>
          <w:tcPr>
            <w:tcW w:w="240" w:type="dxa"/>
            <w:vAlign w:val="bottom"/>
            <w:tcBorders>
              <w:bottom w:val="single" w:sz="8" w:color="6022A6"/>
            </w:tcBorders>
          </w:tcPr>
          <w:p>
            <w:pPr>
              <w:spacing w:after="0"/>
              <w:rPr>
                <w:sz w:val="21"/>
                <w:szCs w:val="21"/>
                <w:color w:val="auto"/>
              </w:rPr>
            </w:pPr>
          </w:p>
        </w:tc>
        <w:tc>
          <w:tcPr>
            <w:tcW w:w="1300" w:type="dxa"/>
            <w:vAlign w:val="bottom"/>
            <w:tcBorders>
              <w:bottom w:val="single" w:sz="8" w:color="6022A6"/>
            </w:tcBorders>
          </w:tcPr>
          <w:p>
            <w:pPr>
              <w:jc w:val="right"/>
              <w:ind w:right="479"/>
              <w:spacing w:after="0"/>
              <w:rPr>
                <w:sz w:val="20"/>
                <w:szCs w:val="20"/>
                <w:color w:val="auto"/>
              </w:rPr>
            </w:pPr>
            <w:r>
              <w:rPr>
                <w:rFonts w:ascii="Arial" w:cs="Arial" w:eastAsia="Arial" w:hAnsi="Arial"/>
                <w:sz w:val="16"/>
                <w:szCs w:val="16"/>
                <w:b w:val="1"/>
                <w:bCs w:val="1"/>
                <w:color w:val="454545"/>
              </w:rPr>
              <w:t>services</w:t>
            </w:r>
          </w:p>
        </w:tc>
        <w:tc>
          <w:tcPr>
            <w:tcW w:w="960" w:type="dxa"/>
            <w:vAlign w:val="bottom"/>
            <w:tcBorders>
              <w:bottom w:val="single" w:sz="8" w:color="6022A6"/>
            </w:tcBorders>
          </w:tcPr>
          <w:p>
            <w:pPr>
              <w:jc w:val="right"/>
              <w:ind w:right="279"/>
              <w:spacing w:after="0"/>
              <w:rPr>
                <w:sz w:val="20"/>
                <w:szCs w:val="20"/>
                <w:color w:val="auto"/>
              </w:rPr>
            </w:pPr>
            <w:r>
              <w:rPr>
                <w:rFonts w:ascii="Arial" w:cs="Arial" w:eastAsia="Arial" w:hAnsi="Arial"/>
                <w:sz w:val="16"/>
                <w:szCs w:val="16"/>
                <w:b w:val="1"/>
                <w:bCs w:val="1"/>
                <w:color w:val="454545"/>
              </w:rPr>
              <w:t>SG&amp;A</w:t>
            </w:r>
          </w:p>
        </w:tc>
        <w:tc>
          <w:tcPr>
            <w:tcW w:w="1520" w:type="dxa"/>
            <w:vAlign w:val="bottom"/>
            <w:tcBorders>
              <w:bottom w:val="single" w:sz="8" w:color="6022A6"/>
            </w:tcBorders>
            <w:gridSpan w:val="2"/>
          </w:tcPr>
          <w:p>
            <w:pPr>
              <w:jc w:val="center"/>
              <w:ind w:right="11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jc w:val="right"/>
              <w:ind w:right="7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9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14</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9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6</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980" w:type="dxa"/>
            <w:vAlign w:val="bottom"/>
            <w:tcBorders>
              <w:bottom w:val="single" w:sz="8" w:color="auto"/>
            </w:tcBorders>
            <w:shd w:val="clear" w:color="auto" w:fill="E4E4E4"/>
          </w:tcPr>
          <w:p>
            <w:pPr>
              <w:spacing w:after="0"/>
              <w:rPr>
                <w:sz w:val="21"/>
                <w:szCs w:val="21"/>
                <w:color w:val="auto"/>
              </w:rPr>
            </w:pP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shd w:val="clear" w:color="auto" w:fill="E4E4E4"/>
          </w:tcPr>
          <w:p>
            <w:pPr>
              <w:spacing w:after="0"/>
              <w:rPr>
                <w:sz w:val="21"/>
                <w:szCs w:val="21"/>
                <w:color w:val="auto"/>
              </w:rPr>
            </w:pPr>
          </w:p>
        </w:tc>
        <w:tc>
          <w:tcPr>
            <w:tcW w:w="1300" w:type="dxa"/>
            <w:vAlign w:val="bottom"/>
            <w:tcBorders>
              <w:bottom w:val="single" w:sz="8" w:color="auto"/>
            </w:tcBorders>
            <w:shd w:val="clear" w:color="auto" w:fill="E4E4E4"/>
          </w:tcPr>
          <w:p>
            <w:pPr>
              <w:jc w:val="right"/>
              <w:ind w:right="2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shd w:val="clear" w:color="auto" w:fill="E4E4E4"/>
          </w:tcPr>
          <w:p>
            <w:pPr>
              <w:spacing w:after="0"/>
              <w:rPr>
                <w:sz w:val="21"/>
                <w:szCs w:val="21"/>
                <w:color w:val="auto"/>
              </w:rPr>
            </w:pPr>
          </w:p>
        </w:tc>
        <w:tc>
          <w:tcPr>
            <w:tcW w:w="134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19</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9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(122)</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1"/>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98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2"/>
                <w:szCs w:val="22"/>
                <w:color w:val="auto"/>
              </w:rPr>
            </w:pPr>
          </w:p>
        </w:tc>
        <w:tc>
          <w:tcPr>
            <w:tcW w:w="130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2"/>
                <w:szCs w:val="22"/>
                <w:color w:val="auto"/>
              </w:rPr>
            </w:pPr>
          </w:p>
        </w:tc>
        <w:tc>
          <w:tcPr>
            <w:tcW w:w="13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122</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color w:val="auto"/>
              </w:rPr>
              <w:t>4</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9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9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24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b w:val="1"/>
                <w:bCs w:val="1"/>
                <w:color w:val="auto"/>
              </w:rPr>
              <w:t>4</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18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r>
      <w:tr>
        <w:trPr>
          <w:trHeight w:val="20"/>
        </w:trPr>
        <w:tc>
          <w:tcPr>
            <w:tcW w:w="49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 Financial Instruments and Hedging Activity</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740" w:type="dxa"/>
            <w:vAlign w:val="bottom"/>
            <w:gridSpan w:val="6"/>
          </w:tcPr>
          <w:p>
            <w:pPr>
              <w:ind w:left="20"/>
              <w:spacing w:after="0"/>
              <w:rPr>
                <w:sz w:val="20"/>
                <w:szCs w:val="20"/>
                <w:color w:val="auto"/>
              </w:rPr>
            </w:pPr>
            <w:r>
              <w:rPr>
                <w:rFonts w:ascii="Arial" w:cs="Arial" w:eastAsia="Arial" w:hAnsi="Arial"/>
                <w:sz w:val="16"/>
                <w:szCs w:val="16"/>
                <w:b w:val="1"/>
                <w:bCs w:val="1"/>
                <w:color w:val="454545"/>
              </w:rPr>
              <w:t>For the three months ended September 30, 2025</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454545"/>
              </w:rPr>
              <w:t>Interest and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39"/>
              <w:spacing w:after="0"/>
              <w:rPr>
                <w:sz w:val="20"/>
                <w:szCs w:val="20"/>
                <w:color w:val="auto"/>
              </w:rPr>
            </w:pPr>
            <w:r>
              <w:rPr>
                <w:rFonts w:ascii="Arial" w:cs="Arial" w:eastAsia="Arial" w:hAnsi="Arial"/>
                <w:sz w:val="16"/>
                <w:szCs w:val="16"/>
                <w:b w:val="1"/>
                <w:bCs w:val="1"/>
                <w:color w:val="454545"/>
              </w:rPr>
              <w:t>Cost of</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other financial</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6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rPr>
              <w:t>products</w:t>
            </w:r>
          </w:p>
        </w:tc>
        <w:tc>
          <w:tcPr>
            <w:tcW w:w="20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960" w:type="dxa"/>
            <w:vAlign w:val="bottom"/>
            <w:tcBorders>
              <w:bottom w:val="single" w:sz="8" w:color="6022A6"/>
            </w:tcBorders>
          </w:tcPr>
          <w:p>
            <w:pPr>
              <w:jc w:val="center"/>
              <w:ind w:right="139"/>
              <w:spacing w:after="0"/>
              <w:rPr>
                <w:sz w:val="20"/>
                <w:szCs w:val="20"/>
                <w:color w:val="auto"/>
              </w:rPr>
            </w:pPr>
            <w:r>
              <w:rPr>
                <w:rFonts w:ascii="Arial" w:cs="Arial" w:eastAsia="Arial" w:hAnsi="Arial"/>
                <w:sz w:val="16"/>
                <w:szCs w:val="16"/>
                <w:b w:val="1"/>
                <w:bCs w:val="1"/>
                <w:color w:val="454545"/>
                <w:w w:val="99"/>
              </w:rPr>
              <w:t>SG&amp;A</w:t>
            </w:r>
          </w:p>
        </w:tc>
        <w:tc>
          <w:tcPr>
            <w:tcW w:w="1280" w:type="dxa"/>
            <w:vAlign w:val="bottom"/>
            <w:tcBorders>
              <w:bottom w:val="single" w:sz="8" w:color="6022A6"/>
            </w:tcBorders>
            <w:gridSpan w:val="2"/>
          </w:tcPr>
          <w:p>
            <w:pPr>
              <w:jc w:val="center"/>
              <w:spacing w:after="0"/>
              <w:rPr>
                <w:sz w:val="20"/>
                <w:szCs w:val="20"/>
                <w:color w:val="auto"/>
              </w:rPr>
            </w:pPr>
            <w:r>
              <w:rPr>
                <w:rFonts w:ascii="Arial" w:cs="Arial" w:eastAsia="Arial" w:hAnsi="Arial"/>
                <w:sz w:val="16"/>
                <w:szCs w:val="16"/>
                <w:b w:val="1"/>
                <w:bCs w:val="1"/>
                <w:color w:val="454545"/>
              </w:rPr>
              <w:t>charges – net</w:t>
            </w:r>
          </w:p>
        </w:tc>
        <w:tc>
          <w:tcPr>
            <w:tcW w:w="240" w:type="dxa"/>
            <w:vAlign w:val="bottom"/>
            <w:tcBorders>
              <w:bottom w:val="single" w:sz="8" w:color="6022A6"/>
            </w:tcBorders>
          </w:tcPr>
          <w:p>
            <w:pPr>
              <w:spacing w:after="0"/>
              <w:rPr>
                <w:sz w:val="21"/>
                <w:szCs w:val="21"/>
                <w:color w:val="auto"/>
              </w:rPr>
            </w:pP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2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2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 contracts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shd w:val="clear" w:color="auto" w:fill="E4E4E4"/>
          </w:tcPr>
          <w:p>
            <w:pPr>
              <w:spacing w:after="0"/>
              <w:rPr>
                <w:sz w:val="21"/>
                <w:szCs w:val="21"/>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E4E4E4"/>
          </w:tcPr>
          <w:p>
            <w:pPr>
              <w:spacing w:after="0"/>
              <w:rPr>
                <w:sz w:val="21"/>
                <w:szCs w:val="21"/>
                <w:color w:val="auto"/>
              </w:rPr>
            </w:pP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shd w:val="clear" w:color="auto" w:fill="E4E4E4"/>
          </w:tcPr>
          <w:p>
            <w:pPr>
              <w:spacing w:after="0"/>
              <w:rPr>
                <w:sz w:val="21"/>
                <w:szCs w:val="21"/>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w:t>
            </w:r>
          </w:p>
        </w:tc>
        <w:tc>
          <w:tcPr>
            <w:tcW w:w="240" w:type="dxa"/>
            <w:vAlign w:val="bottom"/>
            <w:tcBorders>
              <w:bottom w:val="single" w:sz="8" w:color="auto"/>
            </w:tcBorders>
            <w:shd w:val="clear" w:color="auto" w:fill="E4E4E4"/>
          </w:tcPr>
          <w:p>
            <w:pPr>
              <w:spacing w:after="0"/>
              <w:rPr>
                <w:sz w:val="21"/>
                <w:szCs w:val="21"/>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20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20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c>
          <w:tcPr>
            <w:tcW w:w="20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260" w:type="dxa"/>
            <w:vAlign w:val="bottom"/>
            <w:tcBorders>
              <w:bottom w:val="single" w:sz="8" w:color="E4E4E4"/>
            </w:tcBorders>
            <w:shd w:val="clear" w:color="auto" w:fill="E4E4E4"/>
          </w:tcPr>
          <w:p>
            <w:pPr>
              <w:spacing w:after="0"/>
              <w:rPr>
                <w:sz w:val="21"/>
                <w:szCs w:val="21"/>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18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r>
      <w:tr>
        <w:trPr>
          <w:trHeight w:val="580"/>
        </w:trPr>
        <w:tc>
          <w:tcPr>
            <w:tcW w:w="49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740" w:type="dxa"/>
            <w:vAlign w:val="bottom"/>
            <w:tcBorders>
              <w:top w:val="single" w:sz="8" w:color="auto"/>
            </w:tcBorders>
            <w:gridSpan w:val="6"/>
          </w:tcPr>
          <w:p>
            <w:pPr>
              <w:jc w:val="center"/>
              <w:spacing w:after="0"/>
              <w:rPr>
                <w:sz w:val="20"/>
                <w:szCs w:val="20"/>
                <w:color w:val="auto"/>
              </w:rPr>
            </w:pPr>
            <w:r>
              <w:rPr>
                <w:rFonts w:ascii="Arial" w:cs="Arial" w:eastAsia="Arial" w:hAnsi="Arial"/>
                <w:sz w:val="16"/>
                <w:szCs w:val="16"/>
                <w:b w:val="1"/>
                <w:bCs w:val="1"/>
                <w:color w:val="454545"/>
              </w:rPr>
              <w:t>For the nine months ended September 30, 2026</w:t>
            </w: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454545"/>
              </w:rPr>
              <w:t>Interest and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39"/>
              <w:spacing w:after="0"/>
              <w:rPr>
                <w:sz w:val="20"/>
                <w:szCs w:val="20"/>
                <w:color w:val="auto"/>
              </w:rPr>
            </w:pPr>
            <w:r>
              <w:rPr>
                <w:rFonts w:ascii="Arial" w:cs="Arial" w:eastAsia="Arial" w:hAnsi="Arial"/>
                <w:sz w:val="16"/>
                <w:szCs w:val="16"/>
                <w:b w:val="1"/>
                <w:bCs w:val="1"/>
                <w:color w:val="454545"/>
              </w:rPr>
              <w:t>Cost of</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other financial</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6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rPr>
              <w:t>products</w:t>
            </w:r>
          </w:p>
        </w:tc>
        <w:tc>
          <w:tcPr>
            <w:tcW w:w="20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960" w:type="dxa"/>
            <w:vAlign w:val="bottom"/>
            <w:tcBorders>
              <w:bottom w:val="single" w:sz="8" w:color="6022A6"/>
            </w:tcBorders>
          </w:tcPr>
          <w:p>
            <w:pPr>
              <w:jc w:val="center"/>
              <w:ind w:right="139"/>
              <w:spacing w:after="0"/>
              <w:rPr>
                <w:sz w:val="20"/>
                <w:szCs w:val="20"/>
                <w:color w:val="auto"/>
              </w:rPr>
            </w:pPr>
            <w:r>
              <w:rPr>
                <w:rFonts w:ascii="Arial" w:cs="Arial" w:eastAsia="Arial" w:hAnsi="Arial"/>
                <w:sz w:val="16"/>
                <w:szCs w:val="16"/>
                <w:b w:val="1"/>
                <w:bCs w:val="1"/>
                <w:color w:val="454545"/>
                <w:w w:val="99"/>
              </w:rPr>
              <w:t>SG&amp;A</w:t>
            </w:r>
          </w:p>
        </w:tc>
        <w:tc>
          <w:tcPr>
            <w:tcW w:w="1280" w:type="dxa"/>
            <w:vAlign w:val="bottom"/>
            <w:tcBorders>
              <w:bottom w:val="single" w:sz="8" w:color="6022A6"/>
            </w:tcBorders>
            <w:gridSpan w:val="2"/>
          </w:tcPr>
          <w:p>
            <w:pPr>
              <w:jc w:val="center"/>
              <w:spacing w:after="0"/>
              <w:rPr>
                <w:sz w:val="20"/>
                <w:szCs w:val="20"/>
                <w:color w:val="auto"/>
              </w:rPr>
            </w:pPr>
            <w:r>
              <w:rPr>
                <w:rFonts w:ascii="Arial" w:cs="Arial" w:eastAsia="Arial" w:hAnsi="Arial"/>
                <w:sz w:val="16"/>
                <w:szCs w:val="16"/>
                <w:b w:val="1"/>
                <w:bCs w:val="1"/>
                <w:color w:val="454545"/>
              </w:rPr>
              <w:t>charges – net</w:t>
            </w:r>
          </w:p>
        </w:tc>
        <w:tc>
          <w:tcPr>
            <w:tcW w:w="240" w:type="dxa"/>
            <w:vAlign w:val="bottom"/>
            <w:tcBorders>
              <w:bottom w:val="single" w:sz="8" w:color="6022A6"/>
            </w:tcBorders>
          </w:tcPr>
          <w:p>
            <w:pPr>
              <w:spacing w:after="0"/>
              <w:rPr>
                <w:sz w:val="21"/>
                <w:szCs w:val="21"/>
                <w:color w:val="auto"/>
              </w:rPr>
            </w:pP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2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c>
          <w:tcPr>
            <w:tcW w:w="2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shd w:val="clear" w:color="auto" w:fill="E4E4E4"/>
          </w:tcPr>
          <w:p>
            <w:pPr>
              <w:spacing w:after="0"/>
              <w:rPr>
                <w:sz w:val="21"/>
                <w:szCs w:val="21"/>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E4E4E4"/>
          </w:tcPr>
          <w:p>
            <w:pPr>
              <w:spacing w:after="0"/>
              <w:rPr>
                <w:sz w:val="21"/>
                <w:szCs w:val="21"/>
                <w:color w:val="auto"/>
              </w:rPr>
            </w:pP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shd w:val="clear" w:color="auto" w:fill="E4E4E4"/>
          </w:tcPr>
          <w:p>
            <w:pPr>
              <w:spacing w:after="0"/>
              <w:rPr>
                <w:sz w:val="21"/>
                <w:szCs w:val="21"/>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56</w:t>
            </w:r>
          </w:p>
        </w:tc>
        <w:tc>
          <w:tcPr>
            <w:tcW w:w="240" w:type="dxa"/>
            <w:vAlign w:val="bottom"/>
            <w:tcBorders>
              <w:bottom w:val="single" w:sz="8" w:color="auto"/>
            </w:tcBorders>
            <w:shd w:val="clear" w:color="auto" w:fill="E4E4E4"/>
          </w:tcPr>
          <w:p>
            <w:pPr>
              <w:spacing w:after="0"/>
              <w:rPr>
                <w:sz w:val="21"/>
                <w:szCs w:val="21"/>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20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w:t>
            </w:r>
          </w:p>
        </w:tc>
        <w:tc>
          <w:tcPr>
            <w:tcW w:w="24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20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w:t>
            </w:r>
          </w:p>
        </w:tc>
        <w:tc>
          <w:tcPr>
            <w:tcW w:w="20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c>
          <w:tcPr>
            <w:tcW w:w="260" w:type="dxa"/>
            <w:vAlign w:val="bottom"/>
            <w:tcBorders>
              <w:bottom w:val="single" w:sz="8" w:color="E4E4E4"/>
            </w:tcBorders>
            <w:shd w:val="clear" w:color="auto" w:fill="E4E4E4"/>
          </w:tcPr>
          <w:p>
            <w:pPr>
              <w:spacing w:after="0"/>
              <w:rPr>
                <w:sz w:val="21"/>
                <w:szCs w:val="21"/>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8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r>
      <w:tr>
        <w:trPr>
          <w:trHeight w:val="323"/>
        </w:trPr>
        <w:tc>
          <w:tcPr>
            <w:tcW w:w="49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740" w:type="dxa"/>
            <w:vAlign w:val="bottom"/>
            <w:tcBorders>
              <w:top w:val="single" w:sz="8" w:color="auto"/>
            </w:tcBorders>
            <w:gridSpan w:val="6"/>
          </w:tcPr>
          <w:p>
            <w:pPr>
              <w:jc w:val="center"/>
              <w:spacing w:after="0"/>
              <w:rPr>
                <w:sz w:val="20"/>
                <w:szCs w:val="20"/>
                <w:color w:val="auto"/>
              </w:rPr>
            </w:pPr>
            <w:r>
              <w:rPr>
                <w:rFonts w:ascii="Arial" w:cs="Arial" w:eastAsia="Arial" w:hAnsi="Arial"/>
                <w:sz w:val="16"/>
                <w:szCs w:val="16"/>
                <w:b w:val="1"/>
                <w:bCs w:val="1"/>
                <w:color w:val="454545"/>
              </w:rPr>
              <w:t>For the nine months ended September 30, 2025</w:t>
            </w: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b w:val="1"/>
                <w:bCs w:val="1"/>
                <w:color w:val="454545"/>
              </w:rPr>
              <w:t>Interest and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39"/>
              <w:spacing w:after="0"/>
              <w:rPr>
                <w:sz w:val="20"/>
                <w:szCs w:val="20"/>
                <w:color w:val="auto"/>
              </w:rPr>
            </w:pPr>
            <w:r>
              <w:rPr>
                <w:rFonts w:ascii="Arial" w:cs="Arial" w:eastAsia="Arial" w:hAnsi="Arial"/>
                <w:sz w:val="16"/>
                <w:szCs w:val="16"/>
                <w:b w:val="1"/>
                <w:bCs w:val="1"/>
                <w:color w:val="454545"/>
              </w:rPr>
              <w:t>Cost of</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other financial</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6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rPr>
              <w:t>products</w:t>
            </w:r>
          </w:p>
        </w:tc>
        <w:tc>
          <w:tcPr>
            <w:tcW w:w="20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960" w:type="dxa"/>
            <w:vAlign w:val="bottom"/>
            <w:tcBorders>
              <w:bottom w:val="single" w:sz="8" w:color="6022A6"/>
            </w:tcBorders>
          </w:tcPr>
          <w:p>
            <w:pPr>
              <w:jc w:val="center"/>
              <w:ind w:right="139"/>
              <w:spacing w:after="0"/>
              <w:rPr>
                <w:sz w:val="20"/>
                <w:szCs w:val="20"/>
                <w:color w:val="auto"/>
              </w:rPr>
            </w:pPr>
            <w:r>
              <w:rPr>
                <w:rFonts w:ascii="Arial" w:cs="Arial" w:eastAsia="Arial" w:hAnsi="Arial"/>
                <w:sz w:val="16"/>
                <w:szCs w:val="16"/>
                <w:b w:val="1"/>
                <w:bCs w:val="1"/>
                <w:color w:val="454545"/>
                <w:w w:val="99"/>
              </w:rPr>
              <w:t>SG&amp;A</w:t>
            </w:r>
          </w:p>
        </w:tc>
        <w:tc>
          <w:tcPr>
            <w:tcW w:w="1280" w:type="dxa"/>
            <w:vAlign w:val="bottom"/>
            <w:tcBorders>
              <w:bottom w:val="single" w:sz="8" w:color="6022A6"/>
            </w:tcBorders>
            <w:gridSpan w:val="2"/>
          </w:tcPr>
          <w:p>
            <w:pPr>
              <w:jc w:val="center"/>
              <w:spacing w:after="0"/>
              <w:rPr>
                <w:sz w:val="20"/>
                <w:szCs w:val="20"/>
                <w:color w:val="auto"/>
              </w:rPr>
            </w:pPr>
            <w:r>
              <w:rPr>
                <w:rFonts w:ascii="Arial" w:cs="Arial" w:eastAsia="Arial" w:hAnsi="Arial"/>
                <w:sz w:val="16"/>
                <w:szCs w:val="16"/>
                <w:b w:val="1"/>
                <w:bCs w:val="1"/>
                <w:color w:val="454545"/>
              </w:rPr>
              <w:t>charges – net</w:t>
            </w:r>
          </w:p>
        </w:tc>
        <w:tc>
          <w:tcPr>
            <w:tcW w:w="240" w:type="dxa"/>
            <w:vAlign w:val="bottom"/>
            <w:tcBorders>
              <w:bottom w:val="single" w:sz="8" w:color="6022A6"/>
            </w:tcBorders>
          </w:tcPr>
          <w:p>
            <w:pPr>
              <w:spacing w:after="0"/>
              <w:rPr>
                <w:sz w:val="21"/>
                <w:szCs w:val="21"/>
                <w:color w:val="auto"/>
              </w:rPr>
            </w:pP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2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 contracts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shd w:val="clear" w:color="auto" w:fill="E4E4E4"/>
          </w:tcPr>
          <w:p>
            <w:pPr>
              <w:spacing w:after="0"/>
              <w:rPr>
                <w:sz w:val="21"/>
                <w:szCs w:val="21"/>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E4E4E4"/>
          </w:tcPr>
          <w:p>
            <w:pPr>
              <w:spacing w:after="0"/>
              <w:rPr>
                <w:sz w:val="21"/>
                <w:szCs w:val="21"/>
                <w:color w:val="auto"/>
              </w:rPr>
            </w:pP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shd w:val="clear" w:color="auto" w:fill="E4E4E4"/>
          </w:tcPr>
          <w:p>
            <w:pPr>
              <w:spacing w:after="0"/>
              <w:rPr>
                <w:sz w:val="21"/>
                <w:szCs w:val="21"/>
                <w:color w:val="auto"/>
              </w:rPr>
            </w:pPr>
          </w:p>
        </w:tc>
        <w:tc>
          <w:tcPr>
            <w:tcW w:w="11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39</w:t>
            </w:r>
          </w:p>
        </w:tc>
        <w:tc>
          <w:tcPr>
            <w:tcW w:w="240" w:type="dxa"/>
            <w:vAlign w:val="bottom"/>
            <w:tcBorders>
              <w:bottom w:val="single" w:sz="8" w:color="auto"/>
            </w:tcBorders>
            <w:shd w:val="clear" w:color="auto" w:fill="E4E4E4"/>
          </w:tcPr>
          <w:p>
            <w:pPr>
              <w:spacing w:after="0"/>
              <w:rPr>
                <w:sz w:val="21"/>
                <w:szCs w:val="21"/>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1"/>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20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(96)</w:t>
            </w:r>
          </w:p>
        </w:tc>
        <w:tc>
          <w:tcPr>
            <w:tcW w:w="24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48</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5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2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18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r>
      <w:tr>
        <w:trPr>
          <w:trHeight w:val="20"/>
        </w:trPr>
        <w:tc>
          <w:tcPr>
            <w:tcW w:w="4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600" w:hanging="252"/>
        <w:spacing w:after="0" w:line="263"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fair value related to components other than the spot rate are excluded from effectiveness testing for the three and nine months ended September 30, 2026 and 2025.</w:t>
      </w:r>
    </w:p>
    <w:p>
      <w:pPr>
        <w:ind w:left="260" w:right="180" w:hanging="252"/>
        <w:spacing w:after="0" w:line="255"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includes interest income (expense) on interest rate derivatives of an immaterial amount and $(5) million for the three months ended September 30, 2026 and 2025, respectively, and $2 million and $(13) million for the nine months ended September 30, 2026 and 2025, respectively.</w:t>
      </w: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derivatives are comprised of embedded derivatives and derivatives related to equity contracts.</w:t>
      </w:r>
    </w:p>
    <w:p>
      <w:pPr>
        <w:spacing w:after="0" w:line="8" w:lineRule="exact"/>
        <w:rPr>
          <w:rFonts w:ascii="Arial" w:cs="Arial" w:eastAsia="Arial" w:hAnsi="Arial"/>
          <w:sz w:val="16"/>
          <w:szCs w:val="16"/>
          <w:color w:val="auto"/>
        </w:rPr>
      </w:pP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Amounts are inclusive of gains (losses) in Other (income) expense – net in the Condensed Consolidated Statements of Income.</w:t>
      </w:r>
    </w:p>
    <w:p>
      <w:pPr>
        <w:sectPr>
          <w:pgSz w:w="11900" w:h="16838" w:orient="portrait"/>
          <w:cols w:equalWidth="0" w:num="1">
            <w:col w:w="11240"/>
          </w:cols>
          <w:pgMar w:left="320" w:top="130" w:right="339" w:bottom="8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876"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assets and liabilities that are recorded and measured at fair value on a recurring basis.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gridSpan w:val="4"/>
          </w:tcPr>
          <w:p>
            <w:pPr>
              <w:ind w:left="20"/>
              <w:spacing w:after="0"/>
              <w:rPr>
                <w:sz w:val="20"/>
                <w:szCs w:val="20"/>
                <w:color w:val="auto"/>
              </w:rPr>
            </w:pPr>
            <w:r>
              <w:rPr>
                <w:rFonts w:ascii="Arial" w:cs="Arial" w:eastAsia="Arial" w:hAnsi="Arial"/>
                <w:sz w:val="16"/>
                <w:szCs w:val="16"/>
                <w:b w:val="1"/>
                <w:bCs w:val="1"/>
                <w:color w:val="auto"/>
              </w:rPr>
              <w:t>Fair Value of Assets and Liabilities Measured on a Recurring Basis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7"/>
        </w:trPr>
        <w:tc>
          <w:tcPr>
            <w:tcW w:w="3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40" w:type="dxa"/>
            <w:vAlign w:val="bottom"/>
            <w:gridSpan w:val="4"/>
          </w:tcPr>
          <w:p>
            <w:pPr>
              <w:jc w:val="right"/>
              <w:ind w:right="59"/>
              <w:spacing w:after="0"/>
              <w:rPr>
                <w:sz w:val="20"/>
                <w:szCs w:val="20"/>
                <w:color w:val="auto"/>
              </w:rPr>
            </w:pPr>
            <w:r>
              <w:rPr>
                <w:rFonts w:ascii="Arial" w:cs="Arial" w:eastAsia="Arial" w:hAnsi="Arial"/>
                <w:sz w:val="16"/>
                <w:szCs w:val="16"/>
                <w:b w:val="1"/>
                <w:bCs w:val="1"/>
                <w:color w:val="454545"/>
              </w:rPr>
              <w:t>As of September 30, 2026</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454545"/>
              </w:rPr>
              <w:t>As of December 31, 2025</w:t>
            </w:r>
          </w:p>
        </w:tc>
        <w:tc>
          <w:tcPr>
            <w:tcW w:w="740" w:type="dxa"/>
            <w:vAlign w:val="bottom"/>
          </w:tcPr>
          <w:p>
            <w:pPr>
              <w:spacing w:after="0"/>
              <w:rPr>
                <w:sz w:val="22"/>
                <w:szCs w:val="22"/>
                <w:color w:val="auto"/>
              </w:rPr>
            </w:pPr>
          </w:p>
        </w:tc>
      </w:tr>
      <w:tr>
        <w:trPr>
          <w:trHeight w:val="21"/>
        </w:trPr>
        <w:tc>
          <w:tcPr>
            <w:tcW w:w="37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r>
      <w:tr>
        <w:trPr>
          <w:trHeight w:val="253"/>
        </w:trPr>
        <w:tc>
          <w:tcPr>
            <w:tcW w:w="3700" w:type="dxa"/>
            <w:vAlign w:val="bottom"/>
            <w:tcBorders>
              <w:bottom w:val="single" w:sz="8" w:color="6022A6"/>
            </w:tcBorders>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279"/>
              <w:spacing w:after="0"/>
              <w:rPr>
                <w:sz w:val="20"/>
                <w:szCs w:val="20"/>
                <w:color w:val="auto"/>
              </w:rPr>
            </w:pPr>
            <w:r>
              <w:rPr>
                <w:rFonts w:ascii="Arial" w:cs="Arial" w:eastAsia="Arial" w:hAnsi="Arial"/>
                <w:sz w:val="16"/>
                <w:szCs w:val="16"/>
                <w:b w:val="1"/>
                <w:bCs w:val="1"/>
                <w:color w:val="454545"/>
              </w:rPr>
              <w:t>Level 1</w:t>
            </w:r>
          </w:p>
        </w:tc>
        <w:tc>
          <w:tcPr>
            <w:tcW w:w="740" w:type="dxa"/>
            <w:vAlign w:val="bottom"/>
          </w:tcPr>
          <w:p>
            <w:pPr>
              <w:jc w:val="right"/>
              <w:ind w:right="79"/>
              <w:spacing w:after="0"/>
              <w:rPr>
                <w:sz w:val="20"/>
                <w:szCs w:val="20"/>
                <w:color w:val="auto"/>
              </w:rPr>
            </w:pPr>
            <w:r>
              <w:rPr>
                <w:rFonts w:ascii="Arial" w:cs="Arial" w:eastAsia="Arial" w:hAnsi="Arial"/>
                <w:sz w:val="16"/>
                <w:szCs w:val="16"/>
                <w:b w:val="1"/>
                <w:bCs w:val="1"/>
                <w:color w:val="454545"/>
              </w:rPr>
              <w:t>Level 2</w:t>
            </w:r>
          </w:p>
        </w:tc>
        <w:tc>
          <w:tcPr>
            <w:tcW w:w="180" w:type="dxa"/>
            <w:vAlign w:val="bottom"/>
          </w:tcPr>
          <w:p>
            <w:pPr>
              <w:spacing w:after="0"/>
              <w:rPr>
                <w:sz w:val="21"/>
                <w:szCs w:val="21"/>
                <w:color w:val="auto"/>
              </w:rPr>
            </w:pP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Total</w:t>
            </w:r>
          </w:p>
        </w:tc>
        <w:tc>
          <w:tcPr>
            <w:tcW w:w="80" w:type="dxa"/>
            <w:vAlign w:val="bottom"/>
            <w:tcBorders>
              <w:bottom w:val="single" w:sz="8" w:color="6022A6"/>
            </w:tcBorders>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1</w:t>
            </w:r>
          </w:p>
        </w:tc>
        <w:tc>
          <w:tcPr>
            <w:tcW w:w="760" w:type="dxa"/>
            <w:vAlign w:val="bottom"/>
          </w:tcPr>
          <w:p>
            <w:pPr>
              <w:jc w:val="right"/>
              <w:ind w:right="99"/>
              <w:spacing w:after="0"/>
              <w:rPr>
                <w:sz w:val="20"/>
                <w:szCs w:val="20"/>
                <w:color w:val="auto"/>
              </w:rPr>
            </w:pPr>
            <w:r>
              <w:rPr>
                <w:rFonts w:ascii="Arial" w:cs="Arial" w:eastAsia="Arial" w:hAnsi="Arial"/>
                <w:sz w:val="16"/>
                <w:szCs w:val="16"/>
                <w:b w:val="1"/>
                <w:bCs w:val="1"/>
                <w:color w:val="454545"/>
              </w:rPr>
              <w:t>Level 2</w:t>
            </w:r>
          </w:p>
        </w:tc>
        <w:tc>
          <w:tcPr>
            <w:tcW w:w="180" w:type="dxa"/>
            <w:vAlign w:val="bottom"/>
          </w:tcPr>
          <w:p>
            <w:pPr>
              <w:spacing w:after="0"/>
              <w:rPr>
                <w:sz w:val="21"/>
                <w:szCs w:val="21"/>
                <w:color w:val="auto"/>
              </w:rPr>
            </w:pPr>
          </w:p>
        </w:tc>
        <w:tc>
          <w:tcPr>
            <w:tcW w:w="96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Total</w:t>
            </w:r>
          </w:p>
        </w:tc>
      </w:tr>
      <w:tr>
        <w:trPr>
          <w:trHeight w:val="227"/>
        </w:trPr>
        <w:tc>
          <w:tcPr>
            <w:tcW w:w="370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6022A6"/>
              <w:bottom w:val="single" w:sz="8" w:color="E4E4E4"/>
            </w:tcBorders>
            <w:shd w:val="clear" w:color="auto" w:fill="E4E4E4"/>
          </w:tcPr>
          <w:p>
            <w:pPr>
              <w:spacing w:after="0"/>
              <w:rPr>
                <w:sz w:val="19"/>
                <w:szCs w:val="19"/>
                <w:color w:val="auto"/>
              </w:rPr>
            </w:pPr>
          </w:p>
        </w:tc>
        <w:tc>
          <w:tcPr>
            <w:tcW w:w="940" w:type="dxa"/>
            <w:vAlign w:val="bottom"/>
            <w:tcBorders>
              <w:top w:val="single" w:sz="8" w:color="6022A6"/>
              <w:bottom w:val="single" w:sz="8" w:color="E4E4E4"/>
            </w:tcBorders>
            <w:shd w:val="clear" w:color="auto" w:fill="E4E4E4"/>
          </w:tcPr>
          <w:p>
            <w:pPr>
              <w:spacing w:after="0"/>
              <w:rPr>
                <w:sz w:val="19"/>
                <w:szCs w:val="19"/>
                <w:color w:val="auto"/>
              </w:rPr>
            </w:pPr>
          </w:p>
        </w:tc>
        <w:tc>
          <w:tcPr>
            <w:tcW w:w="740" w:type="dxa"/>
            <w:vAlign w:val="bottom"/>
            <w:tcBorders>
              <w:top w:val="single" w:sz="8" w:color="6022A6"/>
              <w:bottom w:val="single" w:sz="8" w:color="E4E4E4"/>
            </w:tcBorders>
            <w:shd w:val="clear" w:color="auto" w:fill="E4E4E4"/>
          </w:tcPr>
          <w:p>
            <w:pPr>
              <w:spacing w:after="0"/>
              <w:rPr>
                <w:sz w:val="19"/>
                <w:szCs w:val="19"/>
                <w:color w:val="auto"/>
              </w:rPr>
            </w:pPr>
          </w:p>
        </w:tc>
        <w:tc>
          <w:tcPr>
            <w:tcW w:w="180" w:type="dxa"/>
            <w:vAlign w:val="bottom"/>
            <w:tcBorders>
              <w:top w:val="single" w:sz="8" w:color="6022A6"/>
              <w:bottom w:val="single" w:sz="8" w:color="E4E4E4"/>
            </w:tcBorders>
            <w:shd w:val="clear" w:color="auto" w:fill="E4E4E4"/>
          </w:tcPr>
          <w:p>
            <w:pPr>
              <w:spacing w:after="0"/>
              <w:rPr>
                <w:sz w:val="19"/>
                <w:szCs w:val="19"/>
                <w:color w:val="auto"/>
              </w:rPr>
            </w:pPr>
          </w:p>
        </w:tc>
        <w:tc>
          <w:tcPr>
            <w:tcW w:w="980" w:type="dxa"/>
            <w:vAlign w:val="bottom"/>
            <w:tcBorders>
              <w:top w:val="single" w:sz="8" w:color="6022A6"/>
              <w:bottom w:val="single" w:sz="8" w:color="E4E4E4"/>
            </w:tcBorders>
            <w:shd w:val="clear" w:color="auto" w:fill="E4E4E4"/>
          </w:tcPr>
          <w:p>
            <w:pPr>
              <w:spacing w:after="0"/>
              <w:rPr>
                <w:sz w:val="19"/>
                <w:szCs w:val="19"/>
                <w:color w:val="auto"/>
              </w:rPr>
            </w:pPr>
          </w:p>
        </w:tc>
        <w:tc>
          <w:tcPr>
            <w:tcW w:w="740" w:type="dxa"/>
            <w:vAlign w:val="bottom"/>
            <w:tcBorders>
              <w:top w:val="single" w:sz="8" w:color="6022A6"/>
              <w:bottom w:val="single" w:sz="8" w:color="E4E4E4"/>
            </w:tcBorders>
            <w:shd w:val="clear" w:color="auto" w:fill="E4E4E4"/>
          </w:tcPr>
          <w:p>
            <w:pPr>
              <w:spacing w:after="0"/>
              <w:rPr>
                <w:sz w:val="19"/>
                <w:szCs w:val="19"/>
                <w:color w:val="auto"/>
              </w:rPr>
            </w:pPr>
          </w:p>
        </w:tc>
        <w:tc>
          <w:tcPr>
            <w:tcW w:w="80" w:type="dxa"/>
            <w:vAlign w:val="bottom"/>
            <w:tcBorders>
              <w:top w:val="single" w:sz="8" w:color="E4E4E4"/>
              <w:bottom w:val="single" w:sz="8" w:color="E4E4E4"/>
            </w:tcBorders>
            <w:shd w:val="clear" w:color="auto" w:fill="E4E4E4"/>
          </w:tcPr>
          <w:p>
            <w:pPr>
              <w:spacing w:after="0"/>
              <w:rPr>
                <w:sz w:val="19"/>
                <w:szCs w:val="19"/>
                <w:color w:val="auto"/>
              </w:rPr>
            </w:pPr>
          </w:p>
        </w:tc>
        <w:tc>
          <w:tcPr>
            <w:tcW w:w="160" w:type="dxa"/>
            <w:vAlign w:val="bottom"/>
            <w:tcBorders>
              <w:top w:val="single" w:sz="8" w:color="6022A6"/>
              <w:bottom w:val="single" w:sz="8" w:color="E4E4E4"/>
            </w:tcBorders>
            <w:shd w:val="clear" w:color="auto" w:fill="E4E4E4"/>
          </w:tcPr>
          <w:p>
            <w:pPr>
              <w:spacing w:after="0"/>
              <w:rPr>
                <w:sz w:val="19"/>
                <w:szCs w:val="19"/>
                <w:color w:val="auto"/>
              </w:rPr>
            </w:pPr>
          </w:p>
        </w:tc>
        <w:tc>
          <w:tcPr>
            <w:tcW w:w="920" w:type="dxa"/>
            <w:vAlign w:val="bottom"/>
            <w:tcBorders>
              <w:top w:val="single" w:sz="8" w:color="6022A6"/>
              <w:bottom w:val="single" w:sz="8" w:color="E4E4E4"/>
            </w:tcBorders>
            <w:shd w:val="clear" w:color="auto" w:fill="E4E4E4"/>
          </w:tcPr>
          <w:p>
            <w:pPr>
              <w:spacing w:after="0"/>
              <w:rPr>
                <w:sz w:val="19"/>
                <w:szCs w:val="19"/>
                <w:color w:val="auto"/>
              </w:rPr>
            </w:pPr>
          </w:p>
        </w:tc>
        <w:tc>
          <w:tcPr>
            <w:tcW w:w="760" w:type="dxa"/>
            <w:vAlign w:val="bottom"/>
            <w:tcBorders>
              <w:top w:val="single" w:sz="8" w:color="6022A6"/>
              <w:bottom w:val="single" w:sz="8" w:color="E4E4E4"/>
            </w:tcBorders>
            <w:shd w:val="clear" w:color="auto" w:fill="E4E4E4"/>
          </w:tcPr>
          <w:p>
            <w:pPr>
              <w:spacing w:after="0"/>
              <w:rPr>
                <w:sz w:val="19"/>
                <w:szCs w:val="19"/>
                <w:color w:val="auto"/>
              </w:rPr>
            </w:pPr>
          </w:p>
        </w:tc>
        <w:tc>
          <w:tcPr>
            <w:tcW w:w="180" w:type="dxa"/>
            <w:vAlign w:val="bottom"/>
            <w:tcBorders>
              <w:top w:val="single" w:sz="8" w:color="6022A6"/>
              <w:bottom w:val="single" w:sz="8" w:color="E4E4E4"/>
            </w:tcBorders>
            <w:shd w:val="clear" w:color="auto" w:fill="E4E4E4"/>
          </w:tcPr>
          <w:p>
            <w:pPr>
              <w:spacing w:after="0"/>
              <w:rPr>
                <w:sz w:val="19"/>
                <w:szCs w:val="19"/>
                <w:color w:val="auto"/>
              </w:rPr>
            </w:pPr>
          </w:p>
        </w:tc>
        <w:tc>
          <w:tcPr>
            <w:tcW w:w="960" w:type="dxa"/>
            <w:vAlign w:val="bottom"/>
            <w:tcBorders>
              <w:top w:val="single" w:sz="8" w:color="6022A6"/>
              <w:bottom w:val="single" w:sz="8" w:color="E4E4E4"/>
            </w:tcBorders>
            <w:shd w:val="clear" w:color="auto" w:fill="E4E4E4"/>
          </w:tcPr>
          <w:p>
            <w:pPr>
              <w:spacing w:after="0"/>
              <w:rPr>
                <w:sz w:val="19"/>
                <w:szCs w:val="19"/>
                <w:color w:val="auto"/>
              </w:rPr>
            </w:pPr>
          </w:p>
        </w:tc>
        <w:tc>
          <w:tcPr>
            <w:tcW w:w="740" w:type="dxa"/>
            <w:vAlign w:val="bottom"/>
            <w:tcBorders>
              <w:top w:val="single" w:sz="8" w:color="6022A6"/>
              <w:bottom w:val="single" w:sz="8" w:color="E4E4E4"/>
            </w:tcBorders>
            <w:shd w:val="clear" w:color="auto" w:fill="E4E4E4"/>
          </w:tcPr>
          <w:p>
            <w:pPr>
              <w:spacing w:after="0"/>
              <w:rPr>
                <w:sz w:val="19"/>
                <w:szCs w:val="19"/>
                <w:color w:val="auto"/>
              </w:rPr>
            </w:pP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Money market funds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350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350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399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Investment securities</w:t>
            </w:r>
          </w:p>
        </w:tc>
        <w:tc>
          <w:tcPr>
            <w:tcW w:w="16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50</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30</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47</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30</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w:t>
            </w:r>
          </w:p>
        </w:tc>
      </w:tr>
      <w:tr>
        <w:trPr>
          <w:trHeight w:val="227"/>
        </w:trPr>
        <w:tc>
          <w:tcPr>
            <w:tcW w:w="37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19"/>
                <w:szCs w:val="19"/>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183</w:t>
            </w:r>
          </w:p>
        </w:tc>
        <w:tc>
          <w:tcPr>
            <w:tcW w:w="180" w:type="dxa"/>
            <w:vAlign w:val="bottom"/>
          </w:tcPr>
          <w:p>
            <w:pPr>
              <w:spacing w:after="0"/>
              <w:rPr>
                <w:sz w:val="19"/>
                <w:szCs w:val="19"/>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256</w:t>
            </w:r>
          </w:p>
        </w:tc>
        <w:tc>
          <w:tcPr>
            <w:tcW w:w="18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7"/>
        </w:trPr>
        <w:tc>
          <w:tcPr>
            <w:tcW w:w="37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shd w:val="clear" w:color="auto" w:fill="E4E4E4"/>
          </w:tcPr>
          <w:p>
            <w:pPr>
              <w:spacing w:after="0"/>
              <w:rPr>
                <w:sz w:val="22"/>
                <w:szCs w:val="22"/>
                <w:color w:val="auto"/>
              </w:rPr>
            </w:pPr>
          </w:p>
        </w:tc>
        <w:tc>
          <w:tcPr>
            <w:tcW w:w="940" w:type="dxa"/>
            <w:vAlign w:val="bottom"/>
            <w:shd w:val="clear" w:color="auto" w:fill="E4E4E4"/>
          </w:tcPr>
          <w:p>
            <w:pPr>
              <w:spacing w:after="0"/>
              <w:rPr>
                <w:sz w:val="22"/>
                <w:szCs w:val="22"/>
                <w:color w:val="auto"/>
              </w:rPr>
            </w:pPr>
          </w:p>
        </w:tc>
        <w:tc>
          <w:tcPr>
            <w:tcW w:w="740" w:type="dxa"/>
            <w:vAlign w:val="bottom"/>
            <w:shd w:val="clear" w:color="auto" w:fill="E4E4E4"/>
          </w:tcPr>
          <w:p>
            <w:pPr>
              <w:spacing w:after="0"/>
              <w:rPr>
                <w:sz w:val="22"/>
                <w:szCs w:val="22"/>
                <w:color w:val="auto"/>
              </w:rPr>
            </w:pPr>
          </w:p>
        </w:tc>
        <w:tc>
          <w:tcPr>
            <w:tcW w:w="180" w:type="dxa"/>
            <w:vAlign w:val="bottom"/>
            <w:shd w:val="clear" w:color="auto" w:fill="E4E4E4"/>
          </w:tcPr>
          <w:p>
            <w:pPr>
              <w:spacing w:after="0"/>
              <w:rPr>
                <w:sz w:val="22"/>
                <w:szCs w:val="22"/>
                <w:color w:val="auto"/>
              </w:rPr>
            </w:pPr>
          </w:p>
        </w:tc>
        <w:tc>
          <w:tcPr>
            <w:tcW w:w="980" w:type="dxa"/>
            <w:vAlign w:val="bottom"/>
            <w:shd w:val="clear" w:color="auto" w:fill="E4E4E4"/>
          </w:tcPr>
          <w:p>
            <w:pPr>
              <w:spacing w:after="0"/>
              <w:rPr>
                <w:sz w:val="22"/>
                <w:szCs w:val="22"/>
                <w:color w:val="auto"/>
              </w:rPr>
            </w:pPr>
          </w:p>
        </w:tc>
        <w:tc>
          <w:tcPr>
            <w:tcW w:w="740" w:type="dxa"/>
            <w:vAlign w:val="bottom"/>
            <w:shd w:val="clear" w:color="auto" w:fill="E4E4E4"/>
          </w:tcPr>
          <w:p>
            <w:pPr>
              <w:spacing w:after="0"/>
              <w:rPr>
                <w:sz w:val="22"/>
                <w:szCs w:val="22"/>
                <w:color w:val="auto"/>
              </w:rPr>
            </w:pPr>
          </w:p>
        </w:tc>
        <w:tc>
          <w:tcPr>
            <w:tcW w:w="80" w:type="dxa"/>
            <w:vAlign w:val="bottom"/>
            <w:shd w:val="clear" w:color="auto" w:fill="E4E4E4"/>
          </w:tcPr>
          <w:p>
            <w:pPr>
              <w:spacing w:after="0"/>
              <w:rPr>
                <w:sz w:val="22"/>
                <w:szCs w:val="22"/>
                <w:color w:val="auto"/>
              </w:rPr>
            </w:pPr>
          </w:p>
        </w:tc>
        <w:tc>
          <w:tcPr>
            <w:tcW w:w="160" w:type="dxa"/>
            <w:vAlign w:val="bottom"/>
            <w:shd w:val="clear" w:color="auto" w:fill="E4E4E4"/>
          </w:tcPr>
          <w:p>
            <w:pPr>
              <w:spacing w:after="0"/>
              <w:rPr>
                <w:sz w:val="22"/>
                <w:szCs w:val="22"/>
                <w:color w:val="auto"/>
              </w:rPr>
            </w:pPr>
          </w:p>
        </w:tc>
        <w:tc>
          <w:tcPr>
            <w:tcW w:w="920" w:type="dxa"/>
            <w:vAlign w:val="bottom"/>
            <w:shd w:val="clear" w:color="auto" w:fill="E4E4E4"/>
          </w:tcPr>
          <w:p>
            <w:pPr>
              <w:spacing w:after="0"/>
              <w:rPr>
                <w:sz w:val="22"/>
                <w:szCs w:val="22"/>
                <w:color w:val="auto"/>
              </w:rPr>
            </w:pPr>
          </w:p>
        </w:tc>
        <w:tc>
          <w:tcPr>
            <w:tcW w:w="760" w:type="dxa"/>
            <w:vAlign w:val="bottom"/>
            <w:shd w:val="clear" w:color="auto" w:fill="E4E4E4"/>
          </w:tcPr>
          <w:p>
            <w:pPr>
              <w:spacing w:after="0"/>
              <w:rPr>
                <w:sz w:val="22"/>
                <w:szCs w:val="22"/>
                <w:color w:val="auto"/>
              </w:rPr>
            </w:pPr>
          </w:p>
        </w:tc>
        <w:tc>
          <w:tcPr>
            <w:tcW w:w="180" w:type="dxa"/>
            <w:vAlign w:val="bottom"/>
            <w:shd w:val="clear" w:color="auto" w:fill="E4E4E4"/>
          </w:tcPr>
          <w:p>
            <w:pPr>
              <w:spacing w:after="0"/>
              <w:rPr>
                <w:sz w:val="22"/>
                <w:szCs w:val="22"/>
                <w:color w:val="auto"/>
              </w:rPr>
            </w:pPr>
          </w:p>
        </w:tc>
        <w:tc>
          <w:tcPr>
            <w:tcW w:w="960" w:type="dxa"/>
            <w:vAlign w:val="bottom"/>
            <w:shd w:val="clear" w:color="auto" w:fill="E4E4E4"/>
          </w:tcPr>
          <w:p>
            <w:pPr>
              <w:spacing w:after="0"/>
              <w:rPr>
                <w:sz w:val="22"/>
                <w:szCs w:val="22"/>
                <w:color w:val="auto"/>
              </w:rPr>
            </w:pPr>
          </w:p>
        </w:tc>
        <w:tc>
          <w:tcPr>
            <w:tcW w:w="740" w:type="dxa"/>
            <w:vAlign w:val="bottom"/>
            <w:shd w:val="clear" w:color="auto" w:fill="E4E4E4"/>
          </w:tcPr>
          <w:p>
            <w:pPr>
              <w:spacing w:after="0"/>
              <w:rPr>
                <w:sz w:val="22"/>
                <w:szCs w:val="22"/>
                <w:color w:val="auto"/>
              </w:rPr>
            </w:pP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19"/>
                <w:szCs w:val="19"/>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285</w:t>
            </w:r>
          </w:p>
        </w:tc>
        <w:tc>
          <w:tcPr>
            <w:tcW w:w="180" w:type="dxa"/>
            <w:vAlign w:val="bottom"/>
          </w:tcPr>
          <w:p>
            <w:pPr>
              <w:spacing w:after="0"/>
              <w:rPr>
                <w:sz w:val="19"/>
                <w:szCs w:val="19"/>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207</w:t>
            </w:r>
          </w:p>
        </w:tc>
        <w:tc>
          <w:tcPr>
            <w:tcW w:w="18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Contingent consideration</w:t>
            </w:r>
          </w:p>
        </w:tc>
        <w:tc>
          <w:tcPr>
            <w:tcW w:w="16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16</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bottom w:val="single" w:sz="8" w:color="auto"/>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30</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r>
      <w:tr>
        <w:trPr>
          <w:trHeight w:val="20"/>
        </w:trPr>
        <w:tc>
          <w:tcPr>
            <w:tcW w:w="3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equivalents</w:t>
      </w:r>
    </w:p>
    <w:p>
      <w:pPr>
        <w:spacing w:after="0" w:line="19"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As of September 30, 2026 and December 31, 2025, Cash, cash equivalents, and restricted cash of $2,854 million and $4,512 million, respectively, included money market funds of $350 million and $399 million, and other cash equivalents of $1,710 million and $3,046 million, respectively. The carrying values of the other cash equivalents approximates the fair value due to their short maturities and are valued using Level 1 or Level 2 inputs. Refer to Note 16, “Supplemental Financial Information” for further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29"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Derivatives are measured at fair value using a discounted cash flow method or option models using interest rates, foreign exchange spot and forward rates and yield curves observable at commonly quoted intervals, implied volatilities, and credit spreads as key inputs. Unobservable inputs relate to our own credit risk which is not significant to the overall measurement of fair value.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19"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Contingent consideration is recorded at fair value based on estimates of future cash flows in connection with business acquisitions. As the valuation of these liabilities is based on inputs that are less observable or not observable in the market, the determination of fair value is classified within Level 3 of the fair value hierarchy.</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 measurements</w:t>
      </w:r>
    </w:p>
    <w:p>
      <w:pPr>
        <w:spacing w:after="0" w:line="1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Changes in fair value measurements of assets and liabilities measured at fair value on a non-recurring basis, such as equity method investments, equity investments without readily determinable fair value, financing receivables, and long-lived assets, were not material for the nine months ended September 30, 2026 and 2025, with the exception of the gain on fair value measurement of the NMP equity method investment as described in Note 7, “Acquisitions, Goodwill, and Other Intangible Assets.”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other financial instruments</w:t>
      </w:r>
    </w:p>
    <w:p>
      <w:pPr>
        <w:spacing w:after="0" w:line="1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estimated fair value of borrowings as of September 30, 2026 and December 31, 2025 was $10,171 million and $10,545 million, respectively, compared to a carrying value (which only includes a reduction for unamortized debt issuance costs and discounts and cumulative basis adjustment) of $9,973 million and $10,003 million, respectively. The fair value of our borrowings includes accrued interest and is determined based on observable and quoted prices and spreads of comparable debt and benchmark securities and is considered Level 2 in the fair value hierarchy. See Note 8, “Borrowings” and Note 16, “Supplemental Financial Information” for further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PRODUCT WARRANTIES, AND OTHER LOSS CONTINGENCIES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248" w:lineRule="exact"/>
        <w:rPr>
          <w:sz w:val="20"/>
          <w:szCs w:val="20"/>
          <w:color w:val="auto"/>
        </w:rPr>
      </w:pPr>
    </w:p>
    <w:p>
      <w:pPr>
        <w:ind w:right="780"/>
        <w:spacing w:after="0" w:line="304" w:lineRule="auto"/>
        <w:rPr>
          <w:sz w:val="20"/>
          <w:szCs w:val="20"/>
          <w:color w:val="auto"/>
        </w:rPr>
      </w:pPr>
      <w:r>
        <w:rPr>
          <w:rFonts w:ascii="Arial" w:cs="Arial" w:eastAsia="Arial" w:hAnsi="Arial"/>
          <w:sz w:val="16"/>
          <w:szCs w:val="16"/>
          <w:color w:val="auto"/>
        </w:rPr>
        <w:t>The Company has off-balance sheet credit exposure through standby letters of credit, bank guarantees, bid bonds, and surety bonds. See Note 8, “Borrowings” for further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WARRANTIES.</w:t>
      </w:r>
    </w:p>
    <w:p>
      <w:pPr>
        <w:spacing w:after="0" w:line="26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provide warranty coverage to our customers as part of customary practices in the market to provide assurance that the products we sell comply with agreed-upon specifications. We provide estimated product warranty expenses when we sell the related products. Warranty accruals are estimates that are based on the best available information, mostly historical claims experience, therefore claims costs may differ from amounts provided. Liabilities associated with product warranties are recognized within All other current liabilities in the Condensed Consolidated Statements of Financial Position. A rollforward of the activity associated with the liability for product warranties follows.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60" w:type="dxa"/>
            <w:vAlign w:val="bottom"/>
          </w:tcPr>
          <w:p>
            <w:pPr>
              <w:spacing w:after="0"/>
              <w:rPr>
                <w:sz w:val="19"/>
                <w:szCs w:val="19"/>
                <w:color w:val="auto"/>
              </w:rPr>
            </w:pPr>
          </w:p>
        </w:tc>
        <w:tc>
          <w:tcPr>
            <w:tcW w:w="378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7460" w:type="dxa"/>
            <w:vAlign w:val="bottom"/>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440" w:type="dxa"/>
            <w:vAlign w:val="bottom"/>
            <w:tcBorders>
              <w:bottom w:val="single" w:sz="8" w:color="454545"/>
            </w:tcBorders>
          </w:tcPr>
          <w:p>
            <w:pPr>
              <w:spacing w:after="0" w:line="20" w:lineRule="exact"/>
              <w:rPr>
                <w:sz w:val="1"/>
                <w:szCs w:val="1"/>
                <w:color w:val="auto"/>
              </w:rPr>
            </w:pPr>
          </w:p>
        </w:tc>
      </w:tr>
      <w:tr>
        <w:trPr>
          <w:trHeight w:val="229"/>
        </w:trPr>
        <w:tc>
          <w:tcPr>
            <w:tcW w:w="7460" w:type="dxa"/>
            <w:vAlign w:val="bottom"/>
          </w:tcPr>
          <w:p>
            <w:pPr>
              <w:spacing w:after="0"/>
              <w:rPr>
                <w:sz w:val="19"/>
                <w:szCs w:val="19"/>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454545"/>
              </w:rPr>
              <w:t>2026</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679"/>
              <w:spacing w:after="0"/>
              <w:rPr>
                <w:sz w:val="20"/>
                <w:szCs w:val="20"/>
                <w:color w:val="auto"/>
              </w:rPr>
            </w:pPr>
            <w:r>
              <w:rPr>
                <w:rFonts w:ascii="Arial" w:cs="Arial" w:eastAsia="Arial" w:hAnsi="Arial"/>
                <w:sz w:val="16"/>
                <w:szCs w:val="16"/>
                <w:b w:val="1"/>
                <w:bCs w:val="1"/>
                <w:color w:val="454545"/>
              </w:rPr>
              <w:t>2025</w:t>
            </w:r>
          </w:p>
        </w:tc>
      </w:tr>
      <w:tr>
        <w:trPr>
          <w:trHeight w:val="21"/>
        </w:trPr>
        <w:tc>
          <w:tcPr>
            <w:tcW w:w="746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c>
          <w:tcPr>
            <w:tcW w:w="60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r>
      <w:tr>
        <w:trPr>
          <w:trHeight w:val="230"/>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as of beginning of period</w:t>
            </w:r>
          </w:p>
        </w:tc>
        <w:tc>
          <w:tcPr>
            <w:tcW w:w="1300" w:type="dxa"/>
            <w:vAlign w:val="bottom"/>
            <w:tcBorders>
              <w:bottom w:val="single" w:sz="8" w:color="E4E4E4"/>
            </w:tcBorders>
            <w:shd w:val="clear" w:color="auto" w:fill="E4E4E4"/>
          </w:tcPr>
          <w:p>
            <w:pPr>
              <w:jc w:val="right"/>
              <w:ind w:right="109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169</w:t>
            </w:r>
          </w:p>
        </w:tc>
        <w:tc>
          <w:tcPr>
            <w:tcW w:w="44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168</w:t>
            </w:r>
          </w:p>
        </w:tc>
      </w:tr>
      <w:tr>
        <w:trPr>
          <w:trHeight w:val="228"/>
        </w:trPr>
        <w:tc>
          <w:tcPr>
            <w:tcW w:w="7460" w:type="dxa"/>
            <w:vAlign w:val="bottom"/>
          </w:tcPr>
          <w:p>
            <w:pPr>
              <w:ind w:left="20"/>
              <w:spacing w:after="0"/>
              <w:rPr>
                <w:sz w:val="20"/>
                <w:szCs w:val="20"/>
                <w:color w:val="auto"/>
              </w:rPr>
            </w:pPr>
            <w:r>
              <w:rPr>
                <w:rFonts w:ascii="Arial" w:cs="Arial" w:eastAsia="Arial" w:hAnsi="Arial"/>
                <w:sz w:val="16"/>
                <w:szCs w:val="16"/>
                <w:color w:val="auto"/>
              </w:rPr>
              <w:t>Current-year provisions</w:t>
            </w:r>
          </w:p>
        </w:tc>
        <w:tc>
          <w:tcPr>
            <w:tcW w:w="1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153</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9"/>
        </w:trPr>
        <w:tc>
          <w:tcPr>
            <w:tcW w:w="7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Expenditures</w:t>
            </w:r>
          </w:p>
        </w:tc>
        <w:tc>
          <w:tcPr>
            <w:tcW w:w="1300" w:type="dxa"/>
            <w:vAlign w:val="bottom"/>
            <w:tcBorders>
              <w:bottom w:val="single" w:sz="8" w:color="E4E4E4"/>
            </w:tcBorders>
            <w:shd w:val="clear" w:color="auto" w:fill="E4E4E4"/>
          </w:tcPr>
          <w:p>
            <w:pPr>
              <w:spacing w:after="0"/>
              <w:rPr>
                <w:sz w:val="20"/>
                <w:szCs w:val="20"/>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(143)</w:t>
            </w:r>
          </w:p>
        </w:tc>
        <w:tc>
          <w:tcPr>
            <w:tcW w:w="44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(163)</w:t>
            </w:r>
          </w:p>
        </w:tc>
      </w:tr>
      <w:tr>
        <w:trPr>
          <w:trHeight w:val="227"/>
        </w:trPr>
        <w:tc>
          <w:tcPr>
            <w:tcW w:w="7460" w:type="dxa"/>
            <w:vAlign w:val="bottom"/>
          </w:tcPr>
          <w:p>
            <w:pPr>
              <w:ind w:left="20"/>
              <w:spacing w:after="0"/>
              <w:rPr>
                <w:sz w:val="20"/>
                <w:szCs w:val="20"/>
                <w:color w:val="auto"/>
              </w:rPr>
            </w:pPr>
            <w:r>
              <w:rPr>
                <w:rFonts w:ascii="Arial" w:cs="Arial" w:eastAsia="Arial" w:hAnsi="Arial"/>
                <w:sz w:val="16"/>
                <w:szCs w:val="16"/>
                <w:color w:val="auto"/>
              </w:rPr>
              <w:t>Foreign currency exchange and other</w:t>
            </w:r>
          </w:p>
        </w:tc>
        <w:tc>
          <w:tcPr>
            <w:tcW w:w="1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9"/>
        </w:trPr>
        <w:tc>
          <w:tcPr>
            <w:tcW w:w="7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7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as of end of period</w:t>
            </w:r>
          </w:p>
        </w:tc>
        <w:tc>
          <w:tcPr>
            <w:tcW w:w="1300" w:type="dxa"/>
            <w:vAlign w:val="bottom"/>
            <w:tcBorders>
              <w:bottom w:val="single" w:sz="8" w:color="E4E4E4"/>
            </w:tcBorders>
            <w:shd w:val="clear" w:color="auto" w:fill="E4E4E4"/>
          </w:tcPr>
          <w:p>
            <w:pPr>
              <w:jc w:val="right"/>
              <w:ind w:right="109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178</w:t>
            </w:r>
          </w:p>
        </w:tc>
        <w:tc>
          <w:tcPr>
            <w:tcW w:w="44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160</w:t>
            </w:r>
          </w:p>
        </w:tc>
      </w:tr>
      <w:tr>
        <w:trPr>
          <w:trHeight w:val="20"/>
        </w:trPr>
        <w:tc>
          <w:tcPr>
            <w:tcW w:w="74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MATTERS.</w:t>
      </w:r>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the normal course of our business, we are involved from time to time in various arbitrations; class actions; commercial, intellectual property, and product liability litigation; government investigations; investigations by competition/antitrust authorities; and other legal, regulatory, or governmental actions, including the significant matter described below that could have a material impact on our results of operations and cash flows. In many proceedings, including the specific matter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such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Contracts with Iraqi Ministry of Health</w:t>
      </w:r>
    </w:p>
    <w:p>
      <w:pPr>
        <w:spacing w:after="0" w:line="29"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In 2017, a number of U.S. Service members, civilians, and their families brought a complaint in the U.S. District Court for the District of Columbia (the “District Court”) against a number of pharmaceutical and medical device companies, including GE HealthCare and certain affiliates, alleging that the defendants violated the U.S. Anti-Terrorism Act. The complaint seeks monetary relief and alleges that the defendants provided funding for an Iraqi terrorist organization through their sales practices pursuant to pharmaceutical and medical device contracts with the Iraqi Ministry of Health. The District Court dismissed the complaint in 2020, but that decision was subsequently reversed on appeal and the case was remanded for further proceedings. In August 2026, the defendants sought further review by the U.S. Supreme Court, and the parties are currently engaged in discovery. In September 2026, a similar group of plaintiffs filed a complaint in the District Court against many of the same defendants including GE HealthCare and certain affiliates asserting substantially similar allegations and seeking monetary relief. The defendants are currently reviewing the complaint.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INDEMNITIES.</w:t>
      </w:r>
    </w:p>
    <w:p>
      <w:pPr>
        <w:spacing w:after="0" w:line="248"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In connection with the Tax Matters Agreement with GE as described in Note 19, “Related Parties and Transition Services Agreement” in our Annual Report on Form 10-K for the fiscal year ended December 31, 2025, we were informed by GE that the Internal Revenue Service (“IRS”) may assert a material amount of additional taxes and penalties related to an ongoing audit of the GE consolidated U.S. income tax returns, in which we are included, for the years 2016-2020. Any tax obligations would be allocated among the Company and GE, in accordance with the Tax Matters Agreement. A final resolution of this matter could be time-consuming and is not likely within the next 12 months. An unfavorable resolution of this matter and related allocation of additional tax liability and associated penalties, which is not reasonably estimable at this time, could result in additional material indemnification obligations due to GE for which we have not accrued a liability.</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TARIFF REFUND CLAIMS.</w:t>
      </w:r>
    </w:p>
    <w:p>
      <w:pPr>
        <w:spacing w:after="0" w:line="262"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In February 2026, the U.S. Supreme Court ruled that the International Emergency Economic Powers Act (“IEEPA”) does not authorize the President to impose tariffs thereunder. In April 2026, U.S. Customs and Border Protection announced a new administrative process for importers to obtain refunds of certain tariffs imposed under IEEPA.</w:t>
      </w:r>
    </w:p>
    <w:p>
      <w:pPr>
        <w:spacing w:after="0" w:line="21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Company has submitted eligible IEEPA refund claims and recognizes income when management concludes that recovery of previously recognized tariff costs is probable and the amount of the recovery can be reasonably estimated. In the three and nine months ended September 30, 2026, the Company received refunds of $55 million and $162 million, respectively, and recognized pre-tax benefits from tariff refunds of $9 million and $115 million, respectively, related to tariffs incurred in 2025 and $4 million and $27 million, respectively, related to tariffs incurred in 2026, all of which are recognized within Cost of products sold and Cost of services sold in the Condensed Consolidated Statements of Income.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RESTRUCTURING ACTIVITIES</w:t>
      </w:r>
    </w:p>
    <w:p>
      <w:pPr>
        <w:spacing w:after="0" w:line="25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Restructuring activities are essential to optimize the business operating model for GE HealthCare and mostly involve workforce reductions, organizational realignments, and revisions to our real estate footprint. Specifically, restructuring charges (gains) primarily include employee-related termination benefits associated with workforce reductions, facility exit costs, asset write-downs, and cease-use costs. Net expenses for restructuring are excluded from Segment EBIT.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Net expenses for restructuring initiatives committed to by management through September 30, 2026 are included in the table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60" w:type="dxa"/>
            <w:vAlign w:val="bottom"/>
          </w:tcPr>
          <w:p>
            <w:pPr>
              <w:spacing w:after="0"/>
              <w:rPr>
                <w:sz w:val="19"/>
                <w:szCs w:val="19"/>
                <w:color w:val="auto"/>
              </w:rPr>
            </w:pPr>
          </w:p>
        </w:tc>
        <w:tc>
          <w:tcPr>
            <w:tcW w:w="3620" w:type="dxa"/>
            <w:vAlign w:val="bottom"/>
            <w:gridSpan w:val="5"/>
          </w:tcPr>
          <w:p>
            <w:pPr>
              <w:ind w:left="160"/>
              <w:spacing w:after="0"/>
              <w:rPr>
                <w:sz w:val="20"/>
                <w:szCs w:val="20"/>
                <w:color w:val="auto"/>
              </w:rPr>
            </w:pPr>
            <w:r>
              <w:rPr>
                <w:rFonts w:ascii="Arial" w:cs="Arial" w:eastAsia="Arial" w:hAnsi="Arial"/>
                <w:sz w:val="16"/>
                <w:szCs w:val="16"/>
                <w:b w:val="1"/>
                <w:bCs w:val="1"/>
                <w:color w:val="454545"/>
              </w:rPr>
              <w:t>For the three months ended September 30</w:t>
            </w:r>
          </w:p>
        </w:tc>
        <w:tc>
          <w:tcPr>
            <w:tcW w:w="200" w:type="dxa"/>
            <w:vAlign w:val="bottom"/>
          </w:tcPr>
          <w:p>
            <w:pPr>
              <w:spacing w:after="0"/>
              <w:rPr>
                <w:sz w:val="19"/>
                <w:szCs w:val="19"/>
                <w:color w:val="auto"/>
              </w:rPr>
            </w:pPr>
          </w:p>
        </w:tc>
        <w:tc>
          <w:tcPr>
            <w:tcW w:w="356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3860" w:type="dxa"/>
            <w:vAlign w:val="bottom"/>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66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1440" w:type="dxa"/>
            <w:vAlign w:val="bottom"/>
            <w:tcBorders>
              <w:bottom w:val="single" w:sz="8" w:color="454545"/>
            </w:tcBorders>
          </w:tcPr>
          <w:p>
            <w:pPr>
              <w:spacing w:after="0" w:line="20" w:lineRule="exact"/>
              <w:rPr>
                <w:sz w:val="1"/>
                <w:szCs w:val="1"/>
                <w:color w:val="auto"/>
              </w:rPr>
            </w:pPr>
          </w:p>
        </w:tc>
      </w:tr>
      <w:tr>
        <w:trPr>
          <w:trHeight w:val="229"/>
        </w:trPr>
        <w:tc>
          <w:tcPr>
            <w:tcW w:w="3860" w:type="dxa"/>
            <w:vAlign w:val="bottom"/>
          </w:tcPr>
          <w:p>
            <w:pPr>
              <w:spacing w:after="0"/>
              <w:rPr>
                <w:sz w:val="19"/>
                <w:szCs w:val="19"/>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454545"/>
              </w:rPr>
              <w:t>2026</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454545"/>
              </w:rPr>
              <w:t>2025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ind w:right="659"/>
              <w:spacing w:after="0"/>
              <w:rPr>
                <w:sz w:val="20"/>
                <w:szCs w:val="20"/>
                <w:color w:val="auto"/>
              </w:rPr>
            </w:pPr>
            <w:r>
              <w:rPr>
                <w:rFonts w:ascii="Arial" w:cs="Arial" w:eastAsia="Arial" w:hAnsi="Arial"/>
                <w:sz w:val="16"/>
                <w:szCs w:val="16"/>
                <w:b w:val="1"/>
                <w:bCs w:val="1"/>
                <w:color w:val="454545"/>
              </w:rPr>
              <w:t>2026</w:t>
            </w:r>
          </w:p>
        </w:tc>
        <w:tc>
          <w:tcPr>
            <w:tcW w:w="460" w:type="dxa"/>
            <w:vAlign w:val="bottom"/>
          </w:tcPr>
          <w:p>
            <w:pPr>
              <w:spacing w:after="0"/>
              <w:rPr>
                <w:sz w:val="19"/>
                <w:szCs w:val="19"/>
                <w:color w:val="auto"/>
              </w:rPr>
            </w:pPr>
          </w:p>
        </w:tc>
        <w:tc>
          <w:tcPr>
            <w:tcW w:w="1440" w:type="dxa"/>
            <w:vAlign w:val="bottom"/>
          </w:tcPr>
          <w:p>
            <w:pPr>
              <w:jc w:val="right"/>
              <w:ind w:right="679"/>
              <w:spacing w:after="0"/>
              <w:rPr>
                <w:sz w:val="20"/>
                <w:szCs w:val="20"/>
                <w:color w:val="auto"/>
              </w:rPr>
            </w:pPr>
            <w:r>
              <w:rPr>
                <w:rFonts w:ascii="Arial" w:cs="Arial" w:eastAsia="Arial" w:hAnsi="Arial"/>
                <w:sz w:val="16"/>
                <w:szCs w:val="16"/>
                <w:b w:val="1"/>
                <w:bCs w:val="1"/>
                <w:color w:val="454545"/>
              </w:rPr>
              <w:t>2025</w:t>
            </w:r>
          </w:p>
        </w:tc>
      </w:tr>
      <w:tr>
        <w:trPr>
          <w:trHeight w:val="21"/>
        </w:trPr>
        <w:tc>
          <w:tcPr>
            <w:tcW w:w="386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66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r>
      <w:tr>
        <w:trPr>
          <w:trHeight w:val="230"/>
        </w:trPr>
        <w:tc>
          <w:tcPr>
            <w:tcW w:w="3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Employee termination costs</w:t>
            </w:r>
          </w:p>
        </w:tc>
        <w:tc>
          <w:tcPr>
            <w:tcW w:w="1300" w:type="dxa"/>
            <w:vAlign w:val="bottom"/>
            <w:tcBorders>
              <w:bottom w:val="single" w:sz="8" w:color="E4E4E4"/>
            </w:tcBorders>
            <w:shd w:val="clear" w:color="auto" w:fill="E4E4E4"/>
          </w:tcPr>
          <w:p>
            <w:pPr>
              <w:jc w:val="right"/>
              <w:ind w:right="10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w:t>
            </w:r>
          </w:p>
        </w:tc>
        <w:tc>
          <w:tcPr>
            <w:tcW w:w="46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w:t>
            </w:r>
          </w:p>
        </w:tc>
      </w:tr>
      <w:tr>
        <w:trPr>
          <w:trHeight w:val="228"/>
        </w:trPr>
        <w:tc>
          <w:tcPr>
            <w:tcW w:w="3860" w:type="dxa"/>
            <w:vAlign w:val="bottom"/>
          </w:tcPr>
          <w:p>
            <w:pPr>
              <w:ind w:left="20"/>
              <w:spacing w:after="0"/>
              <w:rPr>
                <w:sz w:val="20"/>
                <w:szCs w:val="20"/>
                <w:color w:val="auto"/>
              </w:rPr>
            </w:pPr>
            <w:r>
              <w:rPr>
                <w:rFonts w:ascii="Arial" w:cs="Arial" w:eastAsia="Arial" w:hAnsi="Arial"/>
                <w:sz w:val="16"/>
                <w:szCs w:val="16"/>
                <w:color w:val="auto"/>
              </w:rPr>
              <w:t>Facility and other exit costs</w:t>
            </w:r>
          </w:p>
        </w:tc>
        <w:tc>
          <w:tcPr>
            <w:tcW w:w="1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
        </w:trPr>
        <w:tc>
          <w:tcPr>
            <w:tcW w:w="3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2"/>
        </w:trPr>
        <w:tc>
          <w:tcPr>
            <w:tcW w:w="3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Asset write-downs</w:t>
            </w:r>
          </w:p>
        </w:tc>
        <w:tc>
          <w:tcPr>
            <w:tcW w:w="1300" w:type="dxa"/>
            <w:vAlign w:val="bottom"/>
            <w:tcBorders>
              <w:bottom w:val="single" w:sz="8" w:color="E4E4E4"/>
            </w:tcBorders>
            <w:shd w:val="clear" w:color="auto" w:fill="E4E4E4"/>
          </w:tcPr>
          <w:p>
            <w:pPr>
              <w:spacing w:after="0"/>
              <w:rPr>
                <w:sz w:val="22"/>
                <w:szCs w:val="22"/>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4E4E4"/>
            </w:tcBorders>
            <w:shd w:val="clear" w:color="auto" w:fill="E4E4E4"/>
          </w:tcPr>
          <w:p>
            <w:pPr>
              <w:spacing w:after="0"/>
              <w:rPr>
                <w:sz w:val="22"/>
                <w:szCs w:val="22"/>
                <w:color w:val="auto"/>
              </w:rPr>
            </w:pPr>
          </w:p>
        </w:tc>
        <w:tc>
          <w:tcPr>
            <w:tcW w:w="142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2"/>
                <w:szCs w:val="22"/>
                <w:color w:val="auto"/>
              </w:rPr>
            </w:pP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460" w:type="dxa"/>
            <w:vAlign w:val="bottom"/>
            <w:tcBorders>
              <w:bottom w:val="single" w:sz="8" w:color="E4E4E4"/>
            </w:tcBorders>
            <w:shd w:val="clear" w:color="auto" w:fill="E4E4E4"/>
          </w:tcPr>
          <w:p>
            <w:pPr>
              <w:spacing w:after="0"/>
              <w:rPr>
                <w:sz w:val="22"/>
                <w:szCs w:val="22"/>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3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restructuring activities – net</w:t>
            </w:r>
          </w:p>
        </w:tc>
        <w:tc>
          <w:tcPr>
            <w:tcW w:w="1300" w:type="dxa"/>
            <w:vAlign w:val="bottom"/>
            <w:tcBorders>
              <w:top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4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92</w:t>
            </w:r>
          </w:p>
        </w:tc>
        <w:tc>
          <w:tcPr>
            <w:tcW w:w="4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w:t>
            </w:r>
          </w:p>
        </w:tc>
      </w:tr>
      <w:tr>
        <w:trPr>
          <w:trHeight w:val="21"/>
        </w:trPr>
        <w:tc>
          <w:tcPr>
            <w:tcW w:w="3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These restructuring initiatives are expected to result in additional expenses of approximately $21 million, to be incurred primarily over the next 12 months, substantially related to employee-related termination benefits and asset write-downs. Restructuring expenses (gains) are recognized within Cost of products, Cost of services, or SG&amp;A, as appropriate, in the Condensed Consolidated Statements of Income.</w:t>
      </w:r>
    </w:p>
    <w:p>
      <w:pPr>
        <w:spacing w:after="0" w:line="212" w:lineRule="exact"/>
        <w:rPr>
          <w:sz w:val="20"/>
          <w:szCs w:val="20"/>
          <w:color w:val="auto"/>
        </w:rPr>
      </w:pPr>
    </w:p>
    <w:p>
      <w:pPr>
        <w:jc w:val="both"/>
        <w:ind w:right="560"/>
        <w:spacing w:after="0" w:line="275" w:lineRule="auto"/>
        <w:rPr>
          <w:sz w:val="20"/>
          <w:szCs w:val="20"/>
          <w:color w:val="auto"/>
        </w:rPr>
      </w:pPr>
      <w:r>
        <w:rPr>
          <w:rFonts w:ascii="Arial" w:cs="Arial" w:eastAsia="Arial" w:hAnsi="Arial"/>
          <w:sz w:val="16"/>
          <w:szCs w:val="16"/>
          <w:color w:val="auto"/>
        </w:rPr>
        <w:t>Liabilities related to restructuring are recognized within Current compensation and benefits, All other current liabilities, Non-current compensation and benefits, and All other non-current liabilities in the Condensed Consolidated Statements of Financial Position. The activity related to our restructuring liabilities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20" w:type="dxa"/>
            <w:vAlign w:val="bottom"/>
          </w:tcPr>
          <w:p>
            <w:pPr>
              <w:jc w:val="center"/>
              <w:ind w:right="179"/>
              <w:spacing w:after="0"/>
              <w:rPr>
                <w:sz w:val="20"/>
                <w:szCs w:val="20"/>
                <w:color w:val="auto"/>
              </w:rPr>
            </w:pPr>
            <w:r>
              <w:rPr>
                <w:rFonts w:ascii="Arial" w:cs="Arial" w:eastAsia="Arial" w:hAnsi="Arial"/>
                <w:sz w:val="16"/>
                <w:szCs w:val="16"/>
                <w:b w:val="1"/>
                <w:bCs w:val="1"/>
                <w:color w:val="454545"/>
              </w:rPr>
              <w:t>Employee</w:t>
            </w:r>
          </w:p>
        </w:tc>
        <w:tc>
          <w:tcPr>
            <w:tcW w:w="15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Facility and other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3"/>
        </w:trPr>
        <w:tc>
          <w:tcPr>
            <w:tcW w:w="4580" w:type="dxa"/>
            <w:vAlign w:val="bottom"/>
          </w:tcPr>
          <w:p>
            <w:pPr>
              <w:spacing w:after="0"/>
              <w:rPr>
                <w:sz w:val="19"/>
                <w:szCs w:val="19"/>
                <w:color w:val="auto"/>
              </w:rPr>
            </w:pPr>
          </w:p>
        </w:tc>
        <w:tc>
          <w:tcPr>
            <w:tcW w:w="3500" w:type="dxa"/>
            <w:vAlign w:val="bottom"/>
            <w:gridSpan w:val="2"/>
          </w:tcPr>
          <w:p>
            <w:pPr>
              <w:jc w:val="center"/>
              <w:ind w:left="1839"/>
              <w:spacing w:after="0"/>
              <w:rPr>
                <w:sz w:val="20"/>
                <w:szCs w:val="20"/>
                <w:color w:val="auto"/>
              </w:rPr>
            </w:pPr>
            <w:r>
              <w:rPr>
                <w:rFonts w:ascii="Arial" w:cs="Arial" w:eastAsia="Arial" w:hAnsi="Arial"/>
                <w:sz w:val="16"/>
                <w:szCs w:val="16"/>
                <w:b w:val="1"/>
                <w:bCs w:val="1"/>
                <w:color w:val="454545"/>
              </w:rPr>
              <w:t>termination costs</w:t>
            </w:r>
          </w:p>
        </w:tc>
        <w:tc>
          <w:tcPr>
            <w:tcW w:w="260" w:type="dxa"/>
            <w:vAlign w:val="bottom"/>
          </w:tcPr>
          <w:p>
            <w:pPr>
              <w:spacing w:after="0"/>
              <w:rPr>
                <w:sz w:val="19"/>
                <w:szCs w:val="19"/>
                <w:color w:val="auto"/>
              </w:rPr>
            </w:pPr>
          </w:p>
        </w:tc>
        <w:tc>
          <w:tcPr>
            <w:tcW w:w="1320" w:type="dxa"/>
            <w:vAlign w:val="bottom"/>
          </w:tcPr>
          <w:p>
            <w:pPr>
              <w:jc w:val="right"/>
              <w:ind w:right="339"/>
              <w:spacing w:after="0"/>
              <w:rPr>
                <w:sz w:val="20"/>
                <w:szCs w:val="20"/>
                <w:color w:val="auto"/>
              </w:rPr>
            </w:pPr>
            <w:r>
              <w:rPr>
                <w:rFonts w:ascii="Arial" w:cs="Arial" w:eastAsia="Arial" w:hAnsi="Arial"/>
                <w:sz w:val="16"/>
                <w:szCs w:val="16"/>
                <w:b w:val="1"/>
                <w:bCs w:val="1"/>
                <w:color w:val="454545"/>
              </w:rPr>
              <w:t>exit costs</w:t>
            </w:r>
          </w:p>
        </w:tc>
        <w:tc>
          <w:tcPr>
            <w:tcW w:w="360" w:type="dxa"/>
            <w:vAlign w:val="bottom"/>
          </w:tcPr>
          <w:p>
            <w:pPr>
              <w:spacing w:after="0"/>
              <w:rPr>
                <w:sz w:val="19"/>
                <w:szCs w:val="19"/>
                <w:color w:val="auto"/>
              </w:rPr>
            </w:pPr>
          </w:p>
        </w:tc>
        <w:tc>
          <w:tcPr>
            <w:tcW w:w="1220" w:type="dxa"/>
            <w:vAlign w:val="bottom"/>
          </w:tcPr>
          <w:p>
            <w:pPr>
              <w:ind w:left="240"/>
              <w:spacing w:after="0"/>
              <w:rPr>
                <w:sz w:val="20"/>
                <w:szCs w:val="20"/>
                <w:color w:val="auto"/>
              </w:rPr>
            </w:pPr>
            <w:r>
              <w:rPr>
                <w:rFonts w:ascii="Arial" w:cs="Arial" w:eastAsia="Arial" w:hAnsi="Arial"/>
                <w:sz w:val="16"/>
                <w:szCs w:val="16"/>
                <w:b w:val="1"/>
                <w:bCs w:val="1"/>
                <w:color w:val="454545"/>
              </w:rPr>
              <w:t>Total</w:t>
            </w:r>
          </w:p>
        </w:tc>
      </w:tr>
      <w:tr>
        <w:trPr>
          <w:trHeight w:val="21"/>
        </w:trPr>
        <w:tc>
          <w:tcPr>
            <w:tcW w:w="4580" w:type="dxa"/>
            <w:vAlign w:val="bottom"/>
            <w:tcBorders>
              <w:bottom w:val="single" w:sz="8" w:color="6022A6"/>
            </w:tcBorders>
          </w:tcPr>
          <w:p>
            <w:pPr>
              <w:spacing w:after="0" w:line="20" w:lineRule="exact"/>
              <w:rPr>
                <w:sz w:val="1"/>
                <w:szCs w:val="1"/>
                <w:color w:val="auto"/>
              </w:rPr>
            </w:pPr>
          </w:p>
        </w:tc>
        <w:tc>
          <w:tcPr>
            <w:tcW w:w="218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r>
      <w:tr>
        <w:trPr>
          <w:trHeight w:val="230"/>
        </w:trPr>
        <w:tc>
          <w:tcPr>
            <w:tcW w:w="4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as of December 31, 2025</w:t>
            </w:r>
          </w:p>
        </w:tc>
        <w:tc>
          <w:tcPr>
            <w:tcW w:w="21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E4E4E4"/>
            </w:tcBorders>
            <w:shd w:val="clear" w:color="auto" w:fill="E4E4E4"/>
          </w:tcPr>
          <w:p>
            <w:pPr>
              <w:jc w:val="center"/>
              <w:ind w:left="899"/>
              <w:spacing w:after="0"/>
              <w:rPr>
                <w:sz w:val="20"/>
                <w:szCs w:val="20"/>
                <w:color w:val="auto"/>
              </w:rPr>
            </w:pPr>
            <w:r>
              <w:rPr>
                <w:rFonts w:ascii="Arial" w:cs="Arial" w:eastAsia="Arial" w:hAnsi="Arial"/>
                <w:sz w:val="16"/>
                <w:szCs w:val="16"/>
                <w:b w:val="1"/>
                <w:bCs w:val="1"/>
                <w:color w:val="auto"/>
              </w:rPr>
              <w:t>82</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E4E4E4"/>
            </w:tcBorders>
            <w:shd w:val="clear" w:color="auto" w:fill="E4E4E4"/>
          </w:tcPr>
          <w:p>
            <w:pPr>
              <w:jc w:val="center"/>
              <w:ind w:left="799"/>
              <w:spacing w:after="0"/>
              <w:rPr>
                <w:sz w:val="20"/>
                <w:szCs w:val="20"/>
                <w:color w:val="auto"/>
              </w:rPr>
            </w:pPr>
            <w:r>
              <w:rPr>
                <w:rFonts w:ascii="Arial" w:cs="Arial" w:eastAsia="Arial" w:hAnsi="Arial"/>
                <w:sz w:val="16"/>
                <w:szCs w:val="16"/>
                <w:b w:val="1"/>
                <w:bCs w:val="1"/>
                <w:color w:val="auto"/>
              </w:rPr>
              <w:t>92</w:t>
            </w:r>
          </w:p>
        </w:tc>
      </w:tr>
      <w:tr>
        <w:trPr>
          <w:trHeight w:val="228"/>
        </w:trPr>
        <w:tc>
          <w:tcPr>
            <w:tcW w:w="4580" w:type="dxa"/>
            <w:vAlign w:val="bottom"/>
          </w:tcPr>
          <w:p>
            <w:pPr>
              <w:ind w:left="20"/>
              <w:spacing w:after="0"/>
              <w:rPr>
                <w:sz w:val="20"/>
                <w:szCs w:val="20"/>
                <w:color w:val="auto"/>
              </w:rPr>
            </w:pPr>
            <w:r>
              <w:rPr>
                <w:rFonts w:ascii="Arial" w:cs="Arial" w:eastAsia="Arial" w:hAnsi="Arial"/>
                <w:sz w:val="16"/>
                <w:szCs w:val="16"/>
                <w:color w:val="auto"/>
              </w:rPr>
              <w:t>Charges and reserve adjustments</w:t>
            </w:r>
          </w:p>
        </w:tc>
        <w:tc>
          <w:tcPr>
            <w:tcW w:w="2180" w:type="dxa"/>
            <w:vAlign w:val="bottom"/>
          </w:tcPr>
          <w:p>
            <w:pPr>
              <w:spacing w:after="0"/>
              <w:rPr>
                <w:sz w:val="19"/>
                <w:szCs w:val="19"/>
                <w:color w:val="auto"/>
              </w:rPr>
            </w:pPr>
          </w:p>
        </w:tc>
        <w:tc>
          <w:tcPr>
            <w:tcW w:w="1320" w:type="dxa"/>
            <w:vAlign w:val="bottom"/>
          </w:tcPr>
          <w:p>
            <w:pPr>
              <w:jc w:val="center"/>
              <w:ind w:left="899"/>
              <w:spacing w:after="0"/>
              <w:rPr>
                <w:sz w:val="20"/>
                <w:szCs w:val="20"/>
                <w:color w:val="auto"/>
              </w:rPr>
            </w:pPr>
            <w:r>
              <w:rPr>
                <w:rFonts w:ascii="Arial" w:cs="Arial" w:eastAsia="Arial" w:hAnsi="Arial"/>
                <w:sz w:val="16"/>
                <w:szCs w:val="16"/>
                <w:color w:val="auto"/>
              </w:rPr>
              <w:t>83</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20" w:type="dxa"/>
            <w:vAlign w:val="bottom"/>
          </w:tcPr>
          <w:p>
            <w:pPr>
              <w:jc w:val="center"/>
              <w:ind w:left="799"/>
              <w:spacing w:after="0"/>
              <w:rPr>
                <w:sz w:val="20"/>
                <w:szCs w:val="20"/>
                <w:color w:val="auto"/>
              </w:rPr>
            </w:pPr>
            <w:r>
              <w:rPr>
                <w:rFonts w:ascii="Arial" w:cs="Arial" w:eastAsia="Arial" w:hAnsi="Arial"/>
                <w:sz w:val="16"/>
                <w:szCs w:val="16"/>
                <w:color w:val="auto"/>
              </w:rPr>
              <w:t>83</w:t>
            </w:r>
          </w:p>
        </w:tc>
      </w:tr>
      <w:tr>
        <w:trPr>
          <w:trHeight w:val="29"/>
        </w:trPr>
        <w:tc>
          <w:tcPr>
            <w:tcW w:w="45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1"/>
        </w:trPr>
        <w:tc>
          <w:tcPr>
            <w:tcW w:w="4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Payments and other adjustments</w:t>
            </w:r>
          </w:p>
        </w:tc>
        <w:tc>
          <w:tcPr>
            <w:tcW w:w="218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center"/>
              <w:ind w:left="899"/>
              <w:spacing w:after="0"/>
              <w:rPr>
                <w:sz w:val="20"/>
                <w:szCs w:val="20"/>
                <w:color w:val="auto"/>
              </w:rPr>
            </w:pPr>
            <w:r>
              <w:rPr>
                <w:rFonts w:ascii="Arial" w:cs="Arial" w:eastAsia="Arial" w:hAnsi="Arial"/>
                <w:sz w:val="16"/>
                <w:szCs w:val="16"/>
                <w:color w:val="auto"/>
              </w:rPr>
              <w:t>(70)</w:t>
            </w:r>
          </w:p>
        </w:tc>
        <w:tc>
          <w:tcPr>
            <w:tcW w:w="26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3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center"/>
              <w:ind w:left="799"/>
              <w:spacing w:after="0"/>
              <w:rPr>
                <w:sz w:val="20"/>
                <w:szCs w:val="20"/>
                <w:color w:val="auto"/>
              </w:rPr>
            </w:pPr>
            <w:r>
              <w:rPr>
                <w:rFonts w:ascii="Arial" w:cs="Arial" w:eastAsia="Arial" w:hAnsi="Arial"/>
                <w:sz w:val="16"/>
                <w:szCs w:val="16"/>
                <w:color w:val="auto"/>
              </w:rPr>
              <w:t>(76)</w:t>
            </w:r>
          </w:p>
        </w:tc>
      </w:tr>
      <w:tr>
        <w:trPr>
          <w:trHeight w:val="229"/>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September 30, 2026</w:t>
            </w:r>
          </w:p>
        </w:tc>
        <w:tc>
          <w:tcPr>
            <w:tcW w:w="2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tcPr>
          <w:p>
            <w:pPr>
              <w:jc w:val="center"/>
              <w:ind w:left="899"/>
              <w:spacing w:after="0"/>
              <w:rPr>
                <w:sz w:val="20"/>
                <w:szCs w:val="20"/>
                <w:color w:val="auto"/>
              </w:rPr>
            </w:pPr>
            <w:r>
              <w:rPr>
                <w:rFonts w:ascii="Arial" w:cs="Arial" w:eastAsia="Arial" w:hAnsi="Arial"/>
                <w:sz w:val="16"/>
                <w:szCs w:val="16"/>
                <w:b w:val="1"/>
                <w:bCs w:val="1"/>
                <w:color w:val="auto"/>
              </w:rPr>
              <w:t>95</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center"/>
              <w:ind w:left="799"/>
              <w:spacing w:after="0"/>
              <w:rPr>
                <w:sz w:val="20"/>
                <w:szCs w:val="20"/>
                <w:color w:val="auto"/>
              </w:rPr>
            </w:pPr>
            <w:r>
              <w:rPr>
                <w:rFonts w:ascii="Arial" w:cs="Arial" w:eastAsia="Arial" w:hAnsi="Arial"/>
                <w:sz w:val="16"/>
                <w:szCs w:val="16"/>
                <w:b w:val="1"/>
                <w:bCs w:val="1"/>
                <w:color w:val="auto"/>
              </w:rPr>
              <w:t>99</w:t>
            </w: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57"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numerator for both basic and diluted earnings per share (“EPS”) is Net income attributable to GE HealthCare. The denominator of basic EPS is the weighted-average number of shares outstanding during the period. The dilutive effect of outstanding stock options, restricted stock units, and performance share units is reflected in the denominator for diluted EPS using the treasury stock method.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454545"/>
              </w:rPr>
              <w:t>For the three months ended</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454545"/>
              </w:rPr>
              <w:t>For the nine months ended</w:t>
            </w:r>
          </w:p>
        </w:tc>
        <w:tc>
          <w:tcPr>
            <w:tcW w:w="0" w:type="dxa"/>
            <w:vAlign w:val="bottom"/>
          </w:tcPr>
          <w:p>
            <w:pPr>
              <w:spacing w:after="0"/>
              <w:rPr>
                <w:sz w:val="1"/>
                <w:szCs w:val="1"/>
                <w:color w:val="auto"/>
              </w:rPr>
            </w:pPr>
          </w:p>
        </w:tc>
      </w:tr>
      <w:tr>
        <w:trPr>
          <w:trHeight w:val="250"/>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6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September 30</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September 30</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3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26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3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2026</w:t>
            </w:r>
          </w:p>
        </w:tc>
        <w:tc>
          <w:tcPr>
            <w:tcW w:w="540" w:type="dxa"/>
            <w:vAlign w:val="bottom"/>
          </w:tcPr>
          <w:p>
            <w:pPr>
              <w:spacing w:after="0"/>
              <w:rPr>
                <w:sz w:val="19"/>
                <w:szCs w:val="19"/>
                <w:color w:val="auto"/>
              </w:rPr>
            </w:pPr>
          </w:p>
        </w:tc>
        <w:tc>
          <w:tcPr>
            <w:tcW w:w="920" w:type="dxa"/>
            <w:vAlign w:val="bottom"/>
          </w:tcPr>
          <w:p>
            <w:pPr>
              <w:jc w:val="right"/>
              <w:ind w:right="479"/>
              <w:spacing w:after="0"/>
              <w:rPr>
                <w:sz w:val="20"/>
                <w:szCs w:val="20"/>
                <w:color w:val="auto"/>
              </w:rPr>
            </w:pPr>
            <w:r>
              <w:rPr>
                <w:rFonts w:ascii="Arial" w:cs="Arial" w:eastAsia="Arial" w:hAnsi="Arial"/>
                <w:sz w:val="16"/>
                <w:szCs w:val="16"/>
                <w:b w:val="1"/>
                <w:bCs w:val="1"/>
                <w:color w:val="454545"/>
                <w:w w:val="95"/>
              </w:rPr>
              <w:t>2025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2026</w:t>
            </w:r>
          </w:p>
        </w:tc>
        <w:tc>
          <w:tcPr>
            <w:tcW w:w="540" w:type="dxa"/>
            <w:vAlign w:val="bottom"/>
          </w:tcPr>
          <w:p>
            <w:pPr>
              <w:spacing w:after="0"/>
              <w:rPr>
                <w:sz w:val="19"/>
                <w:szCs w:val="19"/>
                <w:color w:val="auto"/>
              </w:rPr>
            </w:pPr>
          </w:p>
        </w:tc>
        <w:tc>
          <w:tcPr>
            <w:tcW w:w="920" w:type="dxa"/>
            <w:vAlign w:val="bottom"/>
          </w:tcPr>
          <w:p>
            <w:pPr>
              <w:jc w:val="right"/>
              <w:ind w:right="479"/>
              <w:spacing w:after="0"/>
              <w:rPr>
                <w:sz w:val="20"/>
                <w:szCs w:val="20"/>
                <w:color w:val="auto"/>
              </w:rPr>
            </w:pPr>
            <w:r>
              <w:rPr>
                <w:rFonts w:ascii="Arial" w:cs="Arial" w:eastAsia="Arial" w:hAnsi="Arial"/>
                <w:sz w:val="16"/>
                <w:szCs w:val="16"/>
                <w:b w:val="1"/>
                <w:bCs w:val="1"/>
                <w:color w:val="454545"/>
                <w:w w:val="95"/>
              </w:rPr>
              <w:t>2025</w:t>
            </w:r>
          </w:p>
        </w:tc>
        <w:tc>
          <w:tcPr>
            <w:tcW w:w="0" w:type="dxa"/>
            <w:vAlign w:val="bottom"/>
          </w:tcPr>
          <w:p>
            <w:pPr>
              <w:spacing w:after="0"/>
              <w:rPr>
                <w:sz w:val="1"/>
                <w:szCs w:val="1"/>
                <w:color w:val="auto"/>
              </w:rPr>
            </w:pPr>
          </w:p>
        </w:tc>
      </w:tr>
      <w:tr>
        <w:trPr>
          <w:trHeight w:val="21"/>
        </w:trPr>
        <w:tc>
          <w:tcPr>
            <w:tcW w:w="530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26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623</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464</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1,608</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1,552</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6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5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auto"/>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c>
          <w:tcPr>
            <w:tcW w:w="5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21"/>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attributable to GE HealthCare</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1,564</w:t>
            </w:r>
          </w:p>
        </w:tc>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1,495</w:t>
            </w:r>
          </w:p>
        </w:tc>
        <w:tc>
          <w:tcPr>
            <w:tcW w:w="0" w:type="dxa"/>
            <w:vAlign w:val="bottom"/>
          </w:tcPr>
          <w:p>
            <w:pPr>
              <w:spacing w:after="0"/>
              <w:rPr>
                <w:sz w:val="1"/>
                <w:szCs w:val="1"/>
                <w:color w:val="auto"/>
              </w:rPr>
            </w:pPr>
          </w:p>
        </w:tc>
      </w:tr>
      <w:tr>
        <w:trPr>
          <w:trHeight w:val="29"/>
        </w:trPr>
        <w:tc>
          <w:tcPr>
            <w:tcW w:w="5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26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Arial" w:cs="Arial" w:eastAsia="Arial" w:hAnsi="Arial"/>
                <w:sz w:val="16"/>
                <w:szCs w:val="16"/>
                <w:color w:val="auto"/>
              </w:rPr>
              <w:t>Basic weighted-average shares outstanding</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452</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454</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Dilutive effect of common stock equivalents</w:t>
            </w:r>
          </w:p>
        </w:tc>
        <w:tc>
          <w:tcPr>
            <w:tcW w:w="26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Diluted weighted-average shares outstanding</w:t>
            </w: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9"/>
        </w:trPr>
        <w:tc>
          <w:tcPr>
            <w:tcW w:w="5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Basic earnings per share</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1.36</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0.98</w:t>
            </w:r>
          </w:p>
        </w:tc>
        <w:tc>
          <w:tcPr>
            <w:tcW w:w="360" w:type="dxa"/>
            <w:vAlign w:val="bottom"/>
            <w:tcBorders>
              <w:bottom w:val="single" w:sz="8" w:color="E4E4E4"/>
            </w:tcBorders>
            <w:gridSpan w:val="2"/>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3.45</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9"/>
        </w:trPr>
        <w:tc>
          <w:tcPr>
            <w:tcW w:w="5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Antidilutive securities</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E4E4E4"/>
          </w:tcPr>
          <w:p>
            <w:pPr>
              <w:spacing w:after="0"/>
              <w:rPr>
                <w:sz w:val="21"/>
                <w:szCs w:val="21"/>
                <w:color w:val="auto"/>
              </w:rPr>
            </w:pPr>
          </w:p>
        </w:tc>
        <w:tc>
          <w:tcPr>
            <w:tcW w:w="1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540" w:type="dxa"/>
            <w:vAlign w:val="bottom"/>
            <w:tcBorders>
              <w:bottom w:val="single" w:sz="8" w:color="auto"/>
            </w:tcBorders>
            <w:shd w:val="clear" w:color="auto" w:fill="E4E4E4"/>
          </w:tcPr>
          <w:p>
            <w:pPr>
              <w:spacing w:after="0"/>
              <w:rPr>
                <w:sz w:val="21"/>
                <w:szCs w:val="21"/>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auto"/>
            </w:tcBorders>
            <w:shd w:val="clear" w:color="auto" w:fill="E4E4E4"/>
          </w:tcPr>
          <w:p>
            <w:pPr>
              <w:spacing w:after="0"/>
              <w:rPr>
                <w:sz w:val="21"/>
                <w:szCs w:val="21"/>
                <w:color w:val="auto"/>
              </w:rPr>
            </w:pPr>
          </w:p>
        </w:tc>
        <w:tc>
          <w:tcPr>
            <w:tcW w:w="280" w:type="dxa"/>
            <w:vAlign w:val="bottom"/>
            <w:tcBorders>
              <w:bottom w:val="single" w:sz="8" w:color="auto"/>
            </w:tcBorders>
            <w:shd w:val="clear" w:color="auto" w:fill="E4E4E4"/>
          </w:tcPr>
          <w:p>
            <w:pPr>
              <w:spacing w:after="0"/>
              <w:rPr>
                <w:sz w:val="21"/>
                <w:szCs w:val="21"/>
                <w:color w:val="auto"/>
              </w:rPr>
            </w:pPr>
          </w:p>
        </w:tc>
        <w:tc>
          <w:tcPr>
            <w:tcW w:w="12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540" w:type="dxa"/>
            <w:vAlign w:val="bottom"/>
            <w:tcBorders>
              <w:bottom w:val="single" w:sz="8" w:color="auto"/>
            </w:tcBorders>
            <w:shd w:val="clear" w:color="auto" w:fill="E4E4E4"/>
          </w:tcPr>
          <w:p>
            <w:pPr>
              <w:spacing w:after="0"/>
              <w:rPr>
                <w:sz w:val="21"/>
                <w:szCs w:val="21"/>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Diluted earnings per share excludes certain shares issuable under share-based compensation plans because the effect would have been antidilutive.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SUPPLEMENTAL FINANCIAL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43"/>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30"/>
        </w:trPr>
        <w:tc>
          <w:tcPr>
            <w:tcW w:w="7320" w:type="dxa"/>
            <w:vAlign w:val="bottom"/>
            <w:tcBorders>
              <w:bottom w:val="single" w:sz="8" w:color="6022A6"/>
            </w:tcBorders>
          </w:tcPr>
          <w:p>
            <w:pPr>
              <w:spacing w:after="0"/>
              <w:rPr>
                <w:sz w:val="20"/>
                <w:szCs w:val="20"/>
                <w:color w:val="auto"/>
              </w:rPr>
            </w:pPr>
          </w:p>
        </w:tc>
        <w:tc>
          <w:tcPr>
            <w:tcW w:w="180" w:type="dxa"/>
            <w:vAlign w:val="bottom"/>
            <w:tcBorders>
              <w:bottom w:val="single" w:sz="8" w:color="6022A6"/>
            </w:tcBorders>
          </w:tcPr>
          <w:p>
            <w:pPr>
              <w:spacing w:after="0"/>
              <w:rPr>
                <w:sz w:val="20"/>
                <w:szCs w:val="20"/>
                <w:color w:val="auto"/>
              </w:rPr>
            </w:pPr>
          </w:p>
        </w:tc>
        <w:tc>
          <w:tcPr>
            <w:tcW w:w="1780" w:type="dxa"/>
            <w:vAlign w:val="bottom"/>
            <w:tcBorders>
              <w:bottom w:val="single" w:sz="8" w:color="6022A6"/>
            </w:tcBorders>
          </w:tcPr>
          <w:p>
            <w:pPr>
              <w:jc w:val="right"/>
              <w:ind w:right="139"/>
              <w:spacing w:after="0"/>
              <w:rPr>
                <w:sz w:val="20"/>
                <w:szCs w:val="20"/>
                <w:color w:val="auto"/>
              </w:rPr>
            </w:pPr>
            <w:r>
              <w:rPr>
                <w:rFonts w:ascii="Arial" w:cs="Arial" w:eastAsia="Arial" w:hAnsi="Arial"/>
                <w:sz w:val="16"/>
                <w:szCs w:val="16"/>
                <w:b w:val="1"/>
                <w:bCs w:val="1"/>
                <w:color w:val="454545"/>
              </w:rPr>
              <w:t>September 30, 2026</w:t>
            </w:r>
          </w:p>
        </w:tc>
        <w:tc>
          <w:tcPr>
            <w:tcW w:w="220" w:type="dxa"/>
            <w:vAlign w:val="bottom"/>
            <w:tcBorders>
              <w:bottom w:val="single" w:sz="8" w:color="6022A6"/>
            </w:tcBorders>
          </w:tcPr>
          <w:p>
            <w:pPr>
              <w:spacing w:after="0"/>
              <w:rPr>
                <w:sz w:val="20"/>
                <w:szCs w:val="20"/>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r>
      <w:tr>
        <w:trPr>
          <w:trHeight w:val="257"/>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(1)</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2,826</w:t>
            </w:r>
          </w:p>
        </w:tc>
        <w:tc>
          <w:tcPr>
            <w:tcW w:w="2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4,492</w:t>
            </w:r>
          </w:p>
        </w:tc>
      </w:tr>
      <w:tr>
        <w:trPr>
          <w:trHeight w:val="227"/>
        </w:trPr>
        <w:tc>
          <w:tcPr>
            <w:tcW w:w="7320" w:type="dxa"/>
            <w:vAlign w:val="bottom"/>
          </w:tcPr>
          <w:p>
            <w:pPr>
              <w:ind w:left="20"/>
              <w:spacing w:after="0"/>
              <w:rPr>
                <w:sz w:val="20"/>
                <w:szCs w:val="20"/>
                <w:color w:val="auto"/>
              </w:rPr>
            </w:pPr>
            <w:r>
              <w:rPr>
                <w:rFonts w:ascii="Arial" w:cs="Arial" w:eastAsia="Arial" w:hAnsi="Arial"/>
                <w:sz w:val="16"/>
                <w:szCs w:val="16"/>
                <w:color w:val="auto"/>
              </w:rPr>
              <w:t>Short-term restricted cash</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9"/>
        </w:trPr>
        <w:tc>
          <w:tcPr>
            <w:tcW w:w="7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9"/>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in the Condensed</w:t>
            </w:r>
          </w:p>
        </w:tc>
        <w:tc>
          <w:tcPr>
            <w:tcW w:w="180" w:type="dxa"/>
            <w:vAlign w:val="bottom"/>
            <w:shd w:val="clear" w:color="auto" w:fill="E4E4E4"/>
          </w:tcPr>
          <w:p>
            <w:pPr>
              <w:spacing w:after="0"/>
              <w:rPr>
                <w:sz w:val="18"/>
                <w:szCs w:val="18"/>
                <w:color w:val="auto"/>
              </w:rPr>
            </w:pPr>
          </w:p>
        </w:tc>
        <w:tc>
          <w:tcPr>
            <w:tcW w:w="178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24"/>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Consolidated Statements of Financial Position</w:t>
            </w:r>
          </w:p>
        </w:tc>
        <w:tc>
          <w:tcPr>
            <w:tcW w:w="180" w:type="dxa"/>
            <w:vAlign w:val="bottom"/>
            <w:tcBorders>
              <w:bottom w:val="single" w:sz="8" w:color="E4E4E4"/>
            </w:tcBorders>
            <w:shd w:val="clear" w:color="auto" w:fill="E4E4E4"/>
          </w:tcPr>
          <w:p>
            <w:pPr>
              <w:spacing w:after="0"/>
              <w:rPr>
                <w:sz w:val="19"/>
                <w:szCs w:val="19"/>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2,854</w:t>
            </w:r>
          </w:p>
        </w:tc>
        <w:tc>
          <w:tcPr>
            <w:tcW w:w="220" w:type="dxa"/>
            <w:vAlign w:val="bottom"/>
            <w:tcBorders>
              <w:bottom w:val="single" w:sz="8" w:color="E4E4E4"/>
            </w:tcBorders>
            <w:shd w:val="clear" w:color="auto" w:fill="E4E4E4"/>
          </w:tcPr>
          <w:p>
            <w:pPr>
              <w:spacing w:after="0"/>
              <w:rPr>
                <w:sz w:val="19"/>
                <w:szCs w:val="19"/>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4,512</w:t>
            </w:r>
          </w:p>
        </w:tc>
      </w:tr>
      <w:tr>
        <w:trPr>
          <w:trHeight w:val="257"/>
        </w:trPr>
        <w:tc>
          <w:tcPr>
            <w:tcW w:w="73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Long-term restricted cash</w:t>
            </w:r>
            <w:r>
              <w:rPr>
                <w:rFonts w:ascii="Arial" w:cs="Arial" w:eastAsia="Arial" w:hAnsi="Arial"/>
                <w:sz w:val="21"/>
                <w:szCs w:val="21"/>
                <w:color w:val="auto"/>
                <w:vertAlign w:val="superscript"/>
              </w:rPr>
              <w:t>(2)</w:t>
            </w: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in the Condensed</w:t>
            </w:r>
          </w:p>
        </w:tc>
        <w:tc>
          <w:tcPr>
            <w:tcW w:w="180" w:type="dxa"/>
            <w:vAlign w:val="bottom"/>
            <w:shd w:val="clear" w:color="auto" w:fill="E4E4E4"/>
          </w:tcPr>
          <w:p>
            <w:pPr>
              <w:spacing w:after="0"/>
              <w:rPr>
                <w:sz w:val="18"/>
                <w:szCs w:val="18"/>
                <w:color w:val="auto"/>
              </w:rPr>
            </w:pPr>
          </w:p>
        </w:tc>
        <w:tc>
          <w:tcPr>
            <w:tcW w:w="178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24"/>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Consolidated Statements of Cash Flows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2,857</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4,515</w:t>
            </w:r>
          </w:p>
        </w:tc>
      </w:tr>
      <w:tr>
        <w:trPr>
          <w:trHeight w:val="20"/>
        </w:trPr>
        <w:tc>
          <w:tcPr>
            <w:tcW w:w="7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140" w:hanging="252"/>
        <w:spacing w:after="0" w:line="265" w:lineRule="auto"/>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decrease in Cash and cash equivalents was primarily due to the Intelerad acquisition. Refer to Note 7, “Acquisitions, Goodwill, and Other Intangible Assets” for further information.</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Long-term restricted cash is recognized within All other non-current assets in the Condensed Consolidated Statements of Financial Position.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INVENTORIES.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6"/>
        </w:trPr>
        <w:tc>
          <w:tcPr>
            <w:tcW w:w="7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30"/>
        </w:trPr>
        <w:tc>
          <w:tcPr>
            <w:tcW w:w="7320" w:type="dxa"/>
            <w:vAlign w:val="bottom"/>
            <w:tcBorders>
              <w:bottom w:val="single" w:sz="8" w:color="6022A6"/>
            </w:tcBorders>
          </w:tcPr>
          <w:p>
            <w:pPr>
              <w:spacing w:after="0"/>
              <w:rPr>
                <w:sz w:val="20"/>
                <w:szCs w:val="20"/>
                <w:color w:val="auto"/>
              </w:rPr>
            </w:pPr>
          </w:p>
        </w:tc>
        <w:tc>
          <w:tcPr>
            <w:tcW w:w="180" w:type="dxa"/>
            <w:vAlign w:val="bottom"/>
            <w:tcBorders>
              <w:bottom w:val="single" w:sz="8" w:color="6022A6"/>
            </w:tcBorders>
          </w:tcPr>
          <w:p>
            <w:pPr>
              <w:spacing w:after="0"/>
              <w:rPr>
                <w:sz w:val="20"/>
                <w:szCs w:val="20"/>
                <w:color w:val="auto"/>
              </w:rPr>
            </w:pPr>
          </w:p>
        </w:tc>
        <w:tc>
          <w:tcPr>
            <w:tcW w:w="1780" w:type="dxa"/>
            <w:vAlign w:val="bottom"/>
            <w:tcBorders>
              <w:bottom w:val="single" w:sz="8" w:color="6022A6"/>
            </w:tcBorders>
          </w:tcPr>
          <w:p>
            <w:pPr>
              <w:jc w:val="right"/>
              <w:ind w:right="139"/>
              <w:spacing w:after="0"/>
              <w:rPr>
                <w:sz w:val="20"/>
                <w:szCs w:val="20"/>
                <w:color w:val="auto"/>
              </w:rPr>
            </w:pPr>
            <w:r>
              <w:rPr>
                <w:rFonts w:ascii="Arial" w:cs="Arial" w:eastAsia="Arial" w:hAnsi="Arial"/>
                <w:sz w:val="16"/>
                <w:szCs w:val="16"/>
                <w:b w:val="1"/>
                <w:bCs w:val="1"/>
                <w:color w:val="454545"/>
              </w:rPr>
              <w:t>September 30, 2026</w:t>
            </w:r>
          </w:p>
        </w:tc>
        <w:tc>
          <w:tcPr>
            <w:tcW w:w="220" w:type="dxa"/>
            <w:vAlign w:val="bottom"/>
            <w:tcBorders>
              <w:bottom w:val="single" w:sz="8" w:color="6022A6"/>
            </w:tcBorders>
          </w:tcPr>
          <w:p>
            <w:pPr>
              <w:spacing w:after="0"/>
              <w:rPr>
                <w:sz w:val="20"/>
                <w:szCs w:val="20"/>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r>
      <w:tr>
        <w:trPr>
          <w:trHeight w:val="236"/>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Raw materials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1,145</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1,002</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118</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9"/>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E4E4E4"/>
            </w:tcBorders>
            <w:shd w:val="clear" w:color="auto" w:fill="E4E4E4"/>
          </w:tcPr>
          <w:p>
            <w:pPr>
              <w:spacing w:after="0"/>
              <w:rPr>
                <w:sz w:val="22"/>
                <w:szCs w:val="22"/>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1,365</w:t>
            </w:r>
          </w:p>
        </w:tc>
        <w:tc>
          <w:tcPr>
            <w:tcW w:w="22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1,137</w:t>
            </w:r>
          </w:p>
        </w:tc>
      </w:tr>
      <w:tr>
        <w:trPr>
          <w:trHeight w:val="229"/>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Inventories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2,628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2,234</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Certain inventory items are long-term in nature and therefore have been recognized within All other non-current assets in the Condensed Consolidated Statements of Financial Position and are not reflected in the table above. See the supplemental table “All Other Non-Current Assets” for further information.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PROPERTY, PLANT, AND EQUIPMENT – NET.</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7"/>
        </w:trPr>
        <w:tc>
          <w:tcPr>
            <w:tcW w:w="7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8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53"/>
        </w:trPr>
        <w:tc>
          <w:tcPr>
            <w:tcW w:w="7320" w:type="dxa"/>
            <w:vAlign w:val="bottom"/>
            <w:tcBorders>
              <w:bottom w:val="single" w:sz="8" w:color="6400A0"/>
            </w:tcBorders>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179"/>
              <w:spacing w:after="0"/>
              <w:rPr>
                <w:sz w:val="20"/>
                <w:szCs w:val="20"/>
                <w:color w:val="auto"/>
              </w:rPr>
            </w:pPr>
            <w:r>
              <w:rPr>
                <w:rFonts w:ascii="Arial" w:cs="Arial" w:eastAsia="Arial" w:hAnsi="Arial"/>
                <w:sz w:val="16"/>
                <w:szCs w:val="16"/>
                <w:b w:val="1"/>
                <w:bCs w:val="1"/>
                <w:color w:val="454545"/>
              </w:rPr>
              <w:t>September 30, 2026</w:t>
            </w:r>
          </w:p>
        </w:tc>
        <w:tc>
          <w:tcPr>
            <w:tcW w:w="200" w:type="dxa"/>
            <w:vAlign w:val="bottom"/>
          </w:tcPr>
          <w:p>
            <w:pPr>
              <w:spacing w:after="0"/>
              <w:rPr>
                <w:sz w:val="21"/>
                <w:szCs w:val="21"/>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r>
      <w:tr>
        <w:trPr>
          <w:trHeight w:val="214"/>
        </w:trPr>
        <w:tc>
          <w:tcPr>
            <w:tcW w:w="732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Land and improvements</w:t>
            </w:r>
          </w:p>
        </w:tc>
        <w:tc>
          <w:tcPr>
            <w:tcW w:w="180" w:type="dxa"/>
            <w:vAlign w:val="bottom"/>
            <w:tcBorders>
              <w:top w:val="single" w:sz="8" w:color="6400A0"/>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6400A0"/>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142</w:t>
            </w:r>
          </w:p>
        </w:tc>
        <w:tc>
          <w:tcPr>
            <w:tcW w:w="200" w:type="dxa"/>
            <w:vAlign w:val="bottom"/>
            <w:tcBorders>
              <w:top w:val="single" w:sz="8" w:color="6400A0"/>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6400A0"/>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144</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Buildings, structures, and related equipment</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2,255</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2,140</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Machinery and equipment</w:t>
            </w:r>
          </w:p>
        </w:tc>
        <w:tc>
          <w:tcPr>
            <w:tcW w:w="180" w:type="dxa"/>
            <w:vAlign w:val="bottom"/>
            <w:tcBorders>
              <w:bottom w:val="single" w:sz="8" w:color="E4E4E4"/>
            </w:tcBorders>
            <w:shd w:val="clear" w:color="auto" w:fill="E4E4E4"/>
          </w:tcPr>
          <w:p>
            <w:pPr>
              <w:spacing w:after="0"/>
              <w:rPr>
                <w:sz w:val="19"/>
                <w:szCs w:val="19"/>
                <w:color w:val="auto"/>
              </w:rPr>
            </w:pPr>
          </w:p>
        </w:tc>
        <w:tc>
          <w:tcPr>
            <w:tcW w:w="1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2,938</w:t>
            </w:r>
          </w:p>
        </w:tc>
        <w:tc>
          <w:tcPr>
            <w:tcW w:w="20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2,872</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Leasehold improvements and manufacturing plants under construction</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633</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574</w:t>
            </w:r>
          </w:p>
        </w:tc>
      </w:tr>
      <w:tr>
        <w:trPr>
          <w:trHeight w:val="28"/>
        </w:trPr>
        <w:tc>
          <w:tcPr>
            <w:tcW w:w="7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property, plant, and equipment, at original cost</w:t>
            </w:r>
          </w:p>
        </w:tc>
        <w:tc>
          <w:tcPr>
            <w:tcW w:w="180" w:type="dxa"/>
            <w:vAlign w:val="bottom"/>
            <w:tcBorders>
              <w:bottom w:val="single" w:sz="8" w:color="E4E4E4"/>
            </w:tcBorders>
            <w:shd w:val="clear" w:color="auto" w:fill="E4E4E4"/>
          </w:tcPr>
          <w:p>
            <w:pPr>
              <w:spacing w:after="0"/>
              <w:rPr>
                <w:sz w:val="20"/>
                <w:szCs w:val="20"/>
                <w:color w:val="auto"/>
              </w:rPr>
            </w:pPr>
          </w:p>
        </w:tc>
        <w:tc>
          <w:tcPr>
            <w:tcW w:w="1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5,968</w:t>
            </w:r>
          </w:p>
        </w:tc>
        <w:tc>
          <w:tcPr>
            <w:tcW w:w="200" w:type="dxa"/>
            <w:vAlign w:val="bottom"/>
            <w:tcBorders>
              <w:bottom w:val="single" w:sz="8" w:color="E4E4E4"/>
            </w:tcBorders>
            <w:shd w:val="clear" w:color="auto" w:fill="E4E4E4"/>
          </w:tcPr>
          <w:p>
            <w:pPr>
              <w:spacing w:after="0"/>
              <w:rPr>
                <w:sz w:val="20"/>
                <w:szCs w:val="20"/>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5,731</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Accumulated depreciation</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(3,132)</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(3,049)</w:t>
            </w:r>
          </w:p>
        </w:tc>
      </w:tr>
      <w:tr>
        <w:trPr>
          <w:trHeight w:val="29"/>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1"/>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lease ROU assets, net of amortization</w:t>
            </w:r>
          </w:p>
        </w:tc>
        <w:tc>
          <w:tcPr>
            <w:tcW w:w="180" w:type="dxa"/>
            <w:vAlign w:val="bottom"/>
            <w:tcBorders>
              <w:bottom w:val="single" w:sz="8" w:color="E4E4E4"/>
            </w:tcBorders>
            <w:shd w:val="clear" w:color="auto" w:fill="E4E4E4"/>
          </w:tcPr>
          <w:p>
            <w:pPr>
              <w:spacing w:after="0"/>
              <w:rPr>
                <w:sz w:val="22"/>
                <w:szCs w:val="22"/>
                <w:color w:val="auto"/>
              </w:rPr>
            </w:pPr>
          </w:p>
        </w:tc>
        <w:tc>
          <w:tcPr>
            <w:tcW w:w="1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383</w:t>
            </w:r>
          </w:p>
        </w:tc>
        <w:tc>
          <w:tcPr>
            <w:tcW w:w="200" w:type="dxa"/>
            <w:vAlign w:val="bottom"/>
            <w:tcBorders>
              <w:bottom w:val="single" w:sz="8" w:color="E4E4E4"/>
            </w:tcBorders>
            <w:shd w:val="clear" w:color="auto" w:fill="E4E4E4"/>
          </w:tcPr>
          <w:p>
            <w:pPr>
              <w:spacing w:after="0"/>
              <w:rPr>
                <w:sz w:val="22"/>
                <w:szCs w:val="22"/>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410</w:t>
            </w:r>
          </w:p>
        </w:tc>
      </w:tr>
      <w:tr>
        <w:trPr>
          <w:trHeight w:val="229"/>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Property, plant, and equipment – net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3,219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3,092</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related to Property, plant, and equipment – net, exclusive of operating lease ROU assets, was $81 million and $75 million for the three</w:t>
      </w:r>
    </w:p>
    <w:p>
      <w:pPr>
        <w:spacing w:after="0" w:line="3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months ended September 30, 2026 and 2025, respectively, and $235 million and $213 million for the nine months ended September 30, 2026 and 2025, respectively.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ALL OTHER ASSETS AND ALL OTHER LIABILITIES.</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05"/>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Assets</w:t>
            </w:r>
          </w:p>
        </w:tc>
        <w:tc>
          <w:tcPr>
            <w:tcW w:w="18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4"/>
                <w:szCs w:val="24"/>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ind w:right="139"/>
              <w:spacing w:after="0"/>
              <w:rPr>
                <w:sz w:val="20"/>
                <w:szCs w:val="20"/>
                <w:color w:val="auto"/>
              </w:rPr>
            </w:pPr>
            <w:r>
              <w:rPr>
                <w:rFonts w:ascii="Arial" w:cs="Arial" w:eastAsia="Arial" w:hAnsi="Arial"/>
                <w:sz w:val="16"/>
                <w:szCs w:val="16"/>
                <w:b w:val="1"/>
                <w:bCs w:val="1"/>
                <w:color w:val="454545"/>
              </w:rPr>
              <w:t>September 30, 2026</w:t>
            </w:r>
          </w:p>
        </w:tc>
        <w:tc>
          <w:tcPr>
            <w:tcW w:w="220" w:type="dxa"/>
            <w:vAlign w:val="bottom"/>
          </w:tcPr>
          <w:p>
            <w:pPr>
              <w:spacing w:after="0"/>
              <w:rPr>
                <w:sz w:val="18"/>
                <w:szCs w:val="18"/>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r>
      <w:tr>
        <w:trPr>
          <w:trHeight w:val="20"/>
        </w:trPr>
        <w:tc>
          <w:tcPr>
            <w:tcW w:w="732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80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1720" w:type="dxa"/>
            <w:vAlign w:val="bottom"/>
            <w:tcBorders>
              <w:bottom w:val="single" w:sz="8" w:color="6400A0"/>
            </w:tcBorders>
          </w:tcPr>
          <w:p>
            <w:pPr>
              <w:spacing w:after="0" w:line="20" w:lineRule="exact"/>
              <w:rPr>
                <w:sz w:val="1"/>
                <w:szCs w:val="1"/>
                <w:color w:val="auto"/>
              </w:rPr>
            </w:pPr>
          </w:p>
        </w:tc>
      </w:tr>
      <w:tr>
        <w:trPr>
          <w:trHeight w:val="216"/>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Prepaid expenses and deferred costs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276</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228</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Financing receivables – net</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92</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Derivative instruments</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107</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169</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Income tax receivables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139</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E4E4E4"/>
          </w:tcPr>
          <w:p>
            <w:pPr>
              <w:spacing w:after="0"/>
              <w:rPr>
                <w:sz w:val="21"/>
                <w:szCs w:val="21"/>
                <w:color w:val="auto"/>
              </w:rPr>
            </w:pPr>
          </w:p>
        </w:tc>
        <w:tc>
          <w:tcPr>
            <w:tcW w:w="18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109</w:t>
            </w:r>
          </w:p>
        </w:tc>
        <w:tc>
          <w:tcPr>
            <w:tcW w:w="220" w:type="dxa"/>
            <w:vAlign w:val="bottom"/>
            <w:tcBorders>
              <w:bottom w:val="single" w:sz="8" w:color="auto"/>
            </w:tcBorders>
            <w:shd w:val="clear" w:color="auto" w:fill="E4E4E4"/>
          </w:tcPr>
          <w:p>
            <w:pPr>
              <w:spacing w:after="0"/>
              <w:rPr>
                <w:sz w:val="21"/>
                <w:szCs w:val="21"/>
                <w:color w:val="auto"/>
              </w:rPr>
            </w:pPr>
          </w:p>
        </w:tc>
        <w:tc>
          <w:tcPr>
            <w:tcW w:w="1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81</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assets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723</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726</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240" w:hanging="252"/>
        <w:spacing w:after="0" w:line="286" w:lineRule="auto"/>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primarily consists of the current portion of capitalized cloud computing arrangement implementation costs, and indemnity assets associated with the separation agreements with GE.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Non-Current Assets</w:t>
            </w:r>
          </w:p>
        </w:tc>
        <w:tc>
          <w:tcPr>
            <w:tcW w:w="18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40"/>
        </w:trPr>
        <w:tc>
          <w:tcPr>
            <w:tcW w:w="7320" w:type="dxa"/>
            <w:vAlign w:val="bottom"/>
            <w:tcBorders>
              <w:bottom w:val="single" w:sz="8" w:color="6400A0"/>
            </w:tcBorders>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ind w:right="139"/>
              <w:spacing w:after="0"/>
              <w:rPr>
                <w:sz w:val="20"/>
                <w:szCs w:val="20"/>
                <w:color w:val="auto"/>
              </w:rPr>
            </w:pPr>
            <w:r>
              <w:rPr>
                <w:rFonts w:ascii="Arial" w:cs="Arial" w:eastAsia="Arial" w:hAnsi="Arial"/>
                <w:sz w:val="16"/>
                <w:szCs w:val="16"/>
                <w:b w:val="1"/>
                <w:bCs w:val="1"/>
                <w:color w:val="454545"/>
              </w:rPr>
              <w:t>September 30, 2026</w:t>
            </w:r>
          </w:p>
        </w:tc>
        <w:tc>
          <w:tcPr>
            <w:tcW w:w="220" w:type="dxa"/>
            <w:vAlign w:val="bottom"/>
          </w:tcPr>
          <w:p>
            <w:pPr>
              <w:spacing w:after="0"/>
              <w:rPr>
                <w:sz w:val="20"/>
                <w:szCs w:val="20"/>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r>
      <w:tr>
        <w:trPr>
          <w:trHeight w:val="213"/>
        </w:trPr>
        <w:tc>
          <w:tcPr>
            <w:tcW w:w="732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Prepaid pension asset</w:t>
            </w:r>
          </w:p>
        </w:tc>
        <w:tc>
          <w:tcPr>
            <w:tcW w:w="180" w:type="dxa"/>
            <w:vAlign w:val="bottom"/>
            <w:tcBorders>
              <w:top w:val="single" w:sz="8" w:color="6400A0"/>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6400A0"/>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745</w:t>
            </w:r>
          </w:p>
        </w:tc>
        <w:tc>
          <w:tcPr>
            <w:tcW w:w="220" w:type="dxa"/>
            <w:vAlign w:val="bottom"/>
            <w:tcBorders>
              <w:top w:val="single" w:sz="8" w:color="6400A0"/>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6400A0"/>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742</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Equity method and other investments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383</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351</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Financing receivables – net</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186</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190</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Derivative instruments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receivables – net</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170</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190</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143</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and other deferred assets</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213</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211</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Capitalized cloud computing arrangement implementation costs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254</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E4E4E4"/>
          </w:tcPr>
          <w:p>
            <w:pPr>
              <w:spacing w:after="0"/>
              <w:rPr>
                <w:sz w:val="21"/>
                <w:szCs w:val="21"/>
                <w:color w:val="auto"/>
              </w:rPr>
            </w:pPr>
          </w:p>
        </w:tc>
        <w:tc>
          <w:tcPr>
            <w:tcW w:w="18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114</w:t>
            </w:r>
          </w:p>
        </w:tc>
        <w:tc>
          <w:tcPr>
            <w:tcW w:w="220" w:type="dxa"/>
            <w:vAlign w:val="bottom"/>
            <w:tcBorders>
              <w:bottom w:val="single" w:sz="8" w:color="auto"/>
            </w:tcBorders>
            <w:shd w:val="clear" w:color="auto" w:fill="E4E4E4"/>
          </w:tcPr>
          <w:p>
            <w:pPr>
              <w:spacing w:after="0"/>
              <w:rPr>
                <w:sz w:val="21"/>
                <w:szCs w:val="21"/>
                <w:color w:val="auto"/>
              </w:rPr>
            </w:pPr>
          </w:p>
        </w:tc>
        <w:tc>
          <w:tcPr>
            <w:tcW w:w="1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112</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non-current assets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2,283</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2,205</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Other primarily consists of the non-current portion of indemnity assets associated with the separation agreements with GE, and income tax receivables.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Liabilities</w:t>
            </w:r>
          </w:p>
        </w:tc>
        <w:tc>
          <w:tcPr>
            <w:tcW w:w="180" w:type="dxa"/>
            <w:vAlign w:val="bottom"/>
          </w:tcPr>
          <w:p>
            <w:pPr>
              <w:spacing w:after="0"/>
              <w:rPr>
                <w:sz w:val="20"/>
                <w:szCs w:val="20"/>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ind w:right="119"/>
              <w:spacing w:after="0"/>
              <w:rPr>
                <w:sz w:val="20"/>
                <w:szCs w:val="20"/>
                <w:color w:val="auto"/>
              </w:rPr>
            </w:pPr>
            <w:r>
              <w:rPr>
                <w:rFonts w:ascii="Arial" w:cs="Arial" w:eastAsia="Arial" w:hAnsi="Arial"/>
                <w:sz w:val="16"/>
                <w:szCs w:val="16"/>
                <w:b w:val="1"/>
                <w:bCs w:val="1"/>
                <w:color w:val="454545"/>
              </w:rPr>
              <w:t>September 30, 2026</w:t>
            </w:r>
          </w:p>
        </w:tc>
        <w:tc>
          <w:tcPr>
            <w:tcW w:w="240" w:type="dxa"/>
            <w:vAlign w:val="bottom"/>
          </w:tcPr>
          <w:p>
            <w:pPr>
              <w:spacing w:after="0"/>
              <w:rPr>
                <w:sz w:val="18"/>
                <w:szCs w:val="18"/>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2025</w:t>
            </w:r>
          </w:p>
        </w:tc>
      </w:tr>
      <w:tr>
        <w:trPr>
          <w:trHeight w:val="20"/>
        </w:trPr>
        <w:tc>
          <w:tcPr>
            <w:tcW w:w="732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76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1740" w:type="dxa"/>
            <w:vAlign w:val="bottom"/>
            <w:tcBorders>
              <w:bottom w:val="single" w:sz="8" w:color="6400A0"/>
            </w:tcBorders>
          </w:tcPr>
          <w:p>
            <w:pPr>
              <w:spacing w:after="0" w:line="20" w:lineRule="exact"/>
              <w:rPr>
                <w:sz w:val="1"/>
                <w:szCs w:val="1"/>
                <w:color w:val="auto"/>
              </w:rPr>
            </w:pPr>
          </w:p>
        </w:tc>
      </w:tr>
      <w:tr>
        <w:trPr>
          <w:trHeight w:val="217"/>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allowances and related liabilities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258</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256</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Income and indirect tax liabilities including uncertain tax positions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263</w:t>
            </w: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Product warranties</w:t>
            </w:r>
          </w:p>
        </w:tc>
        <w:tc>
          <w:tcPr>
            <w:tcW w:w="18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178</w:t>
            </w:r>
          </w:p>
        </w:tc>
        <w:tc>
          <w:tcPr>
            <w:tcW w:w="240" w:type="dxa"/>
            <w:vAlign w:val="bottom"/>
            <w:tcBorders>
              <w:bottom w:val="single" w:sz="8" w:color="E4E4E4"/>
            </w:tcBorders>
            <w:shd w:val="clear" w:color="auto" w:fill="E4E4E4"/>
          </w:tcPr>
          <w:p>
            <w:pPr>
              <w:spacing w:after="0"/>
              <w:rPr>
                <w:sz w:val="19"/>
                <w:szCs w:val="19"/>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169</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Accrued logistics and utilities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229</w:t>
            </w: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lease liabilities</w:t>
            </w:r>
          </w:p>
        </w:tc>
        <w:tc>
          <w:tcPr>
            <w:tcW w:w="18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127</w:t>
            </w:r>
          </w:p>
        </w:tc>
        <w:tc>
          <w:tcPr>
            <w:tcW w:w="240" w:type="dxa"/>
            <w:vAlign w:val="bottom"/>
            <w:tcBorders>
              <w:bottom w:val="single" w:sz="8" w:color="E4E4E4"/>
            </w:tcBorders>
            <w:shd w:val="clear" w:color="auto" w:fill="E4E4E4"/>
          </w:tcPr>
          <w:p>
            <w:pPr>
              <w:spacing w:after="0"/>
              <w:rPr>
                <w:sz w:val="19"/>
                <w:szCs w:val="19"/>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134</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Derivative instruments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59</w:t>
            </w: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payable on borrowings</w:t>
            </w:r>
          </w:p>
        </w:tc>
        <w:tc>
          <w:tcPr>
            <w:tcW w:w="18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145</w:t>
            </w:r>
          </w:p>
        </w:tc>
        <w:tc>
          <w:tcPr>
            <w:tcW w:w="240" w:type="dxa"/>
            <w:vAlign w:val="bottom"/>
            <w:tcBorders>
              <w:bottom w:val="single" w:sz="8" w:color="E4E4E4"/>
            </w:tcBorders>
            <w:shd w:val="clear" w:color="auto" w:fill="E4E4E4"/>
          </w:tcPr>
          <w:p>
            <w:pPr>
              <w:spacing w:after="0"/>
              <w:rPr>
                <w:sz w:val="19"/>
                <w:szCs w:val="19"/>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Environmental and asset retirement obligations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7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E4E4E4"/>
          </w:tcPr>
          <w:p>
            <w:pPr>
              <w:spacing w:after="0"/>
              <w:rPr>
                <w:sz w:val="21"/>
                <w:szCs w:val="21"/>
                <w:color w:val="auto"/>
              </w:rPr>
            </w:pPr>
          </w:p>
        </w:tc>
        <w:tc>
          <w:tcPr>
            <w:tcW w:w="17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345</w:t>
            </w:r>
          </w:p>
        </w:tc>
        <w:tc>
          <w:tcPr>
            <w:tcW w:w="240" w:type="dxa"/>
            <w:vAlign w:val="bottom"/>
            <w:tcBorders>
              <w:bottom w:val="single" w:sz="8" w:color="auto"/>
            </w:tcBorders>
            <w:shd w:val="clear" w:color="auto" w:fill="E4E4E4"/>
          </w:tcPr>
          <w:p>
            <w:pPr>
              <w:spacing w:after="0"/>
              <w:rPr>
                <w:sz w:val="21"/>
                <w:szCs w:val="21"/>
                <w:color w:val="auto"/>
              </w:rPr>
            </w:pPr>
          </w:p>
        </w:tc>
        <w:tc>
          <w:tcPr>
            <w:tcW w:w="1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348</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liabilities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1,615</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1,587</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Other primarily consists of the current portion of miscellaneous accrued costs, dividends payable, and contingent consideration liabilities.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Non-Current Liabilities</w:t>
            </w:r>
          </w:p>
        </w:tc>
        <w:tc>
          <w:tcPr>
            <w:tcW w:w="18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ind w:right="139"/>
              <w:spacing w:after="0"/>
              <w:rPr>
                <w:sz w:val="20"/>
                <w:szCs w:val="20"/>
                <w:color w:val="auto"/>
              </w:rPr>
            </w:pPr>
            <w:r>
              <w:rPr>
                <w:rFonts w:ascii="Arial" w:cs="Arial" w:eastAsia="Arial" w:hAnsi="Arial"/>
                <w:sz w:val="16"/>
                <w:szCs w:val="16"/>
                <w:b w:val="1"/>
                <w:bCs w:val="1"/>
                <w:color w:val="454545"/>
              </w:rPr>
              <w:t>September 30, 2026</w:t>
            </w:r>
          </w:p>
        </w:tc>
        <w:tc>
          <w:tcPr>
            <w:tcW w:w="220" w:type="dxa"/>
            <w:vAlign w:val="bottom"/>
          </w:tcPr>
          <w:p>
            <w:pPr>
              <w:spacing w:after="0"/>
              <w:rPr>
                <w:sz w:val="18"/>
                <w:szCs w:val="18"/>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r>
      <w:tr>
        <w:trPr>
          <w:trHeight w:val="20"/>
        </w:trPr>
        <w:tc>
          <w:tcPr>
            <w:tcW w:w="732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8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720" w:type="dxa"/>
            <w:vAlign w:val="bottom"/>
            <w:tcBorders>
              <w:bottom w:val="single" w:sz="8" w:color="6022A6"/>
            </w:tcBorders>
          </w:tcPr>
          <w:p>
            <w:pPr>
              <w:spacing w:after="0" w:line="20" w:lineRule="exact"/>
              <w:rPr>
                <w:sz w:val="1"/>
                <w:szCs w:val="1"/>
                <w:color w:val="auto"/>
              </w:rPr>
            </w:pPr>
          </w:p>
        </w:tc>
      </w:tr>
      <w:tr>
        <w:trPr>
          <w:trHeight w:val="217"/>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895</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803</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255</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Environmental and asset retirement obligations</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450</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413</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Income and indirect tax liabilities including uncertain tax positions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236</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Derivative instruments</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226</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160</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Finance lease obligations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allowances and related liabilities</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r>
      <w:tr>
        <w:trPr>
          <w:trHeight w:val="216"/>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All other non-current liabilities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2,297</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2,061</w:t>
            </w:r>
          </w:p>
        </w:tc>
      </w:tr>
      <w:tr>
        <w:trPr>
          <w:trHeight w:val="20"/>
        </w:trPr>
        <w:tc>
          <w:tcPr>
            <w:tcW w:w="7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240" w:hanging="252"/>
        <w:spacing w:after="0" w:line="286"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primarily consists of the non-current portion of miscellaneous accrued costs, indemnity liabilities associated with the separation agreements with GE, and contingent consideration liabilities.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CAPITALIZED CLOUD COMPUTING ARRANGEMENT IMPLEMENTATION COSTS.</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43"/>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8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40"/>
        </w:trPr>
        <w:tc>
          <w:tcPr>
            <w:tcW w:w="7320" w:type="dxa"/>
            <w:vAlign w:val="bottom"/>
            <w:tcBorders>
              <w:bottom w:val="single" w:sz="8" w:color="6400A0"/>
            </w:tcBorders>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159"/>
              <w:spacing w:after="0"/>
              <w:rPr>
                <w:sz w:val="20"/>
                <w:szCs w:val="20"/>
                <w:color w:val="auto"/>
              </w:rPr>
            </w:pPr>
            <w:r>
              <w:rPr>
                <w:rFonts w:ascii="Arial" w:cs="Arial" w:eastAsia="Arial" w:hAnsi="Arial"/>
                <w:sz w:val="16"/>
                <w:szCs w:val="16"/>
                <w:b w:val="1"/>
                <w:bCs w:val="1"/>
                <w:color w:val="454545"/>
              </w:rPr>
              <w:t>September 30, 2026</w:t>
            </w:r>
          </w:p>
        </w:tc>
        <w:tc>
          <w:tcPr>
            <w:tcW w:w="200" w:type="dxa"/>
            <w:vAlign w:val="bottom"/>
          </w:tcPr>
          <w:p>
            <w:pPr>
              <w:spacing w:after="0"/>
              <w:rPr>
                <w:sz w:val="20"/>
                <w:szCs w:val="20"/>
                <w:color w:val="auto"/>
              </w:rPr>
            </w:pPr>
          </w:p>
        </w:tc>
        <w:tc>
          <w:tcPr>
            <w:tcW w:w="1720" w:type="dxa"/>
            <w:vAlign w:val="bottom"/>
          </w:tcPr>
          <w:p>
            <w:pPr>
              <w:ind w:left="20"/>
              <w:spacing w:after="0"/>
              <w:rPr>
                <w:sz w:val="20"/>
                <w:szCs w:val="20"/>
                <w:color w:val="auto"/>
              </w:rPr>
            </w:pPr>
            <w:r>
              <w:rPr>
                <w:rFonts w:ascii="Arial" w:cs="Arial" w:eastAsia="Arial" w:hAnsi="Arial"/>
                <w:sz w:val="16"/>
                <w:szCs w:val="16"/>
                <w:b w:val="1"/>
                <w:bCs w:val="1"/>
                <w:color w:val="454545"/>
              </w:rPr>
              <w:t>December 31, 2025</w:t>
            </w:r>
          </w:p>
        </w:tc>
      </w:tr>
      <w:tr>
        <w:trPr>
          <w:trHeight w:val="213"/>
        </w:trPr>
        <w:tc>
          <w:tcPr>
            <w:tcW w:w="732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Capitalized implementation costs</w:t>
            </w:r>
          </w:p>
        </w:tc>
        <w:tc>
          <w:tcPr>
            <w:tcW w:w="18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391</w:t>
            </w:r>
          </w:p>
        </w:tc>
        <w:tc>
          <w:tcPr>
            <w:tcW w:w="20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6022A6"/>
              <w:bottom w:val="single" w:sz="8" w:color="E4E4E4"/>
            </w:tcBorders>
            <w:shd w:val="clear" w:color="auto" w:fill="E4E4E4"/>
          </w:tcPr>
          <w:p>
            <w:pPr>
              <w:ind w:left="1380"/>
              <w:spacing w:after="0"/>
              <w:rPr>
                <w:sz w:val="20"/>
                <w:szCs w:val="20"/>
                <w:color w:val="auto"/>
              </w:rPr>
            </w:pPr>
            <w:r>
              <w:rPr>
                <w:rFonts w:ascii="Arial" w:cs="Arial" w:eastAsia="Arial" w:hAnsi="Arial"/>
                <w:sz w:val="16"/>
                <w:szCs w:val="16"/>
                <w:color w:val="auto"/>
              </w:rPr>
              <w:t>249</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Accumulated amortization</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18"/>
                <w:szCs w:val="18"/>
                <w:color w:val="auto"/>
              </w:rPr>
            </w:pPr>
          </w:p>
        </w:tc>
        <w:tc>
          <w:tcPr>
            <w:tcW w:w="1720" w:type="dxa"/>
            <w:vAlign w:val="bottom"/>
          </w:tcPr>
          <w:p>
            <w:pPr>
              <w:ind w:left="1400"/>
              <w:spacing w:after="0"/>
              <w:rPr>
                <w:sz w:val="20"/>
                <w:szCs w:val="20"/>
                <w:color w:val="auto"/>
              </w:rPr>
            </w:pPr>
            <w:r>
              <w:rPr>
                <w:rFonts w:ascii="Arial" w:cs="Arial" w:eastAsia="Arial" w:hAnsi="Arial"/>
                <w:sz w:val="16"/>
                <w:szCs w:val="16"/>
                <w:color w:val="auto"/>
              </w:rPr>
              <w:t>(49)</w:t>
            </w:r>
          </w:p>
        </w:tc>
      </w:tr>
      <w:tr>
        <w:trPr>
          <w:trHeight w:val="28"/>
        </w:trPr>
        <w:tc>
          <w:tcPr>
            <w:tcW w:w="7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6"/>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Capitalized cloud computing arrangement implementation costs, net</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311</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ind w:left="1380"/>
              <w:spacing w:after="0"/>
              <w:rPr>
                <w:sz w:val="20"/>
                <w:szCs w:val="20"/>
                <w:color w:val="auto"/>
              </w:rPr>
            </w:pPr>
            <w:r>
              <w:rPr>
                <w:rFonts w:ascii="Arial" w:cs="Arial" w:eastAsia="Arial" w:hAnsi="Arial"/>
                <w:sz w:val="16"/>
                <w:szCs w:val="16"/>
                <w:b w:val="1"/>
                <w:bCs w:val="1"/>
                <w:color w:val="auto"/>
              </w:rPr>
              <w:t>200</w:t>
            </w:r>
          </w:p>
        </w:tc>
      </w:tr>
      <w:tr>
        <w:trPr>
          <w:trHeight w:val="20"/>
        </w:trPr>
        <w:tc>
          <w:tcPr>
            <w:tcW w:w="7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242"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Capitalized cloud computing arrangement implementation costs are recognized within All other current assets and All other non-current assets in the Condensed Consolidated Statements of Financial Position. Amortization expense related to capitalized cloud computing arrangement implementation costs was $12 million and $6 million for the three months ended September 30, 2026 and 2025, respectively, and $30 million and $14 million for the nine months ended September 30, 2026 and 2025, respectively.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FINANCE PROGRAMS.</w:t>
      </w:r>
    </w:p>
    <w:p>
      <w:pPr>
        <w:spacing w:after="0" w:line="24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Company participates in voluntary supply chain finance programs which provide participating suppliers the opportunity to sell their GE HealthCare receivables to third parties at the sole discretion of both the suppliers and the third parties. We evaluate supply chain finance programs to ensure the use of a third-party intermediary to settle our trade payables does not change the nature, existence, amount, or timing of our trade payables and does not provide the Company with any direct economic benefit. If any characteristics of the trade payables change or we receive a direct economic benefit, we reclassify the trade payables to borrowings. In connection with the supply chain finance programs, payment terms normally range from 30 to 180 days, depending on the underlying supplier agreements.</w:t>
      </w:r>
    </w:p>
    <w:p>
      <w:pPr>
        <w:spacing w:after="0" w:line="21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Included within Accounts payable in the Condensed Consolidated Statements of Financial Position as of September 30, 2026 and December 31, 2025 were $354 million and $360 million, respectively, of confirmed supplier invoices that are outstanding and subject to third-party programs.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NONCONTROLLING INTERESTS.</w:t>
      </w:r>
    </w:p>
    <w:p>
      <w:pPr>
        <w:spacing w:after="0" w:line="248"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Company has noncontrolling interests with redemption features. These redemption features, such as put options, could require the Company to purchase the noncontrolling interests upon the occurrence of certain events. All noncontrolling interests with redemption features that are not solely within our control are recognized within the Condensed Consolidated Statements of Financial Position between liabilities and equity. Redeemable noncontrolling interests are initially recorded at the issuance date fair value. Those that are currently redeemable, or probable of becoming redeemable, are subsequently adjusted to the greater of current redemption value or initial carrying value.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Activity attributable to redeemable noncontrolling interests is presented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80" w:type="dxa"/>
            <w:vAlign w:val="bottom"/>
            <w:gridSpan w:val="7"/>
          </w:tcPr>
          <w:p>
            <w:pPr>
              <w:jc w:val="right"/>
              <w:ind w:right="21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5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r>
      <w:tr>
        <w:trPr>
          <w:trHeight w:val="240"/>
        </w:trPr>
        <w:tc>
          <w:tcPr>
            <w:tcW w:w="5320" w:type="dxa"/>
            <w:vAlign w:val="bottom"/>
            <w:tcBorders>
              <w:bottom w:val="single" w:sz="8" w:color="6022A6"/>
            </w:tcBorders>
          </w:tcPr>
          <w:p>
            <w:pPr>
              <w:spacing w:after="0"/>
              <w:rPr>
                <w:sz w:val="20"/>
                <w:szCs w:val="20"/>
                <w:color w:val="auto"/>
              </w:rPr>
            </w:pPr>
          </w:p>
        </w:tc>
        <w:tc>
          <w:tcPr>
            <w:tcW w:w="920" w:type="dxa"/>
            <w:vAlign w:val="bottom"/>
            <w:tcBorders>
              <w:bottom w:val="single" w:sz="8" w:color="6022A6"/>
            </w:tcBorders>
          </w:tcPr>
          <w:p>
            <w:pPr>
              <w:spacing w:after="0"/>
              <w:rPr>
                <w:sz w:val="20"/>
                <w:szCs w:val="20"/>
                <w:color w:val="auto"/>
              </w:rPr>
            </w:pPr>
          </w:p>
        </w:tc>
        <w:tc>
          <w:tcPr>
            <w:tcW w:w="540" w:type="dxa"/>
            <w:vAlign w:val="bottom"/>
            <w:tcBorders>
              <w:bottom w:val="single" w:sz="8" w:color="6022A6"/>
            </w:tcBorders>
          </w:tcPr>
          <w:p>
            <w:pPr>
              <w:spacing w:after="0"/>
              <w:rPr>
                <w:sz w:val="20"/>
                <w:szCs w:val="20"/>
                <w:color w:val="auto"/>
              </w:rPr>
            </w:pPr>
          </w:p>
        </w:tc>
        <w:tc>
          <w:tcPr>
            <w:tcW w:w="540" w:type="dxa"/>
            <w:vAlign w:val="bottom"/>
            <w:tcBorders>
              <w:bottom w:val="single" w:sz="8" w:color="6022A6"/>
            </w:tcBorders>
          </w:tcPr>
          <w:p>
            <w:pPr>
              <w:spacing w:after="0"/>
              <w:rPr>
                <w:sz w:val="20"/>
                <w:szCs w:val="20"/>
                <w:color w:val="auto"/>
              </w:rPr>
            </w:pPr>
          </w:p>
        </w:tc>
        <w:tc>
          <w:tcPr>
            <w:tcW w:w="140" w:type="dxa"/>
            <w:vAlign w:val="bottom"/>
            <w:tcBorders>
              <w:bottom w:val="single" w:sz="8" w:color="6022A6"/>
            </w:tcBorders>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454545"/>
              </w:rPr>
              <w:t>2026</w:t>
            </w: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679"/>
              <w:spacing w:after="0"/>
              <w:rPr>
                <w:sz w:val="20"/>
                <w:szCs w:val="20"/>
                <w:color w:val="auto"/>
              </w:rPr>
            </w:pPr>
            <w:r>
              <w:rPr>
                <w:rFonts w:ascii="Arial" w:cs="Arial" w:eastAsia="Arial" w:hAnsi="Arial"/>
                <w:sz w:val="16"/>
                <w:szCs w:val="16"/>
                <w:b w:val="1"/>
                <w:bCs w:val="1"/>
                <w:color w:val="454545"/>
              </w:rPr>
              <w:t>2025</w:t>
            </w:r>
          </w:p>
        </w:tc>
      </w:tr>
      <w:tr>
        <w:trPr>
          <w:trHeight w:val="227"/>
        </w:trPr>
        <w:tc>
          <w:tcPr>
            <w:tcW w:w="5320" w:type="dxa"/>
            <w:vAlign w:val="bottom"/>
            <w:tcBorders>
              <w:top w:val="single" w:sz="8" w:color="E4E4E4"/>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as of beginning of period</w:t>
            </w:r>
          </w:p>
        </w:tc>
        <w:tc>
          <w:tcPr>
            <w:tcW w:w="920" w:type="dxa"/>
            <w:vAlign w:val="bottom"/>
            <w:tcBorders>
              <w:top w:val="single" w:sz="8" w:color="E4E4E4"/>
              <w:bottom w:val="single" w:sz="8" w:color="E4E4E4"/>
            </w:tcBorders>
            <w:shd w:val="clear" w:color="auto" w:fill="E4E4E4"/>
          </w:tcPr>
          <w:p>
            <w:pPr>
              <w:spacing w:after="0"/>
              <w:rPr>
                <w:sz w:val="19"/>
                <w:szCs w:val="19"/>
                <w:color w:val="auto"/>
              </w:rPr>
            </w:pPr>
          </w:p>
        </w:tc>
        <w:tc>
          <w:tcPr>
            <w:tcW w:w="540" w:type="dxa"/>
            <w:vAlign w:val="bottom"/>
            <w:tcBorders>
              <w:top w:val="single" w:sz="8" w:color="E4E4E4"/>
              <w:bottom w:val="single" w:sz="8" w:color="E4E4E4"/>
            </w:tcBorders>
            <w:shd w:val="clear" w:color="auto" w:fill="E4E4E4"/>
          </w:tcPr>
          <w:p>
            <w:pPr>
              <w:spacing w:after="0"/>
              <w:rPr>
                <w:sz w:val="19"/>
                <w:szCs w:val="19"/>
                <w:color w:val="auto"/>
              </w:rPr>
            </w:pPr>
          </w:p>
        </w:tc>
        <w:tc>
          <w:tcPr>
            <w:tcW w:w="540" w:type="dxa"/>
            <w:vAlign w:val="bottom"/>
            <w:tcBorders>
              <w:top w:val="single" w:sz="8" w:color="E4E4E4"/>
              <w:bottom w:val="single" w:sz="8" w:color="E4E4E4"/>
            </w:tcBorders>
            <w:shd w:val="clear" w:color="auto" w:fill="E4E4E4"/>
          </w:tcPr>
          <w:p>
            <w:pPr>
              <w:spacing w:after="0"/>
              <w:rPr>
                <w:sz w:val="19"/>
                <w:szCs w:val="19"/>
                <w:color w:val="auto"/>
              </w:rPr>
            </w:pPr>
          </w:p>
        </w:tc>
        <w:tc>
          <w:tcPr>
            <w:tcW w:w="140" w:type="dxa"/>
            <w:vAlign w:val="bottom"/>
            <w:tcBorders>
              <w:top w:val="single" w:sz="8" w:color="E4E4E4"/>
              <w:bottom w:val="single" w:sz="8" w:color="E4E4E4"/>
            </w:tcBorders>
            <w:shd w:val="clear" w:color="auto" w:fill="E4E4E4"/>
          </w:tcPr>
          <w:p>
            <w:pPr>
              <w:spacing w:after="0"/>
              <w:rPr>
                <w:sz w:val="19"/>
                <w:szCs w:val="19"/>
                <w:color w:val="auto"/>
              </w:rPr>
            </w:pPr>
          </w:p>
        </w:tc>
        <w:tc>
          <w:tcPr>
            <w:tcW w:w="760" w:type="dxa"/>
            <w:vAlign w:val="bottom"/>
            <w:tcBorders>
              <w:top w:val="single" w:sz="8" w:color="6022A6"/>
              <w:bottom w:val="single" w:sz="8" w:color="E4E4E4"/>
            </w:tcBorders>
            <w:shd w:val="clear" w:color="auto" w:fill="E4E4E4"/>
          </w:tcPr>
          <w:p>
            <w:pPr>
              <w:jc w:val="right"/>
              <w:ind w:right="5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6022A6"/>
              <w:bottom w:val="single" w:sz="8" w:color="E4E4E4"/>
            </w:tcBorders>
            <w:shd w:val="clear" w:color="auto" w:fill="E4E4E4"/>
          </w:tcPr>
          <w:p>
            <w:pPr>
              <w:spacing w:after="0"/>
              <w:rPr>
                <w:sz w:val="19"/>
                <w:szCs w:val="19"/>
                <w:color w:val="auto"/>
              </w:rPr>
            </w:pPr>
          </w:p>
        </w:tc>
        <w:tc>
          <w:tcPr>
            <w:tcW w:w="360" w:type="dxa"/>
            <w:vAlign w:val="bottom"/>
            <w:tcBorders>
              <w:top w:val="single" w:sz="8" w:color="6022A6"/>
              <w:bottom w:val="single" w:sz="8" w:color="E4E4E4"/>
            </w:tcBorders>
            <w:shd w:val="clear" w:color="auto" w:fill="E4E4E4"/>
          </w:tcPr>
          <w:p>
            <w:pPr>
              <w:spacing w:after="0"/>
              <w:rPr>
                <w:sz w:val="19"/>
                <w:szCs w:val="19"/>
                <w:color w:val="auto"/>
              </w:rPr>
            </w:pPr>
          </w:p>
        </w:tc>
        <w:tc>
          <w:tcPr>
            <w:tcW w:w="68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209</w:t>
            </w:r>
          </w:p>
        </w:tc>
        <w:tc>
          <w:tcPr>
            <w:tcW w:w="420" w:type="dxa"/>
            <w:vAlign w:val="bottom"/>
            <w:tcBorders>
              <w:top w:val="single" w:sz="8" w:color="6022A6"/>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6022A6"/>
              <w:bottom w:val="single" w:sz="8" w:color="E4E4E4"/>
            </w:tcBorders>
            <w:shd w:val="clear" w:color="auto" w:fill="E4E4E4"/>
          </w:tcPr>
          <w:p>
            <w:pPr>
              <w:spacing w:after="0"/>
              <w:rPr>
                <w:sz w:val="19"/>
                <w:szCs w:val="19"/>
                <w:color w:val="auto"/>
              </w:rPr>
            </w:pPr>
          </w:p>
        </w:tc>
        <w:tc>
          <w:tcPr>
            <w:tcW w:w="124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188</w:t>
            </w:r>
          </w:p>
        </w:tc>
      </w:tr>
      <w:tr>
        <w:trPr>
          <w:trHeight w:val="227"/>
        </w:trPr>
        <w:tc>
          <w:tcPr>
            <w:tcW w:w="5320" w:type="dxa"/>
            <w:vAlign w:val="bottom"/>
          </w:tcPr>
          <w:p>
            <w:pPr>
              <w:ind w:left="20"/>
              <w:spacing w:after="0"/>
              <w:rPr>
                <w:sz w:val="20"/>
                <w:szCs w:val="20"/>
                <w:color w:val="auto"/>
              </w:rPr>
            </w:pPr>
            <w:r>
              <w:rPr>
                <w:rFonts w:ascii="Arial" w:cs="Arial" w:eastAsia="Arial" w:hAnsi="Arial"/>
                <w:sz w:val="16"/>
                <w:szCs w:val="16"/>
                <w:color w:val="auto"/>
              </w:rPr>
              <w:t>Net income attributable to redeemable noncontrolling interests</w:t>
            </w: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9"/>
        </w:trPr>
        <w:tc>
          <w:tcPr>
            <w:tcW w:w="5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2"/>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Distributions to redeemable noncontrolling interests and other</w:t>
            </w:r>
          </w:p>
        </w:tc>
        <w:tc>
          <w:tcPr>
            <w:tcW w:w="920" w:type="dxa"/>
            <w:vAlign w:val="bottom"/>
            <w:tcBorders>
              <w:bottom w:val="single" w:sz="8" w:color="E4E4E4"/>
            </w:tcBorders>
            <w:shd w:val="clear" w:color="auto" w:fill="E4E4E4"/>
          </w:tcPr>
          <w:p>
            <w:pPr>
              <w:spacing w:after="0"/>
              <w:rPr>
                <w:sz w:val="22"/>
                <w:szCs w:val="22"/>
                <w:color w:val="auto"/>
              </w:rPr>
            </w:pPr>
          </w:p>
        </w:tc>
        <w:tc>
          <w:tcPr>
            <w:tcW w:w="540" w:type="dxa"/>
            <w:vAlign w:val="bottom"/>
            <w:tcBorders>
              <w:bottom w:val="single" w:sz="8" w:color="E4E4E4"/>
            </w:tcBorders>
            <w:shd w:val="clear" w:color="auto" w:fill="E4E4E4"/>
          </w:tcPr>
          <w:p>
            <w:pPr>
              <w:spacing w:after="0"/>
              <w:rPr>
                <w:sz w:val="22"/>
                <w:szCs w:val="22"/>
                <w:color w:val="auto"/>
              </w:rPr>
            </w:pPr>
          </w:p>
        </w:tc>
        <w:tc>
          <w:tcPr>
            <w:tcW w:w="54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76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36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42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r>
      <w:tr>
        <w:trPr>
          <w:trHeight w:val="229"/>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end of period</w:t>
            </w:r>
          </w:p>
        </w:tc>
        <w:tc>
          <w:tcPr>
            <w:tcW w:w="9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234</w:t>
            </w: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204</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81"/>
        </w:trPr>
        <w:tc>
          <w:tcPr>
            <w:tcW w:w="5320" w:type="dxa"/>
            <w:vAlign w:val="bottom"/>
          </w:tcPr>
          <w:p>
            <w:pPr>
              <w:spacing w:after="0"/>
              <w:rPr>
                <w:sz w:val="20"/>
                <w:szCs w:val="20"/>
                <w:color w:val="auto"/>
              </w:rPr>
            </w:pPr>
            <w:r>
              <w:rPr>
                <w:rFonts w:ascii="Arial" w:cs="Arial" w:eastAsia="Arial" w:hAnsi="Arial"/>
                <w:sz w:val="16"/>
                <w:szCs w:val="16"/>
                <w:b w:val="1"/>
                <w:bCs w:val="1"/>
                <w:color w:val="auto"/>
              </w:rPr>
              <w:t xml:space="preserve">OTHER INCOME (EXPENSE) </w:t>
            </w:r>
            <w:r>
              <w:rPr>
                <w:rFonts w:ascii="Arial" w:cs="Arial" w:eastAsia="Arial" w:hAnsi="Arial"/>
                <w:sz w:val="19"/>
                <w:szCs w:val="19"/>
                <w:b w:val="1"/>
                <w:bCs w:val="1"/>
                <w:color w:val="auto"/>
              </w:rPr>
              <w:t>–</w:t>
            </w:r>
            <w:r>
              <w:rPr>
                <w:rFonts w:ascii="Arial" w:cs="Arial" w:eastAsia="Arial" w:hAnsi="Arial"/>
                <w:sz w:val="16"/>
                <w:szCs w:val="16"/>
                <w:b w:val="1"/>
                <w:bCs w:val="1"/>
                <w:color w:val="auto"/>
              </w:rPr>
              <w:t xml:space="preserve"> NET.</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5"/>
        </w:trPr>
        <w:tc>
          <w:tcPr>
            <w:tcW w:w="5320" w:type="dxa"/>
            <w:vAlign w:val="bottom"/>
          </w:tcPr>
          <w:p>
            <w:pPr>
              <w:spacing w:after="0"/>
              <w:rPr>
                <w:sz w:val="16"/>
                <w:szCs w:val="16"/>
                <w:color w:val="auto"/>
              </w:rPr>
            </w:pPr>
          </w:p>
        </w:tc>
        <w:tc>
          <w:tcPr>
            <w:tcW w:w="2900" w:type="dxa"/>
            <w:vAlign w:val="bottom"/>
            <w:gridSpan w:val="5"/>
          </w:tcPr>
          <w:p>
            <w:pPr>
              <w:jc w:val="right"/>
              <w:ind w:right="259"/>
              <w:spacing w:after="0"/>
              <w:rPr>
                <w:sz w:val="20"/>
                <w:szCs w:val="20"/>
                <w:color w:val="auto"/>
              </w:rPr>
            </w:pPr>
            <w:r>
              <w:rPr>
                <w:rFonts w:ascii="Arial" w:cs="Arial" w:eastAsia="Arial" w:hAnsi="Arial"/>
                <w:sz w:val="16"/>
                <w:szCs w:val="16"/>
                <w:b w:val="1"/>
                <w:bCs w:val="1"/>
                <w:color w:val="454545"/>
              </w:rPr>
              <w:t>For the three months ended</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454545"/>
              </w:rPr>
              <w:t>For the nine months ended</w:t>
            </w:r>
          </w:p>
        </w:tc>
      </w:tr>
      <w:tr>
        <w:trPr>
          <w:trHeight w:val="223"/>
        </w:trPr>
        <w:tc>
          <w:tcPr>
            <w:tcW w:w="5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454545"/>
                <w:w w:val="99"/>
              </w:rPr>
              <w:t>September 30</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6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454545"/>
              </w:rPr>
              <w:t>September 30</w:t>
            </w:r>
          </w:p>
        </w:tc>
      </w:tr>
      <w:tr>
        <w:trPr>
          <w:trHeight w:val="21"/>
        </w:trPr>
        <w:tc>
          <w:tcPr>
            <w:tcW w:w="5320" w:type="dxa"/>
            <w:vAlign w:val="bottom"/>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r>
      <w:tr>
        <w:trPr>
          <w:trHeight w:val="216"/>
        </w:trPr>
        <w:tc>
          <w:tcPr>
            <w:tcW w:w="5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454545"/>
              </w:rPr>
              <w:t>2026</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454545"/>
                <w:w w:val="95"/>
              </w:rPr>
              <w:t>2025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b w:val="1"/>
                <w:bCs w:val="1"/>
                <w:color w:val="454545"/>
              </w:rPr>
              <w:t>2026</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2025</w:t>
            </w:r>
          </w:p>
        </w:tc>
      </w:tr>
      <w:tr>
        <w:trPr>
          <w:trHeight w:val="20"/>
        </w:trPr>
        <w:tc>
          <w:tcPr>
            <w:tcW w:w="532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gridSpan w:val="2"/>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r>
      <w:tr>
        <w:trPr>
          <w:trHeight w:val="230"/>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financing income and investment income (loss)</w:t>
            </w:r>
          </w:p>
        </w:tc>
        <w:tc>
          <w:tcPr>
            <w:tcW w:w="920" w:type="dxa"/>
            <w:vAlign w:val="bottom"/>
            <w:tcBorders>
              <w:bottom w:val="single" w:sz="8" w:color="E4E4E4"/>
            </w:tcBorders>
            <w:shd w:val="clear" w:color="auto" w:fill="E4E4E4"/>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460" w:type="dxa"/>
            <w:vAlign w:val="bottom"/>
            <w:tcBorders>
              <w:bottom w:val="single" w:sz="8" w:color="E4E4E4"/>
            </w:tcBorders>
            <w:gridSpan w:val="2"/>
            <w:shd w:val="clear" w:color="auto" w:fill="E4E4E4"/>
          </w:tcPr>
          <w:p>
            <w:pPr>
              <w:jc w:val="center"/>
              <w:ind w:right="1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Equity method income (loss)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8"/>
        </w:trPr>
        <w:tc>
          <w:tcPr>
            <w:tcW w:w="5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Change in fair value of assumed obligations</w:t>
            </w:r>
          </w:p>
        </w:tc>
        <w:tc>
          <w:tcPr>
            <w:tcW w:w="92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5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w:t>
            </w:r>
          </w:p>
        </w:tc>
      </w:tr>
      <w:tr>
        <w:trPr>
          <w:trHeight w:val="243"/>
        </w:trPr>
        <w:tc>
          <w:tcPr>
            <w:tcW w:w="5320" w:type="dxa"/>
            <w:vAlign w:val="bottom"/>
          </w:tcPr>
          <w:p>
            <w:pPr>
              <w:ind w:left="20"/>
              <w:spacing w:after="0"/>
              <w:rPr>
                <w:sz w:val="20"/>
                <w:szCs w:val="20"/>
                <w:color w:val="auto"/>
              </w:rPr>
            </w:pPr>
            <w:r>
              <w:rPr>
                <w:rFonts w:ascii="Arial" w:cs="Arial" w:eastAsia="Arial" w:hAnsi="Arial"/>
                <w:sz w:val="16"/>
                <w:szCs w:val="16"/>
                <w:color w:val="auto"/>
              </w:rPr>
              <w:t>Gain on remeasurement of NMP equity method investment</w:t>
            </w:r>
            <w:r>
              <w:rPr>
                <w:rFonts w:ascii="Arial" w:cs="Arial" w:eastAsia="Arial" w:hAnsi="Arial"/>
                <w:sz w:val="21"/>
                <w:szCs w:val="21"/>
                <w:color w:val="auto"/>
                <w:vertAlign w:val="superscript"/>
              </w:rPr>
              <w:t>(1)</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43"/>
        </w:trPr>
        <w:tc>
          <w:tcPr>
            <w:tcW w:w="5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 items, net</w:t>
            </w:r>
            <w:r>
              <w:rPr>
                <w:rFonts w:ascii="Arial" w:cs="Arial" w:eastAsia="Arial" w:hAnsi="Arial"/>
                <w:sz w:val="21"/>
                <w:szCs w:val="21"/>
                <w:color w:val="auto"/>
                <w:vertAlign w:val="superscript"/>
              </w:rPr>
              <w:t>(2)</w:t>
            </w:r>
          </w:p>
        </w:tc>
        <w:tc>
          <w:tcPr>
            <w:tcW w:w="920" w:type="dxa"/>
            <w:vAlign w:val="bottom"/>
            <w:tcBorders>
              <w:bottom w:val="single" w:sz="8" w:color="auto"/>
            </w:tcBorders>
            <w:shd w:val="clear" w:color="auto" w:fill="E4E4E4"/>
          </w:tcPr>
          <w:p>
            <w:pPr>
              <w:spacing w:after="0"/>
              <w:rPr>
                <w:sz w:val="21"/>
                <w:szCs w:val="21"/>
                <w:color w:val="auto"/>
              </w:rPr>
            </w:pPr>
          </w:p>
        </w:tc>
        <w:tc>
          <w:tcPr>
            <w:tcW w:w="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540" w:type="dxa"/>
            <w:vAlign w:val="bottom"/>
            <w:tcBorders>
              <w:bottom w:val="single" w:sz="8" w:color="auto"/>
            </w:tcBorders>
            <w:shd w:val="clear" w:color="auto" w:fill="E4E4E4"/>
          </w:tcPr>
          <w:p>
            <w:pPr>
              <w:spacing w:after="0"/>
              <w:rPr>
                <w:sz w:val="21"/>
                <w:szCs w:val="21"/>
                <w:color w:val="auto"/>
              </w:rPr>
            </w:pPr>
          </w:p>
        </w:tc>
        <w:tc>
          <w:tcPr>
            <w:tcW w:w="90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auto"/>
            </w:tcBorders>
            <w:shd w:val="clear" w:color="auto" w:fill="E4E4E4"/>
          </w:tcPr>
          <w:p>
            <w:pPr>
              <w:spacing w:after="0"/>
              <w:rPr>
                <w:sz w:val="21"/>
                <w:szCs w:val="21"/>
                <w:color w:val="auto"/>
              </w:rPr>
            </w:pPr>
          </w:p>
        </w:tc>
        <w:tc>
          <w:tcPr>
            <w:tcW w:w="360" w:type="dxa"/>
            <w:vAlign w:val="bottom"/>
            <w:tcBorders>
              <w:bottom w:val="single" w:sz="8" w:color="auto"/>
            </w:tcBorders>
            <w:shd w:val="clear" w:color="auto" w:fill="E4E4E4"/>
          </w:tcPr>
          <w:p>
            <w:pPr>
              <w:spacing w:after="0"/>
              <w:rPr>
                <w:sz w:val="21"/>
                <w:szCs w:val="21"/>
                <w:color w:val="auto"/>
              </w:rPr>
            </w:pPr>
          </w:p>
        </w:tc>
        <w:tc>
          <w:tcPr>
            <w:tcW w:w="680" w:type="dxa"/>
            <w:vAlign w:val="bottom"/>
            <w:tcBorders>
              <w:bottom w:val="single" w:sz="8" w:color="auto"/>
            </w:tcBorders>
            <w:shd w:val="clear" w:color="auto" w:fill="E4E4E4"/>
          </w:tcPr>
          <w:p>
            <w:pPr>
              <w:spacing w:after="0"/>
              <w:rPr>
                <w:sz w:val="21"/>
                <w:szCs w:val="21"/>
                <w:color w:val="auto"/>
              </w:rPr>
            </w:pPr>
          </w:p>
        </w:tc>
        <w:tc>
          <w:tcPr>
            <w:tcW w:w="4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81</w:t>
            </w:r>
          </w:p>
        </w:tc>
        <w:tc>
          <w:tcPr>
            <w:tcW w:w="220" w:type="dxa"/>
            <w:vAlign w:val="bottom"/>
            <w:tcBorders>
              <w:bottom w:val="single" w:sz="8" w:color="auto"/>
            </w:tcBorders>
            <w:shd w:val="clear" w:color="auto" w:fill="E4E4E4"/>
          </w:tcPr>
          <w:p>
            <w:pPr>
              <w:spacing w:after="0"/>
              <w:rPr>
                <w:sz w:val="21"/>
                <w:szCs w:val="21"/>
                <w:color w:val="auto"/>
              </w:rPr>
            </w:pPr>
          </w:p>
        </w:tc>
        <w:tc>
          <w:tcPr>
            <w:tcW w:w="1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32</w:t>
            </w:r>
          </w:p>
        </w:tc>
      </w:tr>
      <w:tr>
        <w:trPr>
          <w:trHeight w:val="229"/>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Total other income (expense) – net</w:t>
            </w:r>
          </w:p>
        </w:tc>
        <w:tc>
          <w:tcPr>
            <w:tcW w:w="92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54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26</w:t>
            </w:r>
          </w:p>
        </w:tc>
        <w:tc>
          <w:tcPr>
            <w:tcW w:w="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124</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Refer to Note 7, “Acquisitions, Goodwill, and Other Intangible Assets” for additional information on the NMP acquisition.</w:t>
      </w:r>
    </w:p>
    <w:p>
      <w:pPr>
        <w:spacing w:after="0" w:line="30" w:lineRule="exact"/>
        <w:rPr>
          <w:rFonts w:ascii="Arial" w:cs="Arial" w:eastAsia="Arial" w:hAnsi="Arial"/>
          <w:sz w:val="16"/>
          <w:szCs w:val="16"/>
          <w:color w:val="auto"/>
        </w:rPr>
      </w:pPr>
    </w:p>
    <w:p>
      <w:pPr>
        <w:jc w:val="both"/>
        <w:ind w:left="260" w:right="320" w:hanging="252"/>
        <w:spacing w:after="0" w:line="267" w:lineRule="auto"/>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items, net primarily consists of a mix of licensing and royalty income, government grants, lease income, gains and losses related to derivatives, and change in tax indemnities. Additionally, for the nine months ended September 30, 2026, it includes income from contract settlements, and for the nine months ended September 30, 2025, it includes a realization of a gain contingency.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57"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On October 5, 2026, we announced an agreement to acquire SOFIE Biosciences, a U.S.-based contract manufacturing organization for positron emission tomography (“PET”) radiopharmaceuticals, for a purchase price of $945 million to be paid in cash. The transaction is expected to close in the first half of 2027, subject to customary closing conditions, including regulatory approvals.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7"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The following discussion and analysis of our financial results should be read in conjunction with the condensed consolidated financial statements and corresponding notes (the “financial statements”) included elsewhere in this Quarterly Report on Form 10-Q. The following discussion and analysis provide information management believes to be relevant to understanding the financial results of GE HealthCare Technologies Inc. and its subsidiaries (“GE HealthCare,” the “Company,” “our,” “us,” or “we”) for the three and nine months ended September 30, 2026 and 2025. For a full understanding of our financial condition and results of operations, the below discussion should be read alongside the Management’s Discussion and Analysis of Financial Condition and Results of Operations included in our Annual Report on Form 10-K for the fiscal year ended December 31, 2025. This discussion contains forward-looking statements that are based upon current expectations and are subject to uncertainty and changes in circumstances; see “Forward-Looking Statements.” Our actual results could differ materially from the results contemplated by these forward-looking statements due to a number of factors, including those discussed below and elsewhere in this Quarterly Report on Form 10-Q, and particularly in Item 1A, “Risk Factors” in our Annual Report on Form 10-K for the fiscal year ended December 31, 2025.</w:t>
      </w:r>
    </w:p>
    <w:p>
      <w:pPr>
        <w:spacing w:after="0" w:line="209"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following tables are presented in millions of United States (“U.S.”) dollars unless otherwise stated, except for per-share amounts which are presented in U.S. dollars. Certain columns and rows may not sum due to the use of rounded numbers. Percentages presented are calculated from the underlying whole-dollar amounts and, unless otherwise stated, represent changes year-over-year. References to the “Spin-Off” are related to the spin-off of GE HealthCare Technologies Inc. from General Electric Company, which now operates as GE Aerospace (“GE”).</w:t>
      </w:r>
    </w:p>
    <w:p>
      <w:pPr>
        <w:spacing w:after="0" w:line="21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 the second quarter of 2026, we made a strategic change to our executive leadership and to our segments, combining our Imaging and Advanced Visualization Solutions (“AVS”) businesses into a new operating and reportable segment, Advanced Imaging Solutions (“AIS”). Following this organizational change, GE HealthCare has three reportable segments: AIS, Pharmaceutical Diagnostics (“PDx”), and Patient Care Solutions (“PCS”), and we assessed their performance using Segment revenues and Segment EBIT. These segments have been identified based on the nature of the products sold and how the Company manages its operations. Historical segment financial information presented within this report has been recast to conform to the new reportable segment structure. For additional information on our segments, refer to Note 3, “Segment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FACTORS IMPACTING OUR PERFORMANCE</w:t>
      </w:r>
    </w:p>
    <w:p>
      <w:pPr>
        <w:spacing w:after="0" w:line="257"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We believe that our performance and future success depend on a number of factors that present significant opportunities for us but also pose risks and challenges, including those discussed below and particularly in Item 1A, “Risk Factors” in our Annual Report on Form 10-K for the fiscal year ended December 31, 2025.</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TRENDS AFFECTING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Global Trade and Macroeconomic Environment</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Starting in February 2025, the U.S. imposed a variety of new tariffs on most imports from nearly all countries in the world. Tariffs by the U.S. and several other countries have materially impacted our financial results and should the tariffs continue at current levels, we expect to continue to see a material impact. Additional tariffs or other trade restrictions by the U.S. or by other countries where we do significant business could further materially impact our results in the future. While we are taking actions to mitigate the impact of tariffs, we do not expect that our mitigation actions will fully offset the additional costs or other negative impacts resulting from the tariffs. Direct tariffs negatively impacted our Operating income by $53 million and $209 million for the three and nine months ended September 30, 2026, respectively, and $95 million and $147 million for the three and nine months ended September 30, 2025, respectively. Similarly, direct tariffs negatively impacted our cash flows by $32 million and $207 million for the three and nine months ended September 30, 2026, respectively, and $95 million and $190 million for the three and nine months ended September 30, 2025, respectively. These impacts are exclusive of any benefits from tariff refunds as disclosed below.</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February 2026, the U.S. Supreme Court ruled that the International Emergency Economic Powers Act (“IEEPA”) does not authorize the President to impose tariffs thereunder and in April 2026, U.S. Customs and Border Protection announced a new administrative process for importers to obtain refunds of certain tariffs imposed under IEEPA. In the three and nine months ended September 30, 2026, the Company received refunds of $55 million and $162 million, respectively, and recognized pre-tax benefits from tariff refunds of $9 million and $115 million, respectively, related to tariffs incurred in 2025 and $4 million and $27 million, respectively, related to tariffs incurred in 2026, all of which are recorded within Cost of products sold and Cost of services sold in the Condensed Consolidated Statements of Income. The Company intends to continue to file claims for additional tariff refunds, predominantly related to tariffs incurred in 2025. The timing and amount of any additional refunds remain uncertain and are subject to eligibility requirements, administrative processing, and other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continue to monitor the global markets in which we operate for changes in customer behavior, changes in government procurement, reimbursement and fiscal policy, and indirect impacts from the tariffs. Should these or other factors dampen economic growth, slow global trade, or impact inflation, we could see adverse impacts to our business as our customers adapt to the change in economic environment. We also continue to monitor potential impacts on purchasing decisions by both public and private customers in China and other markets as a result of the current trade environment, as well as other actions related to tariffs and trade frictions, investigations, or activities that could similarly increase our costs or otherwise impact our business. In addition, if negative sentiment towards U.S. companies influences the purchasing decisions of global customers, our business could be impacted materially.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Geopolitical and Macroeconomic Uncertainties</w:t>
      </w:r>
    </w:p>
    <w:p>
      <w:pPr>
        <w:spacing w:after="0" w:line="29"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Global geopolitical instability, including the conflict in the Middle East, continued to adversely impact our costs, supply chains, and logistics during the three and nine months ended September 30, 2026. These conditions resulted in increased costs and challenges in maintaining service levels in affected areas.</w:t>
      </w:r>
    </w:p>
    <w:p>
      <w:pPr>
        <w:spacing w:after="0" w:line="20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continue to monitor impacts related to key raw materials directly and indirectly related to our products or delivery of our products, including memory chips, logistics (inclusive of freight), and other costs linked to the price of oil and other critical components. Sustained cost inflation or constrained availability of critical components could negatively impact our ability to both produce and deliver products to our customers in a timely manner. We continue to take action to mitigate the exposures under the current environment by securing supply and identifying opportunities to partially offset cost increases; however, if the current environment continues or deteriorates further, we will continue to see adverse impacts to our results.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China Market</w:t>
      </w:r>
    </w:p>
    <w:p>
      <w:pPr>
        <w:spacing w:after="0" w:line="1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believe the focus of government policy in China is on expanding access to healthcare. In addition, our investments to address clinical needs, localization, and commercial infrastructure should benefit our business in China in the long term. However, we continue to monitor developments in the China market, including increased competition from local companies and the prevalence of volume based procurement policies, both of which have impacted our orders and revenues and may continue to do so.</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Russia and Ukraine Conflict</w:t>
      </w:r>
    </w:p>
    <w:p>
      <w:pPr>
        <w:spacing w:after="0" w:line="19"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color w:val="auto"/>
        </w:rPr>
        <w:t>We had $221 million and $214 million of assets in, or directly related to, Russia and Ukraine as of September 30, 2026 and December 31, 2025, respectively, none of which are subject to sanctions that impact the carrying value of the assets. We generated revenues of $178 million and $209 million from customers in these two countries for the nine months ended September 30, 2026 and 2025, respectively. The potential inability to repatriate earnings from these two countries will not have a material impact on our ability to operate.</w:t>
      </w:r>
    </w:p>
    <w:p>
      <w:pPr>
        <w:spacing w:after="0" w:line="205"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continue to monitor the effects of Russia’s invasion of Ukraine, including the consideration of financial impact, cybersecurity risks, the applicability and effect of sanctions, and the employee base in Ukraine and Russia. Under the current U.S. Department of Commerce regulations, we are permitted to export, re-export, or transfer medical equipment and spare parts that meet stated criteria under a License Exception, which has eliminated the need for us to obtain individual U.S. licenses in most cases; however, licenses still may be needed for some transactions. The European Union and other countries have also expanded licensing requirements for certain spare parts, services, software, and other items. We will continue to apply for licenses to supply to these customers and to support our business in Russia, as required. The implementation of these measures affected our ability to supply customers in Russia during the nine months ended September 30, 2026 and 2025 and is expected to continue to do so. There is no guarantee we will obtain all of the licenses for which we apply, that any approvals we obtain will be on a timely basis, will remain in effect, or that our business in Russia will not be further disrupted due to evolving legal or operational considerations. We will continue to assess whether developments related to the conflict have had, or are reasonably likely to have, a material impact on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KEY PERFORMANCE MEASURES</w:t>
      </w:r>
    </w:p>
    <w:p>
      <w:pPr>
        <w:spacing w:after="0" w:line="25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Management reviews and analyzes several key performance measures including Total revenues, Operating income, Net income attributable to GE HealthCare, Earnings per share, and Cash from (used for) operating activities. Management also reviews and analyzes Organic revenue*, Adjusted earnings before interest and taxes* (“Adjusted EBIT*”), Adjusted net income*, Adjusted tax expense*, Adjusted effective tax rate* (“Adjusted ETR*”), Adjusted earnings per share*, and Free cash flow*, which are non-GAAP financial measures. These measures are reviewed and analyzed in order to evaluate our business performance, identify trends affecting our business, allocate capital, and make strategic decisions, including those discussed below. See “Results of Operations” and “Liquidity and Capital Resources” below for further discussion on our key performance measures.</w:t>
      </w:r>
    </w:p>
    <w:p>
      <w:pPr>
        <w:spacing w:after="0" w:line="217"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non-GAAP financial measures should be considered along with the most directly comparable U.S. GAAP financial measures. Definitions of these non-GAAP financial measures, a discussion of why we believe they are useful to management and investors as well as certain of their limitations, and reconciliations to their most directly comparable U.S. GAAP financial measures are provided below under “Non-GAAP Financial Measures.”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our results of operations for each of the periods presented.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20" w:type="dxa"/>
            <w:vAlign w:val="bottom"/>
            <w:gridSpan w:val="5"/>
          </w:tcPr>
          <w:p>
            <w:pPr>
              <w:ind w:left="20"/>
              <w:spacing w:after="0"/>
              <w:rPr>
                <w:sz w:val="20"/>
                <w:szCs w:val="20"/>
                <w:color w:val="auto"/>
              </w:rPr>
            </w:pPr>
            <w:r>
              <w:rPr>
                <w:rFonts w:ascii="Arial" w:cs="Arial" w:eastAsia="Arial" w:hAnsi="Arial"/>
                <w:sz w:val="16"/>
                <w:szCs w:val="16"/>
                <w:b w:val="1"/>
                <w:bCs w:val="1"/>
                <w:color w:val="auto"/>
              </w:rPr>
              <w:t>Condensed Consolidated Statements of Income (Unaudited)</w:t>
            </w: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40" w:type="dxa"/>
            <w:vAlign w:val="bottom"/>
            <w:gridSpan w:val="5"/>
          </w:tcPr>
          <w:p>
            <w:pPr>
              <w:jc w:val="center"/>
              <w:ind w:right="79"/>
              <w:spacing w:after="0"/>
              <w:rPr>
                <w:sz w:val="20"/>
                <w:szCs w:val="20"/>
                <w:color w:val="auto"/>
              </w:rPr>
            </w:pPr>
            <w:r>
              <w:rPr>
                <w:rFonts w:ascii="Arial" w:cs="Arial" w:eastAsia="Arial" w:hAnsi="Arial"/>
                <w:sz w:val="16"/>
                <w:szCs w:val="16"/>
                <w:b w:val="1"/>
                <w:bCs w:val="1"/>
                <w:color w:val="454545"/>
              </w:rPr>
              <w:t>For the three months ended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454545"/>
              </w:rPr>
              <w:t>For the nine months ended</w:t>
            </w:r>
          </w:p>
        </w:tc>
      </w:tr>
      <w:tr>
        <w:trPr>
          <w:trHeight w:val="223"/>
        </w:trPr>
        <w:tc>
          <w:tcPr>
            <w:tcW w:w="2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454545"/>
              </w:rPr>
              <w:t>September 30</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14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454545"/>
              </w:rPr>
              <w:t>September 30</w:t>
            </w:r>
          </w:p>
        </w:tc>
      </w:tr>
      <w:tr>
        <w:trPr>
          <w:trHeight w:val="21"/>
        </w:trPr>
        <w:tc>
          <w:tcPr>
            <w:tcW w:w="2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454545"/>
            </w:tcBorders>
            <w:gridSpan w:val="2"/>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r>
      <w:tr>
        <w:trPr>
          <w:trHeight w:val="229"/>
        </w:trPr>
        <w:tc>
          <w:tcPr>
            <w:tcW w:w="2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ind w:left="180"/>
              <w:spacing w:after="0"/>
              <w:rPr>
                <w:sz w:val="20"/>
                <w:szCs w:val="20"/>
                <w:color w:val="auto"/>
              </w:rPr>
            </w:pPr>
            <w:r>
              <w:rPr>
                <w:rFonts w:ascii="Arial" w:cs="Arial" w:eastAsia="Arial" w:hAnsi="Arial"/>
                <w:sz w:val="16"/>
                <w:szCs w:val="16"/>
                <w:b w:val="1"/>
                <w:bCs w:val="1"/>
                <w:color w:val="454545"/>
              </w:rPr>
              <w:t>2026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b w:val="1"/>
                <w:bCs w:val="1"/>
                <w:color w:val="454545"/>
                <w:w w:val="95"/>
              </w:rPr>
              <w:t>2025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454545"/>
              </w:rPr>
              <w:t>2026</w:t>
            </w:r>
          </w:p>
        </w:tc>
        <w:tc>
          <w:tcPr>
            <w:tcW w:w="260" w:type="dxa"/>
            <w:vAlign w:val="bottom"/>
          </w:tcPr>
          <w:p>
            <w:pPr>
              <w:spacing w:after="0"/>
              <w:rPr>
                <w:sz w:val="19"/>
                <w:szCs w:val="19"/>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2025</w:t>
            </w:r>
          </w:p>
        </w:tc>
      </w:tr>
      <w:tr>
        <w:trPr>
          <w:trHeight w:val="21"/>
        </w:trPr>
        <w:tc>
          <w:tcPr>
            <w:tcW w:w="26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gridSpan w:val="2"/>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66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r>
      <w:tr>
        <w:trPr>
          <w:trHeight w:val="230"/>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of products</w:t>
            </w:r>
          </w:p>
        </w:tc>
        <w:tc>
          <w:tcPr>
            <w:tcW w:w="34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gridSpan w:val="2"/>
            <w:shd w:val="clear" w:color="auto" w:fill="E4E4E4"/>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3,602</w:t>
            </w:r>
          </w:p>
        </w:tc>
        <w:tc>
          <w:tcPr>
            <w:tcW w:w="220" w:type="dxa"/>
            <w:vAlign w:val="bottom"/>
            <w:tcBorders>
              <w:bottom w:val="single" w:sz="8" w:color="E4E4E4"/>
            </w:tcBorders>
            <w:gridSpan w:val="2"/>
            <w:shd w:val="clear" w:color="auto" w:fill="E4E4E4"/>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3,375</w:t>
            </w:r>
          </w:p>
        </w:tc>
        <w:tc>
          <w:tcPr>
            <w:tcW w:w="8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ind w:right="5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10,364</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9,755</w:t>
            </w:r>
          </w:p>
        </w:tc>
      </w:tr>
      <w:tr>
        <w:trPr>
          <w:trHeight w:val="227"/>
        </w:trPr>
        <w:tc>
          <w:tcPr>
            <w:tcW w:w="2620" w:type="dxa"/>
            <w:vAlign w:val="bottom"/>
          </w:tcPr>
          <w:p>
            <w:pPr>
              <w:ind w:left="20"/>
              <w:spacing w:after="0"/>
              <w:rPr>
                <w:sz w:val="20"/>
                <w:szCs w:val="20"/>
                <w:color w:val="auto"/>
              </w:rPr>
            </w:pPr>
            <w:r>
              <w:rPr>
                <w:rFonts w:ascii="Arial" w:cs="Arial" w:eastAsia="Arial" w:hAnsi="Arial"/>
                <w:sz w:val="16"/>
                <w:szCs w:val="16"/>
                <w:color w:val="auto"/>
              </w:rPr>
              <w:t>Sales of services</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1,769</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5,575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5,172</w:t>
            </w:r>
          </w:p>
        </w:tc>
      </w:tr>
      <w:tr>
        <w:trPr>
          <w:trHeight w:val="29"/>
        </w:trPr>
        <w:tc>
          <w:tcPr>
            <w:tcW w:w="2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tcBorders>
              <w:bottom w:val="single" w:sz="8" w:color="E4E4E4"/>
            </w:tcBorders>
            <w:shd w:val="clear" w:color="auto" w:fill="E4E4E4"/>
          </w:tcPr>
          <w:p>
            <w:pPr>
              <w:spacing w:after="0"/>
              <w:rPr>
                <w:sz w:val="21"/>
                <w:szCs w:val="21"/>
                <w:color w:val="auto"/>
              </w:rPr>
            </w:pPr>
          </w:p>
        </w:tc>
        <w:tc>
          <w:tcPr>
            <w:tcW w:w="68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spacing w:after="0"/>
              <w:rPr>
                <w:sz w:val="21"/>
                <w:szCs w:val="21"/>
                <w:color w:val="auto"/>
              </w:rPr>
            </w:pPr>
          </w:p>
        </w:tc>
        <w:tc>
          <w:tcPr>
            <w:tcW w:w="580" w:type="dxa"/>
            <w:vAlign w:val="bottom"/>
            <w:tcBorders>
              <w:bottom w:val="single" w:sz="8" w:color="E4E4E4"/>
            </w:tcBorders>
            <w:shd w:val="clear" w:color="auto" w:fill="E4E4E4"/>
          </w:tcPr>
          <w:p>
            <w:pPr>
              <w:spacing w:after="0"/>
              <w:rPr>
                <w:sz w:val="21"/>
                <w:szCs w:val="21"/>
                <w:color w:val="auto"/>
              </w:rPr>
            </w:pPr>
          </w:p>
        </w:tc>
        <w:tc>
          <w:tcPr>
            <w:tcW w:w="36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5,513</w:t>
            </w:r>
          </w:p>
        </w:tc>
        <w:tc>
          <w:tcPr>
            <w:tcW w:w="140" w:type="dxa"/>
            <w:vAlign w:val="bottom"/>
            <w:tcBorders>
              <w:bottom w:val="single" w:sz="8" w:color="E4E4E4"/>
            </w:tcBorders>
            <w:shd w:val="clear" w:color="auto" w:fill="E4E4E4"/>
          </w:tcPr>
          <w:p>
            <w:pPr>
              <w:spacing w:after="0"/>
              <w:rPr>
                <w:sz w:val="21"/>
                <w:szCs w:val="21"/>
                <w:color w:val="auto"/>
              </w:rPr>
            </w:pPr>
          </w:p>
        </w:tc>
        <w:tc>
          <w:tcPr>
            <w:tcW w:w="80" w:type="dxa"/>
            <w:vAlign w:val="bottom"/>
            <w:tcBorders>
              <w:bottom w:val="single" w:sz="8" w:color="E4E4E4"/>
            </w:tcBorders>
            <w:shd w:val="clear" w:color="auto" w:fill="E4E4E4"/>
          </w:tcPr>
          <w:p>
            <w:pPr>
              <w:spacing w:after="0"/>
              <w:rPr>
                <w:sz w:val="21"/>
                <w:szCs w:val="21"/>
                <w:color w:val="auto"/>
              </w:rPr>
            </w:pPr>
          </w:p>
        </w:tc>
        <w:tc>
          <w:tcPr>
            <w:tcW w:w="3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5,143</w:t>
            </w:r>
          </w:p>
        </w:tc>
        <w:tc>
          <w:tcPr>
            <w:tcW w:w="8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spacing w:after="0"/>
              <w:rPr>
                <w:sz w:val="21"/>
                <w:szCs w:val="21"/>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15,939</w:t>
            </w:r>
          </w:p>
        </w:tc>
        <w:tc>
          <w:tcPr>
            <w:tcW w:w="260" w:type="dxa"/>
            <w:vAlign w:val="bottom"/>
            <w:tcBorders>
              <w:bottom w:val="single" w:sz="8" w:color="E4E4E4"/>
            </w:tcBorders>
            <w:shd w:val="clear" w:color="auto" w:fill="E4E4E4"/>
          </w:tcPr>
          <w:p>
            <w:pPr>
              <w:spacing w:after="0"/>
              <w:rPr>
                <w:sz w:val="21"/>
                <w:szCs w:val="21"/>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14,927</w:t>
            </w:r>
          </w:p>
        </w:tc>
      </w:tr>
      <w:tr>
        <w:trPr>
          <w:trHeight w:val="221"/>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Cost of products</w:t>
            </w: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2,270</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6,873</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6,392</w:t>
            </w:r>
          </w:p>
        </w:tc>
      </w:tr>
      <w:tr>
        <w:trPr>
          <w:trHeight w:val="29"/>
        </w:trPr>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2"/>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Cost of services</w:t>
            </w:r>
          </w:p>
        </w:tc>
        <w:tc>
          <w:tcPr>
            <w:tcW w:w="34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82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spacing w:after="0"/>
              <w:rPr>
                <w:sz w:val="22"/>
                <w:szCs w:val="22"/>
                <w:color w:val="auto"/>
              </w:rPr>
            </w:pPr>
          </w:p>
        </w:tc>
        <w:tc>
          <w:tcPr>
            <w:tcW w:w="36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916</w:t>
            </w:r>
          </w:p>
        </w:tc>
        <w:tc>
          <w:tcPr>
            <w:tcW w:w="140" w:type="dxa"/>
            <w:vAlign w:val="bottom"/>
            <w:tcBorders>
              <w:bottom w:val="single" w:sz="8" w:color="E4E4E4"/>
            </w:tcBorders>
            <w:shd w:val="clear" w:color="auto" w:fill="E4E4E4"/>
          </w:tcPr>
          <w:p>
            <w:pPr>
              <w:spacing w:after="0"/>
              <w:rPr>
                <w:sz w:val="22"/>
                <w:szCs w:val="22"/>
                <w:color w:val="auto"/>
              </w:rPr>
            </w:pPr>
          </w:p>
        </w:tc>
        <w:tc>
          <w:tcPr>
            <w:tcW w:w="80" w:type="dxa"/>
            <w:vAlign w:val="bottom"/>
            <w:tcBorders>
              <w:bottom w:val="single" w:sz="8" w:color="E4E4E4"/>
            </w:tcBorders>
            <w:shd w:val="clear" w:color="auto" w:fill="E4E4E4"/>
          </w:tcPr>
          <w:p>
            <w:pPr>
              <w:spacing w:after="0"/>
              <w:rPr>
                <w:sz w:val="22"/>
                <w:szCs w:val="22"/>
                <w:color w:val="auto"/>
              </w:rPr>
            </w:pPr>
          </w:p>
        </w:tc>
        <w:tc>
          <w:tcPr>
            <w:tcW w:w="3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884</w:t>
            </w:r>
          </w:p>
        </w:tc>
        <w:tc>
          <w:tcPr>
            <w:tcW w:w="8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spacing w:after="0"/>
              <w:rPr>
                <w:sz w:val="22"/>
                <w:szCs w:val="22"/>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2,685</w:t>
            </w:r>
          </w:p>
        </w:tc>
        <w:tc>
          <w:tcPr>
            <w:tcW w:w="2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2,549</w:t>
            </w:r>
          </w:p>
        </w:tc>
      </w:tr>
      <w:tr>
        <w:trPr>
          <w:trHeight w:val="229"/>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Gross profit</w:t>
            </w: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2,224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1,990</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6,381</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5,987</w:t>
            </w: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1,100</w:t>
            </w:r>
          </w:p>
        </w:tc>
        <w:tc>
          <w:tcPr>
            <w:tcW w:w="1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1,045</w:t>
            </w:r>
          </w:p>
        </w:tc>
        <w:tc>
          <w:tcPr>
            <w:tcW w:w="8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3,334</w:t>
            </w:r>
          </w:p>
        </w:tc>
        <w:tc>
          <w:tcPr>
            <w:tcW w:w="2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3,114</w:t>
            </w:r>
          </w:p>
        </w:tc>
      </w:tr>
      <w:tr>
        <w:trPr>
          <w:trHeight w:val="228"/>
        </w:trPr>
        <w:tc>
          <w:tcPr>
            <w:tcW w:w="26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292</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988</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937</w:t>
            </w:r>
          </w:p>
        </w:tc>
      </w:tr>
      <w:tr>
        <w:trPr>
          <w:trHeight w:val="29"/>
        </w:trPr>
        <w:tc>
          <w:tcPr>
            <w:tcW w:w="2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340" w:type="dxa"/>
            <w:vAlign w:val="bottom"/>
            <w:tcBorders>
              <w:bottom w:val="single" w:sz="8" w:color="E4E4E4"/>
            </w:tcBorders>
            <w:shd w:val="clear" w:color="auto" w:fill="E4E4E4"/>
          </w:tcPr>
          <w:p>
            <w:pPr>
              <w:spacing w:after="0"/>
              <w:rPr>
                <w:sz w:val="21"/>
                <w:szCs w:val="21"/>
                <w:color w:val="auto"/>
              </w:rPr>
            </w:pPr>
          </w:p>
        </w:tc>
        <w:tc>
          <w:tcPr>
            <w:tcW w:w="68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spacing w:after="0"/>
              <w:rPr>
                <w:sz w:val="21"/>
                <w:szCs w:val="21"/>
                <w:color w:val="auto"/>
              </w:rPr>
            </w:pPr>
          </w:p>
        </w:tc>
        <w:tc>
          <w:tcPr>
            <w:tcW w:w="580" w:type="dxa"/>
            <w:vAlign w:val="bottom"/>
            <w:tcBorders>
              <w:bottom w:val="single" w:sz="8" w:color="E4E4E4"/>
            </w:tcBorders>
            <w:shd w:val="clear" w:color="auto" w:fill="E4E4E4"/>
          </w:tcPr>
          <w:p>
            <w:pPr>
              <w:spacing w:after="0"/>
              <w:rPr>
                <w:sz w:val="21"/>
                <w:szCs w:val="21"/>
                <w:color w:val="auto"/>
              </w:rPr>
            </w:pPr>
          </w:p>
        </w:tc>
        <w:tc>
          <w:tcPr>
            <w:tcW w:w="36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1,419</w:t>
            </w:r>
          </w:p>
        </w:tc>
        <w:tc>
          <w:tcPr>
            <w:tcW w:w="140" w:type="dxa"/>
            <w:vAlign w:val="bottom"/>
            <w:tcBorders>
              <w:bottom w:val="single" w:sz="8" w:color="E4E4E4"/>
            </w:tcBorders>
            <w:shd w:val="clear" w:color="auto" w:fill="E4E4E4"/>
          </w:tcPr>
          <w:p>
            <w:pPr>
              <w:spacing w:after="0"/>
              <w:rPr>
                <w:sz w:val="21"/>
                <w:szCs w:val="21"/>
                <w:color w:val="auto"/>
              </w:rPr>
            </w:pPr>
          </w:p>
        </w:tc>
        <w:tc>
          <w:tcPr>
            <w:tcW w:w="80" w:type="dxa"/>
            <w:vAlign w:val="bottom"/>
            <w:tcBorders>
              <w:bottom w:val="single" w:sz="8" w:color="E4E4E4"/>
            </w:tcBorders>
            <w:shd w:val="clear" w:color="auto" w:fill="E4E4E4"/>
          </w:tcPr>
          <w:p>
            <w:pPr>
              <w:spacing w:after="0"/>
              <w:rPr>
                <w:sz w:val="21"/>
                <w:szCs w:val="21"/>
                <w:color w:val="auto"/>
              </w:rPr>
            </w:pPr>
          </w:p>
        </w:tc>
        <w:tc>
          <w:tcPr>
            <w:tcW w:w="3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1,337</w:t>
            </w:r>
          </w:p>
        </w:tc>
        <w:tc>
          <w:tcPr>
            <w:tcW w:w="8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spacing w:after="0"/>
              <w:rPr>
                <w:sz w:val="21"/>
                <w:szCs w:val="21"/>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4,322</w:t>
            </w:r>
          </w:p>
        </w:tc>
        <w:tc>
          <w:tcPr>
            <w:tcW w:w="260" w:type="dxa"/>
            <w:vAlign w:val="bottom"/>
            <w:tcBorders>
              <w:bottom w:val="single" w:sz="8" w:color="E4E4E4"/>
            </w:tcBorders>
            <w:shd w:val="clear" w:color="auto" w:fill="E4E4E4"/>
          </w:tcPr>
          <w:p>
            <w:pPr>
              <w:spacing w:after="0"/>
              <w:rPr>
                <w:sz w:val="21"/>
                <w:szCs w:val="21"/>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4,051</w:t>
            </w:r>
          </w:p>
        </w:tc>
      </w:tr>
      <w:tr>
        <w:trPr>
          <w:trHeight w:val="229"/>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653</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2,058</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1,936</w:t>
            </w:r>
          </w:p>
        </w:tc>
      </w:tr>
      <w:tr>
        <w:trPr>
          <w:trHeight w:val="21"/>
        </w:trPr>
        <w:tc>
          <w:tcPr>
            <w:tcW w:w="2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296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6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111</w:t>
            </w:r>
          </w:p>
        </w:tc>
        <w:tc>
          <w:tcPr>
            <w:tcW w:w="8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332</w:t>
            </w:r>
          </w:p>
        </w:tc>
        <w:tc>
          <w:tcPr>
            <w:tcW w:w="2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335</w:t>
            </w:r>
          </w:p>
        </w:tc>
      </w:tr>
      <w:tr>
        <w:trPr>
          <w:trHeight w:val="227"/>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Non-operating benefit (income) costs</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(146)</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9"/>
        </w:trPr>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2"/>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(income) expense – net</w:t>
            </w:r>
          </w:p>
        </w:tc>
        <w:tc>
          <w:tcPr>
            <w:tcW w:w="34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82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spacing w:after="0"/>
              <w:rPr>
                <w:sz w:val="22"/>
                <w:szCs w:val="22"/>
                <w:color w:val="auto"/>
              </w:rPr>
            </w:pPr>
          </w:p>
        </w:tc>
        <w:tc>
          <w:tcPr>
            <w:tcW w:w="36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140" w:type="dxa"/>
            <w:vAlign w:val="bottom"/>
            <w:tcBorders>
              <w:bottom w:val="single" w:sz="8" w:color="E4E4E4"/>
            </w:tcBorders>
            <w:shd w:val="clear" w:color="auto" w:fill="E4E4E4"/>
          </w:tcPr>
          <w:p>
            <w:pPr>
              <w:spacing w:after="0"/>
              <w:rPr>
                <w:sz w:val="22"/>
                <w:szCs w:val="22"/>
                <w:color w:val="auto"/>
              </w:rPr>
            </w:pPr>
          </w:p>
        </w:tc>
        <w:tc>
          <w:tcPr>
            <w:tcW w:w="80" w:type="dxa"/>
            <w:vAlign w:val="bottom"/>
            <w:tcBorders>
              <w:bottom w:val="single" w:sz="8" w:color="E4E4E4"/>
            </w:tcBorders>
            <w:shd w:val="clear" w:color="auto" w:fill="E4E4E4"/>
          </w:tcPr>
          <w:p>
            <w:pPr>
              <w:spacing w:after="0"/>
              <w:rPr>
                <w:sz w:val="22"/>
                <w:szCs w:val="22"/>
                <w:color w:val="auto"/>
              </w:rPr>
            </w:pPr>
          </w:p>
        </w:tc>
        <w:tc>
          <w:tcPr>
            <w:tcW w:w="3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spacing w:after="0"/>
              <w:rPr>
                <w:sz w:val="22"/>
                <w:szCs w:val="22"/>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(78)</w:t>
            </w:r>
          </w:p>
        </w:tc>
        <w:tc>
          <w:tcPr>
            <w:tcW w:w="2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w:t>
            </w:r>
          </w:p>
        </w:tc>
      </w:tr>
      <w:tr>
        <w:trPr>
          <w:trHeight w:val="229"/>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752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643</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1,950</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1,947</w:t>
            </w:r>
          </w:p>
        </w:tc>
      </w:tr>
      <w:tr>
        <w:trPr>
          <w:trHeight w:val="21"/>
        </w:trPr>
        <w:tc>
          <w:tcPr>
            <w:tcW w:w="2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62"/>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82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spacing w:after="0"/>
              <w:rPr>
                <w:sz w:val="22"/>
                <w:szCs w:val="22"/>
                <w:color w:val="auto"/>
              </w:rPr>
            </w:pPr>
          </w:p>
        </w:tc>
        <w:tc>
          <w:tcPr>
            <w:tcW w:w="36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(129)</w:t>
            </w:r>
          </w:p>
        </w:tc>
        <w:tc>
          <w:tcPr>
            <w:tcW w:w="140" w:type="dxa"/>
            <w:vAlign w:val="bottom"/>
            <w:tcBorders>
              <w:bottom w:val="single" w:sz="8" w:color="E4E4E4"/>
            </w:tcBorders>
            <w:shd w:val="clear" w:color="auto" w:fill="E4E4E4"/>
          </w:tcPr>
          <w:p>
            <w:pPr>
              <w:spacing w:after="0"/>
              <w:rPr>
                <w:sz w:val="22"/>
                <w:szCs w:val="22"/>
                <w:color w:val="auto"/>
              </w:rPr>
            </w:pPr>
          </w:p>
        </w:tc>
        <w:tc>
          <w:tcPr>
            <w:tcW w:w="80" w:type="dxa"/>
            <w:vAlign w:val="bottom"/>
            <w:tcBorders>
              <w:bottom w:val="single" w:sz="8" w:color="E4E4E4"/>
            </w:tcBorders>
            <w:shd w:val="clear" w:color="auto" w:fill="E4E4E4"/>
          </w:tcPr>
          <w:p>
            <w:pPr>
              <w:spacing w:after="0"/>
              <w:rPr>
                <w:sz w:val="22"/>
                <w:szCs w:val="22"/>
                <w:color w:val="auto"/>
              </w:rPr>
            </w:pPr>
          </w:p>
        </w:tc>
        <w:tc>
          <w:tcPr>
            <w:tcW w:w="3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(179)</w:t>
            </w:r>
          </w:p>
        </w:tc>
        <w:tc>
          <w:tcPr>
            <w:tcW w:w="8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spacing w:after="0"/>
              <w:rPr>
                <w:sz w:val="22"/>
                <w:szCs w:val="22"/>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(342)</w:t>
            </w:r>
          </w:p>
        </w:tc>
        <w:tc>
          <w:tcPr>
            <w:tcW w:w="2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(395)</w:t>
            </w:r>
          </w:p>
        </w:tc>
      </w:tr>
      <w:tr>
        <w:trPr>
          <w:trHeight w:val="229"/>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623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464</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1,608</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1,552</w:t>
            </w:r>
          </w:p>
        </w:tc>
      </w:tr>
      <w:tr>
        <w:trPr>
          <w:trHeight w:val="21"/>
        </w:trPr>
        <w:tc>
          <w:tcPr>
            <w:tcW w:w="4720" w:type="dxa"/>
            <w:vAlign w:val="bottom"/>
            <w:tcBorders>
              <w:bottom w:val="single" w:sz="8" w:color="auto"/>
            </w:tcBorders>
            <w:gridSpan w:val="5"/>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5"/>
        </w:trPr>
        <w:tc>
          <w:tcPr>
            <w:tcW w:w="4720" w:type="dxa"/>
            <w:vAlign w:val="bottom"/>
            <w:tcBorders>
              <w:bottom w:val="single" w:sz="8" w:color="E4E4E4"/>
            </w:tcBorders>
            <w:gridSpan w:val="5"/>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580" w:type="dxa"/>
            <w:vAlign w:val="bottom"/>
            <w:tcBorders>
              <w:bottom w:val="single" w:sz="8" w:color="E4E4E4"/>
            </w:tcBorders>
            <w:shd w:val="clear" w:color="auto" w:fill="E4E4E4"/>
          </w:tcPr>
          <w:p>
            <w:pPr>
              <w:spacing w:after="0"/>
              <w:rPr>
                <w:sz w:val="21"/>
                <w:szCs w:val="21"/>
                <w:color w:val="auto"/>
              </w:rPr>
            </w:pPr>
          </w:p>
        </w:tc>
        <w:tc>
          <w:tcPr>
            <w:tcW w:w="36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E4E4E4"/>
            </w:tcBorders>
            <w:shd w:val="clear" w:color="auto" w:fill="E4E4E4"/>
          </w:tcPr>
          <w:p>
            <w:pPr>
              <w:spacing w:after="0"/>
              <w:rPr>
                <w:sz w:val="21"/>
                <w:szCs w:val="21"/>
                <w:color w:val="auto"/>
              </w:rPr>
            </w:pPr>
          </w:p>
        </w:tc>
        <w:tc>
          <w:tcPr>
            <w:tcW w:w="80" w:type="dxa"/>
            <w:vAlign w:val="bottom"/>
            <w:tcBorders>
              <w:bottom w:val="single" w:sz="8" w:color="E4E4E4"/>
            </w:tcBorders>
            <w:shd w:val="clear" w:color="auto" w:fill="E4E4E4"/>
          </w:tcPr>
          <w:p>
            <w:pPr>
              <w:spacing w:after="0"/>
              <w:rPr>
                <w:sz w:val="21"/>
                <w:szCs w:val="21"/>
                <w:color w:val="auto"/>
              </w:rPr>
            </w:pPr>
          </w:p>
        </w:tc>
        <w:tc>
          <w:tcPr>
            <w:tcW w:w="3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spacing w:after="0"/>
              <w:rPr>
                <w:sz w:val="21"/>
                <w:szCs w:val="21"/>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c>
          <w:tcPr>
            <w:tcW w:w="260" w:type="dxa"/>
            <w:vAlign w:val="bottom"/>
            <w:tcBorders>
              <w:bottom w:val="single" w:sz="8" w:color="E4E4E4"/>
            </w:tcBorders>
            <w:shd w:val="clear" w:color="auto" w:fill="E4E4E4"/>
          </w:tcPr>
          <w:p>
            <w:pPr>
              <w:spacing w:after="0"/>
              <w:rPr>
                <w:sz w:val="21"/>
                <w:szCs w:val="21"/>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r>
      <w:tr>
        <w:trPr>
          <w:trHeight w:val="229"/>
        </w:trPr>
        <w:tc>
          <w:tcPr>
            <w:tcW w:w="364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615</w:t>
            </w:r>
          </w:p>
        </w:tc>
        <w:tc>
          <w:tcPr>
            <w:tcW w:w="2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446</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1,564</w:t>
            </w:r>
          </w:p>
        </w:tc>
        <w:tc>
          <w:tcPr>
            <w:tcW w:w="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1,495</w:t>
            </w: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26"/>
        </w:trPr>
        <w:tc>
          <w:tcPr>
            <w:tcW w:w="2620" w:type="dxa"/>
            <w:vAlign w:val="bottom"/>
          </w:tcPr>
          <w:p>
            <w:pPr>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13"/>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Revenues by Segment</w:t>
            </w:r>
          </w:p>
        </w:tc>
        <w:tc>
          <w:tcPr>
            <w:tcW w:w="340" w:type="dxa"/>
            <w:vAlign w:val="bottom"/>
          </w:tcPr>
          <w:p>
            <w:pPr>
              <w:spacing w:after="0"/>
              <w:rPr>
                <w:sz w:val="24"/>
                <w:szCs w:val="24"/>
                <w:color w:val="auto"/>
              </w:rPr>
            </w:pPr>
          </w:p>
        </w:tc>
        <w:tc>
          <w:tcPr>
            <w:tcW w:w="3780" w:type="dxa"/>
            <w:vAlign w:val="bottom"/>
            <w:gridSpan w:val="6"/>
          </w:tcPr>
          <w:p>
            <w:pPr>
              <w:jc w:val="right"/>
              <w:ind w:right="279"/>
              <w:spacing w:after="0"/>
              <w:rPr>
                <w:sz w:val="20"/>
                <w:szCs w:val="20"/>
                <w:color w:val="auto"/>
              </w:rPr>
            </w:pPr>
            <w:r>
              <w:rPr>
                <w:rFonts w:ascii="Arial" w:cs="Arial" w:eastAsia="Arial" w:hAnsi="Arial"/>
                <w:sz w:val="16"/>
                <w:szCs w:val="16"/>
                <w:b w:val="1"/>
                <w:bCs w:val="1"/>
                <w:color w:val="454545"/>
              </w:rPr>
              <w:t>For the three months ended September 30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40" w:type="dxa"/>
            <w:vAlign w:val="bottom"/>
            <w:gridSpan w:val="7"/>
          </w:tcPr>
          <w:p>
            <w:pPr>
              <w:jc w:val="right"/>
              <w:ind w:right="45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48"/>
        </w:trPr>
        <w:tc>
          <w:tcPr>
            <w:tcW w:w="2620" w:type="dxa"/>
            <w:vAlign w:val="bottom"/>
          </w:tcPr>
          <w:p>
            <w:pPr>
              <w:spacing w:after="0"/>
              <w:rPr>
                <w:sz w:val="4"/>
                <w:szCs w:val="4"/>
                <w:color w:val="auto"/>
              </w:rPr>
            </w:pPr>
          </w:p>
        </w:tc>
        <w:tc>
          <w:tcPr>
            <w:tcW w:w="340" w:type="dxa"/>
            <w:vAlign w:val="bottom"/>
            <w:tcBorders>
              <w:bottom w:val="single" w:sz="8" w:color="454545"/>
            </w:tcBorders>
          </w:tcPr>
          <w:p>
            <w:pPr>
              <w:spacing w:after="0"/>
              <w:rPr>
                <w:sz w:val="4"/>
                <w:szCs w:val="4"/>
                <w:color w:val="auto"/>
              </w:rPr>
            </w:pPr>
          </w:p>
        </w:tc>
        <w:tc>
          <w:tcPr>
            <w:tcW w:w="680" w:type="dxa"/>
            <w:vAlign w:val="bottom"/>
            <w:tcBorders>
              <w:bottom w:val="single" w:sz="8" w:color="454545"/>
            </w:tcBorders>
          </w:tcPr>
          <w:p>
            <w:pPr>
              <w:spacing w:after="0"/>
              <w:rPr>
                <w:sz w:val="4"/>
                <w:szCs w:val="4"/>
                <w:color w:val="auto"/>
              </w:rPr>
            </w:pPr>
          </w:p>
        </w:tc>
        <w:tc>
          <w:tcPr>
            <w:tcW w:w="260" w:type="dxa"/>
            <w:vAlign w:val="bottom"/>
            <w:tcBorders>
              <w:bottom w:val="single" w:sz="8" w:color="454545"/>
            </w:tcBorders>
          </w:tcPr>
          <w:p>
            <w:pPr>
              <w:spacing w:after="0"/>
              <w:rPr>
                <w:sz w:val="4"/>
                <w:szCs w:val="4"/>
                <w:color w:val="auto"/>
              </w:rPr>
            </w:pPr>
          </w:p>
        </w:tc>
        <w:tc>
          <w:tcPr>
            <w:tcW w:w="820" w:type="dxa"/>
            <w:vAlign w:val="bottom"/>
            <w:tcBorders>
              <w:bottom w:val="single" w:sz="8" w:color="454545"/>
            </w:tcBorders>
          </w:tcPr>
          <w:p>
            <w:pPr>
              <w:spacing w:after="0"/>
              <w:rPr>
                <w:sz w:val="4"/>
                <w:szCs w:val="4"/>
                <w:color w:val="auto"/>
              </w:rPr>
            </w:pPr>
          </w:p>
        </w:tc>
        <w:tc>
          <w:tcPr>
            <w:tcW w:w="580" w:type="dxa"/>
            <w:vAlign w:val="bottom"/>
            <w:tcBorders>
              <w:bottom w:val="single" w:sz="8" w:color="454545"/>
            </w:tcBorders>
          </w:tcPr>
          <w:p>
            <w:pPr>
              <w:spacing w:after="0"/>
              <w:rPr>
                <w:sz w:val="4"/>
                <w:szCs w:val="4"/>
                <w:color w:val="auto"/>
              </w:rPr>
            </w:pPr>
          </w:p>
        </w:tc>
        <w:tc>
          <w:tcPr>
            <w:tcW w:w="360" w:type="dxa"/>
            <w:vAlign w:val="bottom"/>
            <w:tcBorders>
              <w:bottom w:val="single" w:sz="8" w:color="454545"/>
            </w:tcBorders>
          </w:tcPr>
          <w:p>
            <w:pPr>
              <w:spacing w:after="0"/>
              <w:rPr>
                <w:sz w:val="4"/>
                <w:szCs w:val="4"/>
                <w:color w:val="auto"/>
              </w:rPr>
            </w:pPr>
          </w:p>
        </w:tc>
        <w:tc>
          <w:tcPr>
            <w:tcW w:w="1080" w:type="dxa"/>
            <w:vAlign w:val="bottom"/>
            <w:tcBorders>
              <w:bottom w:val="single" w:sz="8" w:color="454545"/>
            </w:tcBorders>
          </w:tcPr>
          <w:p>
            <w:pPr>
              <w:spacing w:after="0"/>
              <w:rPr>
                <w:sz w:val="4"/>
                <w:szCs w:val="4"/>
                <w:color w:val="auto"/>
              </w:rPr>
            </w:pPr>
          </w:p>
        </w:tc>
        <w:tc>
          <w:tcPr>
            <w:tcW w:w="140" w:type="dxa"/>
            <w:vAlign w:val="bottom"/>
            <w:tcBorders>
              <w:bottom w:val="single" w:sz="8" w:color="454545"/>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454545"/>
            </w:tcBorders>
          </w:tcPr>
          <w:p>
            <w:pPr>
              <w:spacing w:after="0"/>
              <w:rPr>
                <w:sz w:val="4"/>
                <w:szCs w:val="4"/>
                <w:color w:val="auto"/>
              </w:rPr>
            </w:pPr>
          </w:p>
        </w:tc>
        <w:tc>
          <w:tcPr>
            <w:tcW w:w="700" w:type="dxa"/>
            <w:vAlign w:val="bottom"/>
            <w:tcBorders>
              <w:bottom w:val="single" w:sz="8" w:color="454545"/>
            </w:tcBorders>
          </w:tcPr>
          <w:p>
            <w:pPr>
              <w:spacing w:after="0"/>
              <w:rPr>
                <w:sz w:val="4"/>
                <w:szCs w:val="4"/>
                <w:color w:val="auto"/>
              </w:rPr>
            </w:pPr>
          </w:p>
        </w:tc>
        <w:tc>
          <w:tcPr>
            <w:tcW w:w="220" w:type="dxa"/>
            <w:vAlign w:val="bottom"/>
            <w:tcBorders>
              <w:bottom w:val="single" w:sz="8" w:color="454545"/>
            </w:tcBorders>
          </w:tcPr>
          <w:p>
            <w:pPr>
              <w:spacing w:after="0"/>
              <w:rPr>
                <w:sz w:val="4"/>
                <w:szCs w:val="4"/>
                <w:color w:val="auto"/>
              </w:rPr>
            </w:pPr>
          </w:p>
        </w:tc>
        <w:tc>
          <w:tcPr>
            <w:tcW w:w="80" w:type="dxa"/>
            <w:vAlign w:val="bottom"/>
            <w:tcBorders>
              <w:bottom w:val="single" w:sz="8" w:color="454545"/>
            </w:tcBorders>
          </w:tcPr>
          <w:p>
            <w:pPr>
              <w:spacing w:after="0"/>
              <w:rPr>
                <w:sz w:val="4"/>
                <w:szCs w:val="4"/>
                <w:color w:val="auto"/>
              </w:rPr>
            </w:pPr>
          </w:p>
        </w:tc>
        <w:tc>
          <w:tcPr>
            <w:tcW w:w="800" w:type="dxa"/>
            <w:vAlign w:val="bottom"/>
            <w:tcBorders>
              <w:bottom w:val="single" w:sz="8" w:color="454545"/>
            </w:tcBorders>
          </w:tcPr>
          <w:p>
            <w:pPr>
              <w:spacing w:after="0"/>
              <w:rPr>
                <w:sz w:val="4"/>
                <w:szCs w:val="4"/>
                <w:color w:val="auto"/>
              </w:rPr>
            </w:pPr>
          </w:p>
        </w:tc>
        <w:tc>
          <w:tcPr>
            <w:tcW w:w="660" w:type="dxa"/>
            <w:vAlign w:val="bottom"/>
            <w:tcBorders>
              <w:bottom w:val="single" w:sz="8" w:color="454545"/>
            </w:tcBorders>
          </w:tcPr>
          <w:p>
            <w:pPr>
              <w:spacing w:after="0"/>
              <w:rPr>
                <w:sz w:val="4"/>
                <w:szCs w:val="4"/>
                <w:color w:val="auto"/>
              </w:rPr>
            </w:pPr>
          </w:p>
        </w:tc>
        <w:tc>
          <w:tcPr>
            <w:tcW w:w="260" w:type="dxa"/>
            <w:vAlign w:val="bottom"/>
            <w:tcBorders>
              <w:bottom w:val="single" w:sz="8" w:color="454545"/>
            </w:tcBorders>
          </w:tcPr>
          <w:p>
            <w:pPr>
              <w:spacing w:after="0"/>
              <w:rPr>
                <w:sz w:val="4"/>
                <w:szCs w:val="4"/>
                <w:color w:val="auto"/>
              </w:rPr>
            </w:pPr>
          </w:p>
        </w:tc>
        <w:tc>
          <w:tcPr>
            <w:tcW w:w="1220" w:type="dxa"/>
            <w:vAlign w:val="bottom"/>
            <w:tcBorders>
              <w:bottom w:val="single" w:sz="8" w:color="454545"/>
            </w:tcBorders>
          </w:tcPr>
          <w:p>
            <w:pPr>
              <w:spacing w:after="0"/>
              <w:rPr>
                <w:sz w:val="4"/>
                <w:szCs w:val="4"/>
                <w:color w:val="auto"/>
              </w:rPr>
            </w:pPr>
          </w:p>
        </w:tc>
      </w:tr>
      <w:tr>
        <w:trPr>
          <w:trHeight w:val="209"/>
        </w:trPr>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ind w:left="180"/>
              <w:spacing w:after="0"/>
              <w:rPr>
                <w:sz w:val="20"/>
                <w:szCs w:val="20"/>
                <w:color w:val="auto"/>
              </w:rPr>
            </w:pPr>
            <w:r>
              <w:rPr>
                <w:rFonts w:ascii="Arial" w:cs="Arial" w:eastAsia="Arial" w:hAnsi="Arial"/>
                <w:sz w:val="16"/>
                <w:szCs w:val="16"/>
                <w:b w:val="1"/>
                <w:bCs w:val="1"/>
                <w:color w:val="454545"/>
              </w:rPr>
              <w:t>% organic*</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454545"/>
              </w:rPr>
              <w:t>% organic*</w:t>
            </w:r>
          </w:p>
        </w:tc>
      </w:tr>
      <w:tr>
        <w:trPr>
          <w:trHeight w:val="223"/>
        </w:trPr>
        <w:tc>
          <w:tcPr>
            <w:tcW w:w="2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239"/>
              <w:spacing w:after="0"/>
              <w:rPr>
                <w:sz w:val="20"/>
                <w:szCs w:val="20"/>
                <w:color w:val="auto"/>
              </w:rPr>
            </w:pPr>
            <w:r>
              <w:rPr>
                <w:rFonts w:ascii="Arial" w:cs="Arial" w:eastAsia="Arial" w:hAnsi="Arial"/>
                <w:sz w:val="16"/>
                <w:szCs w:val="16"/>
                <w:b w:val="1"/>
                <w:bCs w:val="1"/>
                <w:color w:val="454545"/>
                <w:w w:val="95"/>
              </w:rPr>
              <w:t>2026</w:t>
            </w:r>
          </w:p>
        </w:tc>
        <w:tc>
          <w:tcPr>
            <w:tcW w:w="26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2025</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454545"/>
              </w:rPr>
              <w:t>% change</w:t>
            </w: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454545"/>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b w:val="1"/>
                <w:bCs w:val="1"/>
                <w:color w:val="454545"/>
                <w:w w:val="95"/>
              </w:rPr>
              <w:t>2026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2025</w:t>
            </w: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 change</w:t>
            </w:r>
          </w:p>
        </w:tc>
        <w:tc>
          <w:tcPr>
            <w:tcW w:w="1220" w:type="dxa"/>
            <w:vAlign w:val="bottom"/>
          </w:tcPr>
          <w:p>
            <w:pPr>
              <w:jc w:val="right"/>
              <w:ind w:right="259"/>
              <w:spacing w:after="0"/>
              <w:rPr>
                <w:sz w:val="20"/>
                <w:szCs w:val="20"/>
                <w:color w:val="auto"/>
              </w:rPr>
            </w:pPr>
            <w:r>
              <w:rPr>
                <w:rFonts w:ascii="Arial" w:cs="Arial" w:eastAsia="Arial" w:hAnsi="Arial"/>
                <w:sz w:val="16"/>
                <w:szCs w:val="16"/>
                <w:b w:val="1"/>
                <w:bCs w:val="1"/>
                <w:color w:val="454545"/>
              </w:rPr>
              <w:t>change</w:t>
            </w:r>
          </w:p>
        </w:tc>
      </w:tr>
      <w:tr>
        <w:trPr>
          <w:trHeight w:val="21"/>
        </w:trPr>
        <w:tc>
          <w:tcPr>
            <w:tcW w:w="26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66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r>
      <w:tr>
        <w:trPr>
          <w:trHeight w:val="230"/>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Segment revenues</w:t>
            </w:r>
          </w:p>
        </w:tc>
        <w:tc>
          <w:tcPr>
            <w:tcW w:w="34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66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r>
      <w:tr>
        <w:trPr>
          <w:trHeight w:val="228"/>
        </w:trPr>
        <w:tc>
          <w:tcPr>
            <w:tcW w:w="2620" w:type="dxa"/>
            <w:vAlign w:val="bottom"/>
          </w:tcPr>
          <w:p>
            <w:pPr>
              <w:ind w:left="260"/>
              <w:spacing w:after="0"/>
              <w:rPr>
                <w:sz w:val="20"/>
                <w:szCs w:val="20"/>
                <w:color w:val="auto"/>
              </w:rPr>
            </w:pPr>
            <w:r>
              <w:rPr>
                <w:rFonts w:ascii="Arial" w:cs="Arial" w:eastAsia="Arial" w:hAnsi="Arial"/>
                <w:sz w:val="16"/>
                <w:szCs w:val="16"/>
                <w:color w:val="auto"/>
              </w:rPr>
              <w:t>AIS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3,873</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3,649</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6.1%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11,284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10,522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12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9"/>
        </w:trPr>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77"/>
        </w:trPr>
        <w:tc>
          <w:tcPr>
            <w:tcW w:w="2620" w:type="dxa"/>
            <w:vAlign w:val="bottom"/>
            <w:tcBorders>
              <w:bottom w:val="single" w:sz="8" w:color="E4E4E4"/>
            </w:tcBorders>
            <w:shd w:val="clear" w:color="auto" w:fill="E4E4E4"/>
          </w:tcPr>
          <w:p>
            <w:pPr>
              <w:ind w:left="260"/>
              <w:spacing w:after="0"/>
              <w:rPr>
                <w:sz w:val="20"/>
                <w:szCs w:val="20"/>
                <w:color w:val="auto"/>
              </w:rPr>
            </w:pPr>
            <w:r>
              <w:rPr>
                <w:rFonts w:ascii="Arial" w:cs="Arial" w:eastAsia="Arial" w:hAnsi="Arial"/>
                <w:sz w:val="16"/>
                <w:szCs w:val="16"/>
                <w:color w:val="auto"/>
              </w:rPr>
              <w:t>PDx</w:t>
            </w:r>
          </w:p>
        </w:tc>
        <w:tc>
          <w:tcPr>
            <w:tcW w:w="340" w:type="dxa"/>
            <w:vAlign w:val="bottom"/>
            <w:tcBorders>
              <w:bottom w:val="single" w:sz="8" w:color="E4E4E4"/>
            </w:tcBorders>
            <w:shd w:val="clear" w:color="auto" w:fill="E4E4E4"/>
          </w:tcPr>
          <w:p>
            <w:pPr>
              <w:spacing w:after="0"/>
              <w:rPr>
                <w:sz w:val="24"/>
                <w:szCs w:val="24"/>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846</w:t>
            </w:r>
          </w:p>
        </w:tc>
        <w:tc>
          <w:tcPr>
            <w:tcW w:w="260" w:type="dxa"/>
            <w:vAlign w:val="bottom"/>
            <w:tcBorders>
              <w:bottom w:val="single" w:sz="8" w:color="E4E4E4"/>
            </w:tcBorders>
            <w:shd w:val="clear" w:color="auto" w:fill="E4E4E4"/>
          </w:tcPr>
          <w:p>
            <w:pPr>
              <w:spacing w:after="0"/>
              <w:rPr>
                <w:sz w:val="24"/>
                <w:szCs w:val="24"/>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749</w:t>
            </w:r>
          </w:p>
        </w:tc>
        <w:tc>
          <w:tcPr>
            <w:tcW w:w="940" w:type="dxa"/>
            <w:vAlign w:val="bottom"/>
            <w:tcBorders>
              <w:bottom w:val="single" w:sz="8" w:color="E4E4E4"/>
            </w:tcBorders>
            <w:gridSpan w:val="2"/>
            <w:shd w:val="clear" w:color="auto" w:fill="E4E4E4"/>
          </w:tcPr>
          <w:p>
            <w:pPr>
              <w:jc w:val="right"/>
              <w:ind w:right="80"/>
              <w:spacing w:after="0"/>
              <w:rPr>
                <w:sz w:val="20"/>
                <w:szCs w:val="20"/>
                <w:color w:val="auto"/>
              </w:rPr>
            </w:pPr>
            <w:r>
              <w:rPr>
                <w:rFonts w:ascii="Arial" w:cs="Arial" w:eastAsia="Arial" w:hAnsi="Arial"/>
                <w:sz w:val="16"/>
                <w:szCs w:val="16"/>
                <w:color w:val="auto"/>
              </w:rPr>
              <w:t>13.0%</w:t>
            </w:r>
          </w:p>
        </w:tc>
        <w:tc>
          <w:tcPr>
            <w:tcW w:w="12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13.8%</w:t>
            </w:r>
          </w:p>
        </w:tc>
        <w:tc>
          <w:tcPr>
            <w:tcW w:w="80" w:type="dxa"/>
            <w:vAlign w:val="bottom"/>
            <w:tcBorders>
              <w:bottom w:val="single" w:sz="8" w:color="E4E4E4"/>
            </w:tcBorders>
            <w:shd w:val="clear" w:color="auto" w:fill="E4E4E4"/>
          </w:tcPr>
          <w:p>
            <w:pPr>
              <w:spacing w:after="0"/>
              <w:rPr>
                <w:sz w:val="24"/>
                <w:szCs w:val="24"/>
                <w:color w:val="auto"/>
              </w:rPr>
            </w:pPr>
          </w:p>
        </w:tc>
        <w:tc>
          <w:tcPr>
            <w:tcW w:w="340" w:type="dxa"/>
            <w:vAlign w:val="bottom"/>
            <w:tcBorders>
              <w:bottom w:val="single" w:sz="8" w:color="E4E4E4"/>
            </w:tcBorders>
            <w:shd w:val="clear" w:color="auto" w:fill="E4E4E4"/>
          </w:tcPr>
          <w:p>
            <w:pPr>
              <w:spacing w:after="0"/>
              <w:rPr>
                <w:sz w:val="24"/>
                <w:szCs w:val="24"/>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2,458</w:t>
            </w:r>
          </w:p>
        </w:tc>
        <w:tc>
          <w:tcPr>
            <w:tcW w:w="220" w:type="dxa"/>
            <w:vAlign w:val="bottom"/>
            <w:tcBorders>
              <w:bottom w:val="single" w:sz="8" w:color="E4E4E4"/>
            </w:tcBorders>
            <w:shd w:val="clear" w:color="auto" w:fill="E4E4E4"/>
          </w:tcPr>
          <w:p>
            <w:pPr>
              <w:spacing w:after="0"/>
              <w:rPr>
                <w:sz w:val="24"/>
                <w:szCs w:val="24"/>
                <w:color w:val="auto"/>
              </w:rPr>
            </w:pPr>
          </w:p>
        </w:tc>
        <w:tc>
          <w:tcPr>
            <w:tcW w:w="8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2,110</w:t>
            </w:r>
          </w:p>
        </w:tc>
        <w:tc>
          <w:tcPr>
            <w:tcW w:w="9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16.5%</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12.8%</w:t>
            </w:r>
          </w:p>
        </w:tc>
      </w:tr>
      <w:tr>
        <w:trPr>
          <w:trHeight w:val="268"/>
        </w:trPr>
        <w:tc>
          <w:tcPr>
            <w:tcW w:w="2620" w:type="dxa"/>
            <w:vAlign w:val="bottom"/>
          </w:tcPr>
          <w:p>
            <w:pPr>
              <w:ind w:left="260"/>
              <w:spacing w:after="0"/>
              <w:rPr>
                <w:sz w:val="20"/>
                <w:szCs w:val="20"/>
                <w:color w:val="auto"/>
              </w:rPr>
            </w:pPr>
            <w:r>
              <w:rPr>
                <w:rFonts w:ascii="Arial" w:cs="Arial" w:eastAsia="Arial" w:hAnsi="Arial"/>
                <w:sz w:val="16"/>
                <w:szCs w:val="16"/>
                <w:color w:val="auto"/>
              </w:rPr>
              <w:t>PCS</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793</w:t>
            </w: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731</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8.5%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2,171</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2,262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12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9"/>
        </w:trPr>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0"/>
        </w:trPr>
        <w:tc>
          <w:tcPr>
            <w:tcW w:w="26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E4E4E4"/>
          </w:tcPr>
          <w:p>
            <w:pPr>
              <w:spacing w:after="0"/>
              <w:rPr>
                <w:sz w:val="24"/>
                <w:szCs w:val="24"/>
                <w:color w:val="auto"/>
              </w:rPr>
            </w:pPr>
          </w:p>
        </w:tc>
        <w:tc>
          <w:tcPr>
            <w:tcW w:w="6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shd w:val="clear" w:color="auto" w:fill="E4E4E4"/>
          </w:tcPr>
          <w:p>
            <w:pPr>
              <w:spacing w:after="0"/>
              <w:rPr>
                <w:sz w:val="24"/>
                <w:szCs w:val="24"/>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580" w:type="dxa"/>
            <w:vAlign w:val="bottom"/>
            <w:tcBorders>
              <w:bottom w:val="single" w:sz="8" w:color="auto"/>
            </w:tcBorders>
            <w:shd w:val="clear" w:color="auto" w:fill="E4E4E4"/>
          </w:tcPr>
          <w:p>
            <w:pPr>
              <w:spacing w:after="0"/>
              <w:rPr>
                <w:sz w:val="24"/>
                <w:szCs w:val="24"/>
                <w:color w:val="auto"/>
              </w:rPr>
            </w:pPr>
          </w:p>
        </w:tc>
        <w:tc>
          <w:tcPr>
            <w:tcW w:w="360" w:type="dxa"/>
            <w:vAlign w:val="bottom"/>
            <w:tcBorders>
              <w:bottom w:val="single" w:sz="8" w:color="auto"/>
            </w:tcBorders>
            <w:shd w:val="clear" w:color="auto" w:fill="E4E4E4"/>
          </w:tcPr>
          <w:p>
            <w:pPr>
              <w:spacing w:after="0"/>
              <w:rPr>
                <w:sz w:val="24"/>
                <w:szCs w:val="24"/>
                <w:color w:val="auto"/>
              </w:rPr>
            </w:pPr>
          </w:p>
        </w:tc>
        <w:tc>
          <w:tcPr>
            <w:tcW w:w="1080" w:type="dxa"/>
            <w:vAlign w:val="bottom"/>
            <w:tcBorders>
              <w:bottom w:val="single" w:sz="8" w:color="auto"/>
            </w:tcBorders>
            <w:shd w:val="clear" w:color="auto" w:fill="E4E4E4"/>
          </w:tcPr>
          <w:p>
            <w:pPr>
              <w:spacing w:after="0"/>
              <w:rPr>
                <w:sz w:val="24"/>
                <w:szCs w:val="24"/>
                <w:color w:val="auto"/>
              </w:rPr>
            </w:pPr>
          </w:p>
        </w:tc>
        <w:tc>
          <w:tcPr>
            <w:tcW w:w="140" w:type="dxa"/>
            <w:vAlign w:val="bottom"/>
            <w:tcBorders>
              <w:bottom w:val="single" w:sz="8" w:color="auto"/>
            </w:tcBorders>
            <w:shd w:val="clear" w:color="auto" w:fill="E4E4E4"/>
          </w:tcPr>
          <w:p>
            <w:pPr>
              <w:spacing w:after="0"/>
              <w:rPr>
                <w:sz w:val="24"/>
                <w:szCs w:val="24"/>
                <w:color w:val="auto"/>
              </w:rPr>
            </w:pPr>
          </w:p>
        </w:tc>
        <w:tc>
          <w:tcPr>
            <w:tcW w:w="80" w:type="dxa"/>
            <w:vAlign w:val="bottom"/>
            <w:tcBorders>
              <w:bottom w:val="single" w:sz="8" w:color="auto"/>
            </w:tcBorders>
            <w:shd w:val="clear" w:color="auto" w:fill="E4E4E4"/>
          </w:tcPr>
          <w:p>
            <w:pPr>
              <w:spacing w:after="0"/>
              <w:rPr>
                <w:sz w:val="24"/>
                <w:szCs w:val="24"/>
                <w:color w:val="auto"/>
              </w:rPr>
            </w:pPr>
          </w:p>
        </w:tc>
        <w:tc>
          <w:tcPr>
            <w:tcW w:w="340" w:type="dxa"/>
            <w:vAlign w:val="bottom"/>
            <w:tcBorders>
              <w:bottom w:val="single" w:sz="8" w:color="auto"/>
            </w:tcBorders>
            <w:shd w:val="clear" w:color="auto" w:fill="E4E4E4"/>
          </w:tcPr>
          <w:p>
            <w:pPr>
              <w:spacing w:after="0"/>
              <w:rPr>
                <w:sz w:val="24"/>
                <w:szCs w:val="24"/>
                <w:color w:val="auto"/>
              </w:rPr>
            </w:pPr>
          </w:p>
        </w:tc>
        <w:tc>
          <w:tcPr>
            <w:tcW w:w="7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220" w:type="dxa"/>
            <w:vAlign w:val="bottom"/>
            <w:tcBorders>
              <w:bottom w:val="single" w:sz="8" w:color="auto"/>
            </w:tcBorders>
            <w:shd w:val="clear" w:color="auto" w:fill="E4E4E4"/>
          </w:tcPr>
          <w:p>
            <w:pPr>
              <w:spacing w:after="0"/>
              <w:rPr>
                <w:sz w:val="24"/>
                <w:szCs w:val="24"/>
                <w:color w:val="auto"/>
              </w:rPr>
            </w:pPr>
          </w:p>
        </w:tc>
        <w:tc>
          <w:tcPr>
            <w:tcW w:w="80" w:type="dxa"/>
            <w:vAlign w:val="bottom"/>
            <w:tcBorders>
              <w:bottom w:val="single" w:sz="8" w:color="auto"/>
            </w:tcBorders>
            <w:shd w:val="clear" w:color="auto" w:fill="E4E4E4"/>
          </w:tcPr>
          <w:p>
            <w:pPr>
              <w:spacing w:after="0"/>
              <w:rPr>
                <w:sz w:val="24"/>
                <w:szCs w:val="24"/>
                <w:color w:val="auto"/>
              </w:rPr>
            </w:pPr>
          </w:p>
        </w:tc>
        <w:tc>
          <w:tcPr>
            <w:tcW w:w="8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660" w:type="dxa"/>
            <w:vAlign w:val="bottom"/>
            <w:tcBorders>
              <w:bottom w:val="single" w:sz="8" w:color="auto"/>
            </w:tcBorders>
            <w:shd w:val="clear" w:color="auto" w:fill="E4E4E4"/>
          </w:tcPr>
          <w:p>
            <w:pPr>
              <w:spacing w:after="0"/>
              <w:rPr>
                <w:sz w:val="24"/>
                <w:szCs w:val="24"/>
                <w:color w:val="auto"/>
              </w:rPr>
            </w:pPr>
          </w:p>
        </w:tc>
        <w:tc>
          <w:tcPr>
            <w:tcW w:w="260" w:type="dxa"/>
            <w:vAlign w:val="bottom"/>
            <w:tcBorders>
              <w:bottom w:val="single" w:sz="8" w:color="auto"/>
            </w:tcBorders>
            <w:shd w:val="clear" w:color="auto" w:fill="E4E4E4"/>
          </w:tcPr>
          <w:p>
            <w:pPr>
              <w:spacing w:after="0"/>
              <w:rPr>
                <w:sz w:val="24"/>
                <w:szCs w:val="24"/>
                <w:color w:val="auto"/>
              </w:rPr>
            </w:pPr>
          </w:p>
        </w:tc>
        <w:tc>
          <w:tcPr>
            <w:tcW w:w="1220" w:type="dxa"/>
            <w:vAlign w:val="bottom"/>
            <w:tcBorders>
              <w:bottom w:val="single" w:sz="8" w:color="auto"/>
            </w:tcBorders>
            <w:shd w:val="clear" w:color="auto" w:fill="E4E4E4"/>
          </w:tcPr>
          <w:p>
            <w:pPr>
              <w:spacing w:after="0"/>
              <w:rPr>
                <w:sz w:val="24"/>
                <w:szCs w:val="24"/>
                <w:color w:val="auto"/>
              </w:rPr>
            </w:pPr>
          </w:p>
        </w:tc>
      </w:tr>
      <w:tr>
        <w:trPr>
          <w:trHeight w:val="276"/>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5,513</w:t>
            </w:r>
          </w:p>
        </w:tc>
        <w:tc>
          <w:tcPr>
            <w:tcW w:w="2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5,143</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7.2%</w:t>
            </w: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6.2%</w:t>
            </w:r>
          </w:p>
        </w:tc>
        <w:tc>
          <w:tcPr>
            <w:tcW w:w="8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15,939</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14,927</w:t>
            </w: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6.8%</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4.2%</w:t>
            </w: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240" w:hanging="252"/>
        <w:spacing w:after="0" w:line="304"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HealthCare Financial Services, which does not meet the definition of an operating segment.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60" w:type="dxa"/>
            <w:vAlign w:val="bottom"/>
          </w:tcPr>
          <w:p>
            <w:pPr>
              <w:ind w:left="20"/>
              <w:spacing w:after="0"/>
              <w:rPr>
                <w:sz w:val="20"/>
                <w:szCs w:val="20"/>
                <w:color w:val="auto"/>
              </w:rPr>
            </w:pPr>
            <w:r>
              <w:rPr>
                <w:rFonts w:ascii="Arial" w:cs="Arial" w:eastAsia="Arial" w:hAnsi="Arial"/>
                <w:sz w:val="16"/>
                <w:szCs w:val="16"/>
                <w:b w:val="1"/>
                <w:bCs w:val="1"/>
                <w:color w:val="auto"/>
              </w:rPr>
              <w:t>Revenues by Region</w:t>
            </w:r>
          </w:p>
        </w:tc>
        <w:tc>
          <w:tcPr>
            <w:tcW w:w="3520" w:type="dxa"/>
            <w:vAlign w:val="bottom"/>
            <w:gridSpan w:val="6"/>
          </w:tcPr>
          <w:p>
            <w:pPr>
              <w:ind w:left="100"/>
              <w:spacing w:after="0"/>
              <w:rPr>
                <w:sz w:val="20"/>
                <w:szCs w:val="20"/>
                <w:color w:val="auto"/>
              </w:rPr>
            </w:pPr>
            <w:r>
              <w:rPr>
                <w:rFonts w:ascii="Arial" w:cs="Arial" w:eastAsia="Arial" w:hAnsi="Arial"/>
                <w:sz w:val="16"/>
                <w:szCs w:val="16"/>
                <w:b w:val="1"/>
                <w:bCs w:val="1"/>
                <w:color w:val="454545"/>
              </w:rPr>
              <w:t>For the three months ended September 30</w:t>
            </w:r>
          </w:p>
        </w:tc>
        <w:tc>
          <w:tcPr>
            <w:tcW w:w="120" w:type="dxa"/>
            <w:vAlign w:val="bottom"/>
          </w:tcPr>
          <w:p>
            <w:pPr>
              <w:spacing w:after="0"/>
              <w:rPr>
                <w:sz w:val="21"/>
                <w:szCs w:val="21"/>
                <w:color w:val="auto"/>
              </w:rPr>
            </w:pPr>
          </w:p>
        </w:tc>
        <w:tc>
          <w:tcPr>
            <w:tcW w:w="3340" w:type="dxa"/>
            <w:vAlign w:val="bottom"/>
            <w:gridSpan w:val="4"/>
          </w:tcPr>
          <w:p>
            <w:pPr>
              <w:jc w:val="right"/>
              <w:ind w:right="5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26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r>
      <w:tr>
        <w:trPr>
          <w:trHeight w:val="229"/>
        </w:trPr>
        <w:tc>
          <w:tcPr>
            <w:tcW w:w="4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2026</w:t>
            </w:r>
          </w:p>
        </w:tc>
        <w:tc>
          <w:tcPr>
            <w:tcW w:w="280" w:type="dxa"/>
            <w:vAlign w:val="bottom"/>
          </w:tcPr>
          <w:p>
            <w:pPr>
              <w:spacing w:after="0"/>
              <w:rPr>
                <w:sz w:val="19"/>
                <w:szCs w:val="19"/>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2025</w:t>
            </w: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454545"/>
              </w:rPr>
              <w:t>% change</w:t>
            </w:r>
          </w:p>
        </w:tc>
        <w:tc>
          <w:tcPr>
            <w:tcW w:w="120" w:type="dxa"/>
            <w:vAlign w:val="bottom"/>
          </w:tcPr>
          <w:p>
            <w:pPr>
              <w:spacing w:after="0"/>
              <w:rPr>
                <w:sz w:val="19"/>
                <w:szCs w:val="19"/>
                <w:color w:val="auto"/>
              </w:rPr>
            </w:pPr>
          </w:p>
        </w:tc>
        <w:tc>
          <w:tcPr>
            <w:tcW w:w="102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2026</w:t>
            </w:r>
          </w:p>
        </w:tc>
        <w:tc>
          <w:tcPr>
            <w:tcW w:w="280" w:type="dxa"/>
            <w:vAlign w:val="bottom"/>
          </w:tcPr>
          <w:p>
            <w:pPr>
              <w:spacing w:after="0"/>
              <w:rPr>
                <w:sz w:val="19"/>
                <w:szCs w:val="19"/>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2025</w:t>
            </w: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426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r>
      <w:tr>
        <w:trPr>
          <w:trHeight w:val="257"/>
        </w:trPr>
        <w:tc>
          <w:tcPr>
            <w:tcW w:w="4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United States and Canada (“USCAN”)</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2,672</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2,358</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7,509</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6,934</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8.3%</w:t>
            </w:r>
          </w:p>
        </w:tc>
      </w:tr>
      <w:tr>
        <w:trPr>
          <w:trHeight w:val="241"/>
        </w:trPr>
        <w:tc>
          <w:tcPr>
            <w:tcW w:w="4260" w:type="dxa"/>
            <w:vAlign w:val="bottom"/>
          </w:tcPr>
          <w:p>
            <w:pPr>
              <w:ind w:left="20"/>
              <w:spacing w:after="0"/>
              <w:rPr>
                <w:sz w:val="20"/>
                <w:szCs w:val="20"/>
                <w:color w:val="auto"/>
              </w:rPr>
            </w:pPr>
            <w:r>
              <w:rPr>
                <w:rFonts w:ascii="Arial" w:cs="Arial" w:eastAsia="Arial" w:hAnsi="Arial"/>
                <w:sz w:val="16"/>
                <w:szCs w:val="16"/>
                <w:color w:val="auto"/>
              </w:rPr>
              <w:t>Europe, the Middle East, and Africa (“EMEA”)</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1,354</w:t>
            </w:r>
          </w:p>
        </w:tc>
        <w:tc>
          <w:tcPr>
            <w:tcW w:w="28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1,360</w:t>
            </w:r>
          </w:p>
        </w:tc>
        <w:tc>
          <w:tcPr>
            <w:tcW w:w="10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4,042</w:t>
            </w:r>
          </w:p>
        </w:tc>
        <w:tc>
          <w:tcPr>
            <w:tcW w:w="28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3,802</w:t>
            </w:r>
          </w:p>
        </w:tc>
        <w:tc>
          <w:tcPr>
            <w:tcW w:w="10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42"/>
        </w:trPr>
        <w:tc>
          <w:tcPr>
            <w:tcW w:w="4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4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China region</w:t>
            </w:r>
          </w:p>
        </w:tc>
        <w:tc>
          <w:tcPr>
            <w:tcW w:w="260" w:type="dxa"/>
            <w:vAlign w:val="bottom"/>
            <w:tcBorders>
              <w:bottom w:val="single" w:sz="8" w:color="E4E4E4"/>
            </w:tcBorders>
            <w:shd w:val="clear" w:color="auto" w:fill="E4E4E4"/>
          </w:tcPr>
          <w:p>
            <w:pPr>
              <w:spacing w:after="0"/>
              <w:rPr>
                <w:sz w:val="22"/>
                <w:szCs w:val="22"/>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586</w:t>
            </w:r>
          </w:p>
        </w:tc>
        <w:tc>
          <w:tcPr>
            <w:tcW w:w="28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547</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1,735</w:t>
            </w:r>
          </w:p>
        </w:tc>
        <w:tc>
          <w:tcPr>
            <w:tcW w:w="28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1,704</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r>
      <w:tr>
        <w:trPr>
          <w:trHeight w:val="241"/>
        </w:trPr>
        <w:tc>
          <w:tcPr>
            <w:tcW w:w="4260" w:type="dxa"/>
            <w:vAlign w:val="bottom"/>
          </w:tcPr>
          <w:p>
            <w:pPr>
              <w:ind w:left="20"/>
              <w:spacing w:after="0"/>
              <w:rPr>
                <w:sz w:val="20"/>
                <w:szCs w:val="20"/>
                <w:color w:val="auto"/>
              </w:rPr>
            </w:pPr>
            <w:r>
              <w:rPr>
                <w:rFonts w:ascii="Arial" w:cs="Arial" w:eastAsia="Arial" w:hAnsi="Arial"/>
                <w:sz w:val="16"/>
                <w:szCs w:val="16"/>
                <w:color w:val="auto"/>
              </w:rPr>
              <w:t>Rest of World</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901</w:t>
            </w:r>
          </w:p>
        </w:tc>
        <w:tc>
          <w:tcPr>
            <w:tcW w:w="28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878</w:t>
            </w: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2,652</w:t>
            </w:r>
          </w:p>
        </w:tc>
        <w:tc>
          <w:tcPr>
            <w:tcW w:w="28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2,487</w:t>
            </w:r>
          </w:p>
        </w:tc>
        <w:tc>
          <w:tcPr>
            <w:tcW w:w="10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43"/>
        </w:trPr>
        <w:tc>
          <w:tcPr>
            <w:tcW w:w="42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7"/>
        </w:trPr>
        <w:tc>
          <w:tcPr>
            <w:tcW w:w="4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5,513</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5,143</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7.2%</w:t>
            </w:r>
          </w:p>
        </w:tc>
        <w:tc>
          <w:tcPr>
            <w:tcW w:w="10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15,939</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14,927</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6.8%</w:t>
            </w:r>
          </w:p>
        </w:tc>
      </w:tr>
      <w:tr>
        <w:trPr>
          <w:trHeight w:val="20"/>
        </w:trPr>
        <w:tc>
          <w:tcPr>
            <w:tcW w:w="4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7"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 xml:space="preserve">For the </w:t>
      </w:r>
      <w:r>
        <w:rPr>
          <w:rFonts w:ascii="Arial" w:cs="Arial" w:eastAsia="Arial" w:hAnsi="Arial"/>
          <w:sz w:val="16"/>
          <w:szCs w:val="16"/>
          <w:i w:val="1"/>
          <w:iCs w:val="1"/>
          <w:color w:val="000000"/>
        </w:rPr>
        <w:t>three months ended</w:t>
      </w:r>
      <w:r>
        <w:rPr>
          <w:rFonts w:ascii="Arial" w:cs="Arial" w:eastAsia="Arial" w:hAnsi="Arial"/>
          <w:sz w:val="16"/>
          <w:szCs w:val="16"/>
          <w:i w:val="1"/>
          <w:iCs w:val="1"/>
          <w:color w:val="231F20"/>
        </w:rPr>
        <w:t xml:space="preserve"> September 30, 2026</w:t>
      </w:r>
    </w:p>
    <w:p>
      <w:pPr>
        <w:spacing w:after="0" w:line="165"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color w:val="auto"/>
        </w:rPr>
        <w:t>Total revenues were $5,513 million, growing 7.2% as reported and 6.2% organically*. Sales of products increased 6.7% or $227 million primarily driven by strong growth across all segments. Sales of services increased 8.1% or $142 million primarily driven by the acquisition of Intelerad and growth in new and existing customer contractual agreements.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were as follows:</w:t>
      </w:r>
    </w:p>
    <w:p>
      <w:pPr>
        <w:spacing w:after="0" w:line="262" w:lineRule="exact"/>
        <w:rPr>
          <w:sz w:val="20"/>
          <w:szCs w:val="20"/>
          <w:color w:val="auto"/>
        </w:rPr>
      </w:pPr>
    </w:p>
    <w:p>
      <w:pPr>
        <w:ind w:left="660" w:hanging="328"/>
        <w:spacing w:after="0" w:line="275"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AIS segment revenues were $3,873 million, growing 6.1% or $224 million as reported due to an increase in Organic revenue* and the acquisition of Intelerad. Organic revenue* grew 4.5% driven by strong growth in the Computed Tomography (“CT”), CardioVascular &amp; Interventional Solutions (“CVIS”), and Surgical Innovations product lines;</w:t>
      </w:r>
    </w:p>
    <w:p>
      <w:pPr>
        <w:spacing w:after="0" w:line="42" w:lineRule="exact"/>
        <w:rPr>
          <w:rFonts w:ascii="Arial" w:cs="Arial" w:eastAsia="Arial" w:hAnsi="Arial"/>
          <w:sz w:val="16"/>
          <w:szCs w:val="16"/>
          <w:color w:val="auto"/>
        </w:rPr>
      </w:pPr>
    </w:p>
    <w:p>
      <w:pPr>
        <w:ind w:left="660" w:right="220" w:hanging="328"/>
        <w:spacing w:after="0" w:line="286" w:lineRule="auto"/>
        <w:tabs>
          <w:tab w:leader="none" w:pos="649" w:val="left"/>
        </w:tabs>
        <w:numPr>
          <w:ilvl w:val="0"/>
          <w:numId w:val="19"/>
        </w:numPr>
        <w:rPr>
          <w:rFonts w:ascii="Arial" w:cs="Arial" w:eastAsia="Arial" w:hAnsi="Arial"/>
          <w:sz w:val="16"/>
          <w:szCs w:val="16"/>
          <w:color w:val="231F20"/>
        </w:rPr>
      </w:pPr>
      <w:r>
        <w:rPr>
          <w:rFonts w:ascii="Arial" w:cs="Arial" w:eastAsia="Arial" w:hAnsi="Arial"/>
          <w:sz w:val="16"/>
          <w:szCs w:val="16"/>
          <w:color w:val="auto"/>
        </w:rPr>
        <w:t>PDx segment revenues were $846 million, growing 13.0% or $97 million as reported, driven by contrast media and radiopharmaceutical volume, and price; and</w:t>
      </w:r>
    </w:p>
    <w:p>
      <w:pPr>
        <w:spacing w:after="0" w:line="34" w:lineRule="exact"/>
        <w:rPr>
          <w:rFonts w:ascii="Arial" w:cs="Arial" w:eastAsia="Arial" w:hAnsi="Arial"/>
          <w:sz w:val="16"/>
          <w:szCs w:val="16"/>
          <w:color w:val="231F20"/>
        </w:rPr>
      </w:pPr>
    </w:p>
    <w:p>
      <w:pPr>
        <w:ind w:left="660" w:right="40" w:hanging="328"/>
        <w:spacing w:after="0" w:line="304" w:lineRule="auto"/>
        <w:tabs>
          <w:tab w:leader="none" w:pos="649" w:val="left"/>
        </w:tabs>
        <w:numPr>
          <w:ilvl w:val="0"/>
          <w:numId w:val="19"/>
        </w:numPr>
        <w:rPr>
          <w:rFonts w:ascii="Arial" w:cs="Arial" w:eastAsia="Arial" w:hAnsi="Arial"/>
          <w:sz w:val="16"/>
          <w:szCs w:val="16"/>
          <w:color w:val="231F20"/>
        </w:rPr>
      </w:pPr>
      <w:r>
        <w:rPr>
          <w:rFonts w:ascii="Arial" w:cs="Arial" w:eastAsia="Arial" w:hAnsi="Arial"/>
          <w:sz w:val="16"/>
          <w:szCs w:val="16"/>
          <w:color w:val="auto"/>
        </w:rPr>
        <w:t>PCS segment revenues were $793 million, growing 8.5% or $62 million, primarily driven by improved product fulfillment in Monitoring and Maternal Infant Care.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regional revenues were as follows:</w:t>
      </w:r>
    </w:p>
    <w:p>
      <w:pPr>
        <w:spacing w:after="0" w:line="262"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USCAN revenues were $2,672 million, growing 13.3% or $314 million, with growth across all segments, inclusive of Intelerad revenues;</w:t>
      </w:r>
    </w:p>
    <w:p>
      <w:pPr>
        <w:spacing w:after="0" w:line="99" w:lineRule="exact"/>
        <w:rPr>
          <w:rFonts w:ascii="Arial" w:cs="Arial" w:eastAsia="Arial" w:hAnsi="Arial"/>
          <w:sz w:val="16"/>
          <w:szCs w:val="16"/>
          <w:color w:val="231F20"/>
        </w:rPr>
      </w:pPr>
    </w:p>
    <w:p>
      <w:pPr>
        <w:ind w:left="660" w:right="340" w:hanging="328"/>
        <w:spacing w:after="0" w:line="286" w:lineRule="auto"/>
        <w:tabs>
          <w:tab w:leader="none" w:pos="649"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EMEA revenues were $1,354 million, decreasing 0.4% or $6 million, primarily driven by unfavorable foreign currency impacts partially offset by growth in AIS revenues;</w:t>
      </w:r>
    </w:p>
    <w:p>
      <w:pPr>
        <w:spacing w:after="0" w:line="34" w:lineRule="exact"/>
        <w:rPr>
          <w:rFonts w:ascii="Arial" w:cs="Arial" w:eastAsia="Arial" w:hAnsi="Arial"/>
          <w:sz w:val="16"/>
          <w:szCs w:val="16"/>
          <w:color w:val="231F20"/>
        </w:rPr>
      </w:pPr>
    </w:p>
    <w:p>
      <w:pPr>
        <w:ind w:left="660" w:right="280" w:hanging="328"/>
        <w:spacing w:after="0" w:line="286" w:lineRule="auto"/>
        <w:tabs>
          <w:tab w:leader="none" w:pos="649"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China region revenues were $586 million, growing 7.1% or $39 million, primarily driven by favorable foreign currency impacts and growth in AIS revenues; and</w:t>
      </w:r>
    </w:p>
    <w:p>
      <w:pPr>
        <w:spacing w:after="0" w:line="34" w:lineRule="exact"/>
        <w:rPr>
          <w:rFonts w:ascii="Arial" w:cs="Arial" w:eastAsia="Arial" w:hAnsi="Arial"/>
          <w:sz w:val="16"/>
          <w:szCs w:val="16"/>
          <w:color w:val="231F20"/>
        </w:rPr>
      </w:pPr>
    </w:p>
    <w:p>
      <w:pPr>
        <w:ind w:left="660" w:right="400" w:hanging="328"/>
        <w:spacing w:after="0" w:line="304" w:lineRule="auto"/>
        <w:tabs>
          <w:tab w:leader="none" w:pos="649"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Rest of World revenues were $901 million, growing 2.6% or $23 million, primarily due to growth in AIS revenues partially offset by unfavorable foreign currency impacts.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nine months ended September 30, 2026</w:t>
      </w:r>
    </w:p>
    <w:p>
      <w:pPr>
        <w:spacing w:after="0" w:line="246"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Total revenues were $15,939 million</w:t>
      </w:r>
      <w:r>
        <w:rPr>
          <w:rFonts w:ascii="Arial" w:cs="Arial" w:eastAsia="Arial" w:hAnsi="Arial"/>
          <w:sz w:val="16"/>
          <w:szCs w:val="16"/>
          <w:color w:val="231F20"/>
        </w:rPr>
        <w:t>,</w:t>
      </w:r>
      <w:r>
        <w:rPr>
          <w:rFonts w:ascii="Arial" w:cs="Arial" w:eastAsia="Arial" w:hAnsi="Arial"/>
          <w:sz w:val="16"/>
          <w:szCs w:val="16"/>
          <w:color w:val="auto"/>
        </w:rPr>
        <w:t xml:space="preserve"> growing 6.8% as reported and 4.2% organically*. Sales of products increased 6.2% or $609 million primarily driven by growth in PDx and AIS revenues, as well as favorable foreign currency impacts, partially offset by declines in PCS revenues. Sales of services increased</w:t>
      </w:r>
    </w:p>
    <w:p>
      <w:pPr>
        <w:ind w:right="180"/>
        <w:spacing w:after="0" w:line="270" w:lineRule="auto"/>
        <w:rPr>
          <w:sz w:val="20"/>
          <w:szCs w:val="20"/>
          <w:color w:val="auto"/>
        </w:rPr>
      </w:pPr>
      <w:r>
        <w:rPr>
          <w:rFonts w:ascii="Arial" w:cs="Arial" w:eastAsia="Arial" w:hAnsi="Arial"/>
          <w:sz w:val="16"/>
          <w:szCs w:val="16"/>
          <w:color w:val="auto"/>
        </w:rPr>
        <w:t>7.8% or $402 million primarily driven by growth in new and existing customer contractual agreements and the acquisition of Intelerad, as well as favorable foreign currency impacts.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were as follows:</w:t>
      </w:r>
    </w:p>
    <w:p>
      <w:pPr>
        <w:spacing w:after="0" w:line="248" w:lineRule="exact"/>
        <w:rPr>
          <w:sz w:val="20"/>
          <w:szCs w:val="20"/>
          <w:color w:val="auto"/>
        </w:rPr>
      </w:pPr>
    </w:p>
    <w:p>
      <w:pPr>
        <w:ind w:left="660" w:right="200" w:hanging="328"/>
        <w:spacing w:after="0" w:line="304"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AIS segment revenues were $11,284 million, growing 7.2% or $762 million as reported due to an increase in Organic revenue*, favorable foreign currency impacts, and the acquisition of Intelerad. Organic revenue* grew 4.5% driven by strong growth in the CT and CVIS product lines;</w:t>
      </w:r>
    </w:p>
    <w:p>
      <w:pPr>
        <w:spacing w:after="0" w:line="19" w:lineRule="exact"/>
        <w:rPr>
          <w:rFonts w:ascii="Arial" w:cs="Arial" w:eastAsia="Arial" w:hAnsi="Arial"/>
          <w:sz w:val="16"/>
          <w:szCs w:val="16"/>
          <w:color w:val="auto"/>
        </w:rPr>
      </w:pPr>
    </w:p>
    <w:p>
      <w:pPr>
        <w:ind w:left="660" w:right="80" w:hanging="328"/>
        <w:spacing w:after="0" w:line="266"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PDx segment revenues were $2,458 million, growing 16.5% or $348 million as reported, largely driven by an increase in Organic revenue* and the acquisition of Nihon Medi-Physics Co., Ltd. (“NMP”). Organic revenue* grew 12.8% driven by volume and price in contrast media and radiopharmaceutical products; and</w:t>
      </w:r>
    </w:p>
    <w:p>
      <w:pPr>
        <w:spacing w:after="0" w:line="49" w:lineRule="exact"/>
        <w:rPr>
          <w:rFonts w:ascii="Arial" w:cs="Arial" w:eastAsia="Arial" w:hAnsi="Arial"/>
          <w:sz w:val="16"/>
          <w:szCs w:val="16"/>
          <w:color w:val="231F20"/>
        </w:rPr>
      </w:pPr>
    </w:p>
    <w:p>
      <w:pPr>
        <w:ind w:left="640" w:hanging="308"/>
        <w:spacing w:after="0"/>
        <w:tabs>
          <w:tab w:leader="none" w:pos="640"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PCS segment revenues were $2,171 million, decreasing 4.0% or $91 million, primarily driven by operational and fulfillment challenges.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regional revenues were as follows:</w:t>
      </w:r>
    </w:p>
    <w:p>
      <w:pPr>
        <w:spacing w:after="0" w:line="248" w:lineRule="exact"/>
        <w:rPr>
          <w:sz w:val="20"/>
          <w:szCs w:val="20"/>
          <w:color w:val="auto"/>
        </w:rPr>
      </w:pPr>
    </w:p>
    <w:p>
      <w:pPr>
        <w:ind w:left="660" w:right="20" w:hanging="328"/>
        <w:spacing w:after="0" w:line="304"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USCAN revenues were $7,509 million, growing 8.3% or $575 million, largely driven by growth across AIS, inclusive of Intelerad revenues, and PDx revenues, partially offset by a decline in PCS revenues;</w:t>
      </w:r>
    </w:p>
    <w:p>
      <w:pPr>
        <w:spacing w:after="0" w:line="19" w:lineRule="exact"/>
        <w:rPr>
          <w:rFonts w:ascii="Arial" w:cs="Arial" w:eastAsia="Arial" w:hAnsi="Arial"/>
          <w:sz w:val="16"/>
          <w:szCs w:val="16"/>
          <w:color w:val="231F20"/>
        </w:rPr>
      </w:pPr>
    </w:p>
    <w:p>
      <w:pPr>
        <w:ind w:left="640" w:hanging="308"/>
        <w:spacing w:after="0"/>
        <w:tabs>
          <w:tab w:leader="none" w:pos="640"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EMEA revenues were $4,042 million, growing 6.3% or $240 million with favorable foreign currency impacts as well as growth in AIS revenues;</w:t>
      </w:r>
    </w:p>
    <w:p>
      <w:pPr>
        <w:spacing w:after="0" w:line="99" w:lineRule="exact"/>
        <w:rPr>
          <w:rFonts w:ascii="Arial" w:cs="Arial" w:eastAsia="Arial" w:hAnsi="Arial"/>
          <w:sz w:val="16"/>
          <w:szCs w:val="16"/>
          <w:color w:val="231F20"/>
        </w:rPr>
      </w:pPr>
    </w:p>
    <w:p>
      <w:pPr>
        <w:ind w:left="660" w:right="360" w:hanging="328"/>
        <w:spacing w:after="0" w:line="286"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China region revenues were $1,735 million, growing 1.8% or $31 million with favorable foreign currency impacts, and growth in PDx revenues, partially offset by a decline in AIS and PCS revenues; and</w:t>
      </w:r>
    </w:p>
    <w:p>
      <w:pPr>
        <w:spacing w:after="0" w:line="34" w:lineRule="exact"/>
        <w:rPr>
          <w:rFonts w:ascii="Arial" w:cs="Arial" w:eastAsia="Arial" w:hAnsi="Arial"/>
          <w:sz w:val="16"/>
          <w:szCs w:val="16"/>
          <w:color w:val="231F20"/>
        </w:rPr>
      </w:pPr>
    </w:p>
    <w:p>
      <w:pPr>
        <w:ind w:left="660" w:right="280" w:hanging="328"/>
        <w:spacing w:after="0" w:line="286"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 of World revenues were $2,652 million, growing 6.6% or $165 million largely driven by growth in AIS and PDx, inclusive of NMP revenues, partially offset by unfavorable foreign currency impacts.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180"/>
          </w:cols>
          <w:pgMar w:left="320" w:top="1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INCOME, NET INCOME ATTRIBUTABLE TO GE HEALTHCARE, ADJUSTED EBIT*, AND ADJUSTED NET INCOME*.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60" w:type="dxa"/>
            <w:vAlign w:val="bottom"/>
            <w:gridSpan w:val="7"/>
          </w:tcPr>
          <w:p>
            <w:pPr>
              <w:ind w:left="260"/>
              <w:spacing w:after="0"/>
              <w:rPr>
                <w:sz w:val="20"/>
                <w:szCs w:val="20"/>
                <w:color w:val="auto"/>
              </w:rPr>
            </w:pPr>
            <w:r>
              <w:rPr>
                <w:rFonts w:ascii="Arial" w:cs="Arial" w:eastAsia="Arial" w:hAnsi="Arial"/>
                <w:sz w:val="16"/>
                <w:szCs w:val="16"/>
                <w:b w:val="1"/>
                <w:bCs w:val="1"/>
                <w:color w:val="454545"/>
              </w:rPr>
              <w:t>For the three months ended September 30</w:t>
            </w:r>
          </w:p>
        </w:tc>
        <w:tc>
          <w:tcPr>
            <w:tcW w:w="200" w:type="dxa"/>
            <w:vAlign w:val="bottom"/>
          </w:tcPr>
          <w:p>
            <w:pPr>
              <w:spacing w:after="0"/>
              <w:rPr>
                <w:sz w:val="19"/>
                <w:szCs w:val="19"/>
                <w:color w:val="auto"/>
              </w:rPr>
            </w:pPr>
          </w:p>
        </w:tc>
        <w:tc>
          <w:tcPr>
            <w:tcW w:w="4080" w:type="dxa"/>
            <w:vAlign w:val="bottom"/>
            <w:gridSpan w:val="6"/>
          </w:tcPr>
          <w:p>
            <w:pPr>
              <w:ind w:left="340"/>
              <w:spacing w:after="0"/>
              <w:rPr>
                <w:sz w:val="20"/>
                <w:szCs w:val="20"/>
                <w:color w:val="auto"/>
              </w:rPr>
            </w:pPr>
            <w:r>
              <w:rPr>
                <w:rFonts w:ascii="Arial" w:cs="Arial" w:eastAsia="Arial" w:hAnsi="Arial"/>
                <w:sz w:val="16"/>
                <w:szCs w:val="16"/>
                <w:b w:val="1"/>
                <w:bCs w:val="1"/>
                <w:color w:val="454545"/>
              </w:rPr>
              <w:t>For the nine months ended September 30</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66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454545"/>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740" w:type="dxa"/>
            <w:vAlign w:val="bottom"/>
          </w:tcPr>
          <w:p>
            <w:pPr>
              <w:ind w:left="320"/>
              <w:spacing w:after="0"/>
              <w:rPr>
                <w:sz w:val="20"/>
                <w:szCs w:val="20"/>
                <w:color w:val="auto"/>
              </w:rPr>
            </w:pPr>
            <w:r>
              <w:rPr>
                <w:rFonts w:ascii="Arial" w:cs="Arial" w:eastAsia="Arial" w:hAnsi="Arial"/>
                <w:sz w:val="16"/>
                <w:szCs w:val="16"/>
                <w:b w:val="1"/>
                <w:bCs w:val="1"/>
                <w:color w:val="454545"/>
              </w:rPr>
              <w:t>%</w:t>
            </w: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2026</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200" w:type="dxa"/>
            <w:vAlign w:val="bottom"/>
          </w:tcPr>
          <w:p>
            <w:pPr>
              <w:spacing w:after="0"/>
              <w:rPr>
                <w:sz w:val="19"/>
                <w:szCs w:val="19"/>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2025</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760" w:type="dxa"/>
            <w:vAlign w:val="bottom"/>
            <w:gridSpan w:val="2"/>
          </w:tcPr>
          <w:p>
            <w:pPr>
              <w:ind w:left="60"/>
              <w:spacing w:after="0"/>
              <w:rPr>
                <w:sz w:val="20"/>
                <w:szCs w:val="20"/>
                <w:color w:val="auto"/>
              </w:rPr>
            </w:pPr>
            <w:r>
              <w:rPr>
                <w:rFonts w:ascii="Arial" w:cs="Arial" w:eastAsia="Arial" w:hAnsi="Arial"/>
                <w:sz w:val="16"/>
                <w:szCs w:val="16"/>
                <w:b w:val="1"/>
                <w:bCs w:val="1"/>
                <w:color w:val="454545"/>
              </w:rPr>
              <w:t>change</w:t>
            </w:r>
          </w:p>
        </w:tc>
        <w:tc>
          <w:tcPr>
            <w:tcW w:w="200" w:type="dxa"/>
            <w:vAlign w:val="bottom"/>
          </w:tcPr>
          <w:p>
            <w:pPr>
              <w:spacing w:after="0"/>
              <w:rPr>
                <w:sz w:val="19"/>
                <w:szCs w:val="19"/>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2026</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200" w:type="dxa"/>
            <w:vAlign w:val="bottom"/>
          </w:tcPr>
          <w:p>
            <w:pPr>
              <w:spacing w:after="0"/>
              <w:rPr>
                <w:sz w:val="19"/>
                <w:szCs w:val="19"/>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2025</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454545"/>
              </w:rPr>
              <w:t>revenues</w:t>
            </w:r>
          </w:p>
        </w:tc>
        <w:tc>
          <w:tcPr>
            <w:tcW w:w="740" w:type="dxa"/>
            <w:vAlign w:val="bottom"/>
          </w:tcPr>
          <w:p>
            <w:pPr>
              <w:ind w:left="80"/>
              <w:spacing w:after="0"/>
              <w:rPr>
                <w:sz w:val="20"/>
                <w:szCs w:val="20"/>
                <w:color w:val="auto"/>
              </w:rPr>
            </w:pPr>
            <w:r>
              <w:rPr>
                <w:rFonts w:ascii="Arial" w:cs="Arial" w:eastAsia="Arial" w:hAnsi="Arial"/>
                <w:sz w:val="16"/>
                <w:szCs w:val="16"/>
                <w:b w:val="1"/>
                <w:bCs w:val="1"/>
                <w:color w:val="454545"/>
              </w:rPr>
              <w:t>change</w:t>
            </w:r>
          </w:p>
        </w:tc>
        <w:tc>
          <w:tcPr>
            <w:tcW w:w="0" w:type="dxa"/>
            <w:vAlign w:val="bottom"/>
          </w:tcPr>
          <w:p>
            <w:pPr>
              <w:spacing w:after="0"/>
              <w:rPr>
                <w:sz w:val="1"/>
                <w:szCs w:val="1"/>
                <w:color w:val="auto"/>
              </w:rPr>
            </w:pPr>
          </w:p>
        </w:tc>
      </w:tr>
      <w:tr>
        <w:trPr>
          <w:trHeight w:val="21"/>
        </w:trPr>
        <w:tc>
          <w:tcPr>
            <w:tcW w:w="270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66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2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805</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14.6%</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653</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12.7%</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23.3%</w:t>
            </w:r>
          </w:p>
        </w:tc>
        <w:tc>
          <w:tcPr>
            <w:tcW w:w="8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2,058</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12.9%</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1,936</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13.0%</w:t>
            </w:r>
          </w:p>
        </w:tc>
        <w:tc>
          <w:tcPr>
            <w:tcW w:w="74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Net income attributable to GE</w:t>
            </w:r>
          </w:p>
        </w:tc>
        <w:tc>
          <w:tcPr>
            <w:tcW w:w="20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615</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11.1%</w:t>
            </w:r>
          </w:p>
        </w:tc>
        <w:tc>
          <w:tcPr>
            <w:tcW w:w="20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446</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8.7%</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1,564</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9.8%</w:t>
            </w:r>
          </w:p>
        </w:tc>
        <w:tc>
          <w:tcPr>
            <w:tcW w:w="2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1,495</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740" w:type="dxa"/>
            <w:vAlign w:val="bottom"/>
            <w:vMerge w:val="restart"/>
          </w:tcPr>
          <w:p>
            <w:pPr>
              <w:ind w:left="30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07"/>
        </w:trPr>
        <w:tc>
          <w:tcPr>
            <w:tcW w:w="2700" w:type="dxa"/>
            <w:vAlign w:val="bottom"/>
            <w:vMerge w:val="restart"/>
          </w:tcPr>
          <w:p>
            <w:pPr>
              <w:ind w:left="20"/>
              <w:spacing w:after="0"/>
              <w:rPr>
                <w:sz w:val="20"/>
                <w:szCs w:val="20"/>
                <w:color w:val="auto"/>
              </w:rPr>
            </w:pPr>
            <w:r>
              <w:rPr>
                <w:rFonts w:ascii="Arial" w:cs="Arial" w:eastAsia="Arial" w:hAnsi="Arial"/>
                <w:sz w:val="16"/>
                <w:szCs w:val="16"/>
                <w:color w:val="auto"/>
              </w:rPr>
              <w:t>HealthCare</w:t>
            </w:r>
          </w:p>
        </w:tc>
        <w:tc>
          <w:tcPr>
            <w:tcW w:w="2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Adjusted EBIT*</w:t>
            </w:r>
          </w:p>
        </w:tc>
        <w:tc>
          <w:tcPr>
            <w:tcW w:w="200" w:type="dxa"/>
            <w:vAlign w:val="bottom"/>
            <w:tcBorders>
              <w:bottom w:val="single" w:sz="8" w:color="E4E4E4"/>
            </w:tcBorders>
            <w:shd w:val="clear" w:color="auto" w:fill="E4E4E4"/>
          </w:tcPr>
          <w:p>
            <w:pPr>
              <w:spacing w:after="0"/>
              <w:rPr>
                <w:sz w:val="22"/>
                <w:szCs w:val="22"/>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913</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16.6%</w:t>
            </w:r>
          </w:p>
        </w:tc>
        <w:tc>
          <w:tcPr>
            <w:tcW w:w="20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761</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14.8%</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19.9%</w:t>
            </w:r>
          </w:p>
        </w:tc>
        <w:tc>
          <w:tcPr>
            <w:tcW w:w="8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2,353</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14.8%</w:t>
            </w:r>
          </w:p>
        </w:tc>
        <w:tc>
          <w:tcPr>
            <w:tcW w:w="20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2,205</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14.8%</w:t>
            </w:r>
          </w:p>
        </w:tc>
        <w:tc>
          <w:tcPr>
            <w:tcW w:w="74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54"/>
        </w:trPr>
        <w:tc>
          <w:tcPr>
            <w:tcW w:w="270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608</w:t>
            </w:r>
          </w:p>
        </w:tc>
        <w:tc>
          <w:tcPr>
            <w:tcW w:w="880" w:type="dxa"/>
            <w:vAlign w:val="bottom"/>
          </w:tcPr>
          <w:p>
            <w:pPr>
              <w:jc w:val="right"/>
              <w:spacing w:after="0"/>
              <w:rPr>
                <w:sz w:val="20"/>
                <w:szCs w:val="20"/>
                <w:color w:val="auto"/>
              </w:rPr>
            </w:pPr>
            <w:r>
              <w:rPr>
                <w:rFonts w:ascii="Arial" w:cs="Arial" w:eastAsia="Arial" w:hAnsi="Arial"/>
                <w:sz w:val="16"/>
                <w:szCs w:val="16"/>
                <w:color w:val="auto"/>
              </w:rPr>
              <w:t>11.0%</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490</w:t>
            </w:r>
          </w:p>
        </w:tc>
        <w:tc>
          <w:tcPr>
            <w:tcW w:w="880" w:type="dxa"/>
            <w:vAlign w:val="bottom"/>
          </w:tcPr>
          <w:p>
            <w:pPr>
              <w:jc w:val="right"/>
              <w:spacing w:after="0"/>
              <w:rPr>
                <w:sz w:val="20"/>
                <w:szCs w:val="20"/>
                <w:color w:val="auto"/>
              </w:rPr>
            </w:pPr>
            <w:r>
              <w:rPr>
                <w:rFonts w:ascii="Arial" w:cs="Arial" w:eastAsia="Arial" w:hAnsi="Arial"/>
                <w:sz w:val="16"/>
                <w:szCs w:val="16"/>
                <w:color w:val="auto"/>
              </w:rPr>
              <w:t>9.5%</w:t>
            </w:r>
          </w:p>
        </w:tc>
        <w:tc>
          <w:tcPr>
            <w:tcW w:w="680" w:type="dxa"/>
            <w:vAlign w:val="bottom"/>
          </w:tcPr>
          <w:p>
            <w:pPr>
              <w:jc w:val="right"/>
              <w:spacing w:after="0"/>
              <w:rPr>
                <w:sz w:val="20"/>
                <w:szCs w:val="20"/>
                <w:color w:val="auto"/>
              </w:rPr>
            </w:pPr>
            <w:r>
              <w:rPr>
                <w:rFonts w:ascii="Arial" w:cs="Arial" w:eastAsia="Arial" w:hAnsi="Arial"/>
                <w:sz w:val="16"/>
                <w:szCs w:val="16"/>
                <w:color w:val="auto"/>
              </w:rPr>
              <w:t>24.0%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1,575</w:t>
            </w:r>
          </w:p>
        </w:tc>
        <w:tc>
          <w:tcPr>
            <w:tcW w:w="860" w:type="dxa"/>
            <w:vAlign w:val="bottom"/>
          </w:tcPr>
          <w:p>
            <w:pPr>
              <w:jc w:val="right"/>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1,441</w:t>
            </w:r>
          </w:p>
        </w:tc>
        <w:tc>
          <w:tcPr>
            <w:tcW w:w="900" w:type="dxa"/>
            <w:vAlign w:val="bottom"/>
          </w:tcPr>
          <w:p>
            <w:pPr>
              <w:jc w:val="right"/>
              <w:spacing w:after="0"/>
              <w:rPr>
                <w:sz w:val="20"/>
                <w:szCs w:val="20"/>
                <w:color w:val="auto"/>
              </w:rPr>
            </w:pPr>
            <w:r>
              <w:rPr>
                <w:rFonts w:ascii="Arial" w:cs="Arial" w:eastAsia="Arial" w:hAnsi="Arial"/>
                <w:sz w:val="16"/>
                <w:szCs w:val="16"/>
                <w:color w:val="auto"/>
              </w:rPr>
              <w:t>9.7%</w:t>
            </w:r>
          </w:p>
        </w:tc>
        <w:tc>
          <w:tcPr>
            <w:tcW w:w="740" w:type="dxa"/>
            <w:vAlign w:val="bottom"/>
          </w:tcPr>
          <w:p>
            <w:pPr>
              <w:ind w:left="30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9"/>
        </w:trPr>
        <w:tc>
          <w:tcPr>
            <w:tcW w:w="2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 xml:space="preserve">For the </w:t>
      </w:r>
      <w:r>
        <w:rPr>
          <w:rFonts w:ascii="Arial" w:cs="Arial" w:eastAsia="Arial" w:hAnsi="Arial"/>
          <w:sz w:val="16"/>
          <w:szCs w:val="16"/>
          <w:i w:val="1"/>
          <w:iCs w:val="1"/>
          <w:color w:val="000000"/>
        </w:rPr>
        <w:t>three months ended</w:t>
      </w:r>
      <w:r>
        <w:rPr>
          <w:rFonts w:ascii="Arial" w:cs="Arial" w:eastAsia="Arial" w:hAnsi="Arial"/>
          <w:sz w:val="16"/>
          <w:szCs w:val="16"/>
          <w:i w:val="1"/>
          <w:iCs w:val="1"/>
          <w:color w:val="231F20"/>
        </w:rPr>
        <w:t xml:space="preserve"> September 30, 2026</w:t>
      </w:r>
    </w:p>
    <w:p>
      <w:pPr>
        <w:spacing w:after="0" w:line="26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Operating income was $805 million, an increase of $152 million and 190 basis points as a percent of Total revenues. The increase was due to the following factors:</w:t>
      </w:r>
    </w:p>
    <w:p>
      <w:pPr>
        <w:spacing w:after="0" w:line="196" w:lineRule="exact"/>
        <w:rPr>
          <w:sz w:val="20"/>
          <w:szCs w:val="20"/>
          <w:color w:val="auto"/>
        </w:rPr>
      </w:pPr>
    </w:p>
    <w:p>
      <w:pPr>
        <w:ind w:left="660" w:hanging="328"/>
        <w:spacing w:after="0" w:line="257"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Gross profit increased $234 million or 170 basis points as a percent of Total revenues primarily due to growth in sales volume, an increase in price, and a reduction in tariff expenses, partially offset by cost inflation. Cost of products sold increased $103 million, but decreased 140 basis points as a percent of Sales of products. The decrease as a percent of sales was driven primarily by growth in volume, an increase in pricing of our product offerings, and a reduction in tariff expenses, partially offset by cost inflation. Cost of services sold increased $33 million but decreased 200 basis points as a percent of Sales of services. The decrease as a percent of sales was driven by an increase in the pricing of our service offerings and a reduction in tariff expenses, partially offset by cost inflation. Included in our total cost of revenues as part of our product investment was $141 million in engineering costs for design follow-through on new product introductions and product lifecycle maintenance subsequent to the initial product launch, compared to $134 million for the prior year comparable period; and</w:t>
      </w:r>
    </w:p>
    <w:p>
      <w:pPr>
        <w:spacing w:after="0" w:line="57" w:lineRule="exact"/>
        <w:rPr>
          <w:rFonts w:ascii="Arial" w:cs="Arial" w:eastAsia="Arial" w:hAnsi="Arial"/>
          <w:sz w:val="16"/>
          <w:szCs w:val="16"/>
          <w:color w:val="auto"/>
        </w:rPr>
      </w:pPr>
    </w:p>
    <w:p>
      <w:pPr>
        <w:ind w:left="660" w:right="40" w:hanging="328"/>
        <w:spacing w:after="0" w:line="265"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 operating expenses increased $82 million due to an increase in Selling, general, and administrative (“SG&amp;A”) expense of $54 million, primarily driven by expenses related to our recent acquisitions, commercial investments, and inflation, partially offset by cost productivity and an increase in Research and development (“R&amp;D”) of $28 million, due to investments including those related to recent acquisitions, partially offset by certain programs achieving development milestones resulting in costs to be reported under cost of revenues. SG&amp;A as a percentage of Total revenues decreased by 40 basis points and R&amp;D as a percentage of Total revenues increased by 10 basis points.</w:t>
      </w:r>
    </w:p>
    <w:p>
      <w:pPr>
        <w:spacing w:after="0" w:line="199" w:lineRule="exact"/>
        <w:rPr>
          <w:sz w:val="20"/>
          <w:szCs w:val="20"/>
          <w:color w:val="auto"/>
        </w:rPr>
      </w:pPr>
    </w:p>
    <w:p>
      <w:pPr>
        <w:ind w:right="820"/>
        <w:spacing w:after="0" w:line="304" w:lineRule="auto"/>
        <w:rPr>
          <w:sz w:val="20"/>
          <w:szCs w:val="20"/>
          <w:color w:val="auto"/>
        </w:rPr>
      </w:pPr>
      <w:r>
        <w:rPr>
          <w:rFonts w:ascii="Arial" w:cs="Arial" w:eastAsia="Arial" w:hAnsi="Arial"/>
          <w:sz w:val="16"/>
          <w:szCs w:val="16"/>
          <w:color w:val="auto"/>
        </w:rPr>
        <w:t>Net income attributable to GE HealthCare and Net income margin were $615 million and 11.1%, an increase of $169 million and 250 basis points, respectively, primarily due to the following factors:</w:t>
      </w:r>
    </w:p>
    <w:p>
      <w:pPr>
        <w:spacing w:after="0" w:line="168"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6"/>
          <w:szCs w:val="16"/>
          <w:i w:val="1"/>
          <w:iCs w:val="1"/>
          <w:color w:val="231F20"/>
        </w:rPr>
      </w:pPr>
      <w:r>
        <w:rPr>
          <w:rFonts w:ascii="Arial" w:cs="Arial" w:eastAsia="Arial" w:hAnsi="Arial"/>
          <w:sz w:val="16"/>
          <w:szCs w:val="16"/>
          <w:color w:val="auto"/>
        </w:rPr>
        <w:t>Operating income increased $152 million, as discussed above;</w:t>
      </w:r>
    </w:p>
    <w:p>
      <w:pPr>
        <w:spacing w:after="0" w:line="99" w:lineRule="exact"/>
        <w:rPr>
          <w:rFonts w:ascii="Arial" w:cs="Arial" w:eastAsia="Arial" w:hAnsi="Arial"/>
          <w:sz w:val="16"/>
          <w:szCs w:val="16"/>
          <w:i w:val="1"/>
          <w:iCs w:val="1"/>
          <w:color w:val="231F20"/>
        </w:rPr>
      </w:pPr>
    </w:p>
    <w:p>
      <w:pPr>
        <w:ind w:left="660" w:right="880" w:hanging="328"/>
        <w:spacing w:after="0" w:line="304"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Non-operating benefit income decreased $24 million primarily due to lower current year amortization of postretirement benefit plan other comprehensive income;</w:t>
      </w:r>
    </w:p>
    <w:p>
      <w:pPr>
        <w:spacing w:after="0" w:line="19" w:lineRule="exact"/>
        <w:rPr>
          <w:rFonts w:ascii="Arial" w:cs="Arial" w:eastAsia="Arial" w:hAnsi="Arial"/>
          <w:sz w:val="16"/>
          <w:szCs w:val="16"/>
          <w:color w:val="auto"/>
        </w:rPr>
      </w:pPr>
    </w:p>
    <w:p>
      <w:pPr>
        <w:ind w:left="660" w:right="40" w:hanging="328"/>
        <w:spacing w:after="0" w:line="304"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income – net decreased $7 million primarily driven by a decrease in Other items, net, and a decrease in Net financing income and investment income (loss), as disclosed in Note 16, “Supplemental Financial Information”; and</w:t>
      </w:r>
    </w:p>
    <w:p>
      <w:pPr>
        <w:spacing w:after="0" w:line="33" w:lineRule="exact"/>
        <w:rPr>
          <w:rFonts w:ascii="Arial" w:cs="Arial" w:eastAsia="Arial" w:hAnsi="Arial"/>
          <w:sz w:val="16"/>
          <w:szCs w:val="16"/>
          <w:color w:val="auto"/>
        </w:rPr>
      </w:pPr>
    </w:p>
    <w:p>
      <w:pPr>
        <w:ind w:left="660" w:right="200" w:hanging="328"/>
        <w:spacing w:after="0" w:line="26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Provision for income taxes decreased $50 million primarily due to current year foreign income tax reserve releases, and changes in reconciling adjustments to recorded tax account balances, partially offset by a foreign tax audit settlement in 2026. For additional detail regarding our income taxes, see Note 10, “Income Taxes.”</w:t>
      </w:r>
    </w:p>
    <w:p>
      <w:pPr>
        <w:spacing w:after="0" w:line="293" w:lineRule="exact"/>
        <w:rPr>
          <w:sz w:val="20"/>
          <w:szCs w:val="20"/>
          <w:color w:val="auto"/>
        </w:rPr>
      </w:pPr>
    </w:p>
    <w:p>
      <w:pPr>
        <w:jc w:val="both"/>
        <w:ind w:right="340"/>
        <w:spacing w:after="0" w:line="275" w:lineRule="auto"/>
        <w:rPr>
          <w:sz w:val="20"/>
          <w:szCs w:val="20"/>
          <w:color w:val="auto"/>
        </w:rPr>
      </w:pPr>
      <w:r>
        <w:rPr>
          <w:rFonts w:ascii="Arial" w:cs="Arial" w:eastAsia="Arial" w:hAnsi="Arial"/>
          <w:sz w:val="16"/>
          <w:szCs w:val="16"/>
          <w:color w:val="auto"/>
        </w:rPr>
        <w:t>Adjusted EBIT* and Adjusted EBIT margin* were $913 million and 16.6%, an increase of $151 million and 180 basis points, respectively, primarily due to growth in sales volume, an increase in pricing of our product and service offerings, cost productivity, and a reduction in tariff expenses, partially offset by inflation and planned investments.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Adjusted net income* was $608 million, an increase of $118 million primarily due to an increase in Adjusted EBIT*, as discussed above.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nine months ended September 30, 2026</w:t>
      </w:r>
    </w:p>
    <w:p>
      <w:pPr>
        <w:spacing w:after="0" w:line="26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Operating income was $2,058 million, an increase of $123 million but a decrease of 10 basis points as a percent of Total revenues. The increase was due to the following factors: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40" w:hanging="328"/>
        <w:spacing w:after="0" w:line="259" w:lineRule="auto"/>
        <w:tabs>
          <w:tab w:leader="none" w:pos="649" w:val="left"/>
        </w:tabs>
        <w:numPr>
          <w:ilvl w:val="0"/>
          <w:numId w:val="25"/>
        </w:numPr>
        <w:rPr>
          <w:rFonts w:ascii="Arial" w:cs="Arial" w:eastAsia="Arial" w:hAnsi="Arial"/>
          <w:sz w:val="16"/>
          <w:szCs w:val="16"/>
          <w:color w:val="231F20"/>
        </w:rPr>
      </w:pPr>
      <w:r>
        <w:rPr>
          <w:rFonts w:ascii="Arial" w:cs="Arial" w:eastAsia="Arial" w:hAnsi="Arial"/>
          <w:sz w:val="16"/>
          <w:szCs w:val="16"/>
          <w:color w:val="auto"/>
        </w:rPr>
        <w:t>Gross profit increased $394 million but decreased 10 basis points as a percent of Total revenues. The decrease as a percent of Total revenues was primarily due to an increase in Cost of products. Cost of products sold increased $481 million or 80 basis points as a percent of Sales of products. The increase as a percent of sales was largely driven by cost inflation, and an increase in tariff expenses, partially offset by an increase in pricing of our product and service offerings, growth in sales volume, and tariff refunds. Cost of services sold increased $137 million but decreased 110 basis points as a percent of Sales of services. The decrease as a percent of sales was largely driven by an increase in pricing of our service offerings, partially offset by cost inflation. Included in our total cost of revenues as part of our product investment was $408 million in engineering costs for design follow-through on new product introductions and product lifecycle maintenance subsequent to the initial product launch, compared to $357 million for the prior year comparable period; and</w:t>
      </w:r>
    </w:p>
    <w:p>
      <w:pPr>
        <w:spacing w:after="0" w:line="58" w:lineRule="exact"/>
        <w:rPr>
          <w:rFonts w:ascii="Arial" w:cs="Arial" w:eastAsia="Arial" w:hAnsi="Arial"/>
          <w:sz w:val="16"/>
          <w:szCs w:val="16"/>
          <w:color w:val="231F20"/>
        </w:rPr>
      </w:pPr>
    </w:p>
    <w:p>
      <w:pPr>
        <w:ind w:left="660" w:right="8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Total operating expenses increased $271 million, with an increase in SG&amp;A expense of $220 million primarily driven by expenses related to recent acquisitions, foreign currency movements, commercial investments, increased employee benefit costs, and an increase in R&amp;D investments of $51 million, primarily driven by foreign currency movements and planned investments including those related to recent acquisitions, partially offset by certain programs achieving development milestones resulting in costs to be reported under cost of revenues. SG&amp;A as a percentage of Total revenues increased by 10 basis points and R&amp;D as a percentage of Total revenues decreased by 10 basis points.</w:t>
      </w:r>
    </w:p>
    <w:p>
      <w:pPr>
        <w:spacing w:after="0" w:line="21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Net income attributable to GE HealthCare and Net income margin were $1,564 million and 9.8%, an increase of $69 million but a decrease of 20 basis points respectively, primarily due to the following factors:</w:t>
      </w:r>
    </w:p>
    <w:p>
      <w:pPr>
        <w:spacing w:after="0" w:line="182"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Operating income increased $123 million, as discussed above;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Interest and other financial charges – net decreased $2 million primarily driven by efficient management of the debt profile;</w:t>
      </w:r>
    </w:p>
    <w:p>
      <w:pPr>
        <w:spacing w:after="0" w:line="99" w:lineRule="exact"/>
        <w:rPr>
          <w:rFonts w:ascii="Arial" w:cs="Arial" w:eastAsia="Arial" w:hAnsi="Arial"/>
          <w:sz w:val="16"/>
          <w:szCs w:val="16"/>
          <w:color w:val="auto"/>
        </w:rPr>
      </w:pPr>
    </w:p>
    <w:p>
      <w:pPr>
        <w:ind w:left="660" w:right="640" w:hanging="328"/>
        <w:spacing w:after="0" w:line="304"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Non-operating benefit income decreased $76 million primarily related to lower current year amortization of postretirement benefit plan other comprehensive income;</w:t>
      </w:r>
    </w:p>
    <w:p>
      <w:pPr>
        <w:spacing w:after="0" w:line="19" w:lineRule="exact"/>
        <w:rPr>
          <w:rFonts w:ascii="Arial" w:cs="Arial" w:eastAsia="Arial" w:hAnsi="Arial"/>
          <w:sz w:val="16"/>
          <w:szCs w:val="16"/>
          <w:color w:val="auto"/>
        </w:rPr>
      </w:pPr>
    </w:p>
    <w:p>
      <w:pPr>
        <w:ind w:left="660" w:right="20" w:hanging="328"/>
        <w:spacing w:after="0" w:line="266"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income – net decreased $47 million primarily driven by the non-repeat of the prior year remeasurement of the Company’s 50% interest in NMP based on the cash consideration exchanged for acquiring the remaining 50% equity interest, partially offset by Other items, net as disclosed in Note 16, “Supplemental Financial Information”; and</w:t>
      </w:r>
    </w:p>
    <w:p>
      <w:pPr>
        <w:spacing w:after="0" w:line="49" w:lineRule="exact"/>
        <w:rPr>
          <w:rFonts w:ascii="Arial" w:cs="Arial" w:eastAsia="Arial" w:hAnsi="Arial"/>
          <w:sz w:val="16"/>
          <w:szCs w:val="16"/>
          <w:color w:val="auto"/>
        </w:rPr>
      </w:pPr>
    </w:p>
    <w:p>
      <w:pPr>
        <w:ind w:left="660" w:right="180" w:hanging="328"/>
        <w:spacing w:after="0" w:line="271"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Provision for income taxes decreased $53 million primarily due to a year-over-year increase in reconciling adjustments to recorded tax account balances and current year foreign income tax reserve releases, and impacts from prior year U.S. and foreign tax law changes, partially offset by a current year foreign tax audit settlement and a nontaxable remeasurement gain in connection with the NMP acquisition in the prior year. For additional detail regarding our income taxes, see Note 10, “Income Taxes.”</w:t>
      </w:r>
    </w:p>
    <w:p>
      <w:pPr>
        <w:spacing w:after="0" w:line="19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Adjusted EBIT* and Adjusted EBIT margin* were $2,353 million and 14.8%, an increase of $148 million and flat to prior year, respectively, primarily due to an increase in operating income, as discussed above.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Adjusted net income* was $1,575 million, an increase of $134 million primarily due to an increase in Adjusted EBIT*, as discussed above.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w:t>
      </w:r>
      <w:r>
        <w:rPr>
          <w:rFonts w:ascii="Arial" w:cs="Arial" w:eastAsia="Arial" w:hAnsi="Arial"/>
          <w:sz w:val="19"/>
          <w:szCs w:val="19"/>
          <w:color w:val="auto"/>
        </w:rPr>
        <w:t>–</w:t>
      </w:r>
      <w:r>
        <w:rPr>
          <w:rFonts w:ascii="Arial" w:cs="Arial" w:eastAsia="Arial" w:hAnsi="Arial"/>
          <w:sz w:val="18"/>
          <w:szCs w:val="18"/>
          <w:b w:val="1"/>
          <w:bCs w:val="1"/>
          <w:color w:val="auto"/>
        </w:rPr>
        <w:t xml:space="preserve"> SEGMENTS</w:t>
      </w:r>
    </w:p>
    <w:p>
      <w:pPr>
        <w:spacing w:after="0" w:line="27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exclude from Segment EBIT certain corporate-related expenses and certain transactions or adjustments that our Chief Operating Decision Maker considers to be non-operational, such as Interest and other financial charges – net, Benefit (provision) for income taxes, restructuring costs, acquisition and disposition-related benefits (charges), Spin-Off and separation costs and other adjustments, Non-operating benefit (income) costs, gain (loss) on business and asset dispositions, amortization of acquisition-related intangible assets, Net (income) loss attributable to noncontrolling interests, Income (loss) from discontinued operations, net of taxes, investment revaluation gain (loss), and other non-recurring items such as refunds for tariffs incurred in prior years. See Note 3, “Segment Information” for additional information on our reportable segments, and “Results of Operations” above for discussion on segment revenue performance.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4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180" w:type="dxa"/>
            <w:vAlign w:val="bottom"/>
          </w:tcPr>
          <w:p>
            <w:pPr>
              <w:spacing w:after="0"/>
              <w:rPr>
                <w:sz w:val="19"/>
                <w:szCs w:val="19"/>
                <w:color w:val="auto"/>
              </w:rPr>
            </w:pPr>
          </w:p>
        </w:tc>
        <w:tc>
          <w:tcPr>
            <w:tcW w:w="4600" w:type="dxa"/>
            <w:vAlign w:val="bottom"/>
            <w:gridSpan w:val="7"/>
          </w:tcPr>
          <w:p>
            <w:pPr>
              <w:jc w:val="right"/>
              <w:ind w:right="900"/>
              <w:spacing w:after="0"/>
              <w:rPr>
                <w:sz w:val="20"/>
                <w:szCs w:val="20"/>
                <w:color w:val="auto"/>
              </w:rPr>
            </w:pPr>
            <w:r>
              <w:rPr>
                <w:rFonts w:ascii="Arial" w:cs="Arial" w:eastAsia="Arial" w:hAnsi="Arial"/>
                <w:sz w:val="16"/>
                <w:szCs w:val="16"/>
                <w:b w:val="1"/>
                <w:bCs w:val="1"/>
                <w:color w:val="454545"/>
              </w:rPr>
              <w:t>For the three months ended September 30</w:t>
            </w:r>
          </w:p>
        </w:tc>
        <w:tc>
          <w:tcPr>
            <w:tcW w:w="4420" w:type="dxa"/>
            <w:vAlign w:val="bottom"/>
            <w:gridSpan w:val="5"/>
          </w:tcPr>
          <w:p>
            <w:pPr>
              <w:jc w:val="right"/>
              <w:ind w:right="61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48"/>
        </w:trPr>
        <w:tc>
          <w:tcPr>
            <w:tcW w:w="2040" w:type="dxa"/>
            <w:vAlign w:val="bottom"/>
          </w:tcPr>
          <w:p>
            <w:pPr>
              <w:spacing w:after="0"/>
              <w:rPr>
                <w:sz w:val="4"/>
                <w:szCs w:val="4"/>
                <w:color w:val="auto"/>
              </w:rPr>
            </w:pPr>
          </w:p>
        </w:tc>
        <w:tc>
          <w:tcPr>
            <w:tcW w:w="180" w:type="dxa"/>
            <w:vAlign w:val="bottom"/>
            <w:tcBorders>
              <w:bottom w:val="single" w:sz="8" w:color="454545"/>
            </w:tcBorders>
          </w:tcPr>
          <w:p>
            <w:pPr>
              <w:spacing w:after="0"/>
              <w:rPr>
                <w:sz w:val="4"/>
                <w:szCs w:val="4"/>
                <w:color w:val="auto"/>
              </w:rPr>
            </w:pPr>
          </w:p>
        </w:tc>
        <w:tc>
          <w:tcPr>
            <w:tcW w:w="640" w:type="dxa"/>
            <w:vAlign w:val="bottom"/>
            <w:tcBorders>
              <w:bottom w:val="single" w:sz="8" w:color="454545"/>
            </w:tcBorders>
          </w:tcPr>
          <w:p>
            <w:pPr>
              <w:spacing w:after="0"/>
              <w:rPr>
                <w:sz w:val="4"/>
                <w:szCs w:val="4"/>
                <w:color w:val="auto"/>
              </w:rPr>
            </w:pPr>
          </w:p>
        </w:tc>
        <w:tc>
          <w:tcPr>
            <w:tcW w:w="1140" w:type="dxa"/>
            <w:vAlign w:val="bottom"/>
            <w:tcBorders>
              <w:bottom w:val="single" w:sz="8" w:color="454545"/>
            </w:tcBorders>
          </w:tcPr>
          <w:p>
            <w:pPr>
              <w:spacing w:after="0"/>
              <w:rPr>
                <w:sz w:val="4"/>
                <w:szCs w:val="4"/>
                <w:color w:val="auto"/>
              </w:rPr>
            </w:pPr>
          </w:p>
        </w:tc>
        <w:tc>
          <w:tcPr>
            <w:tcW w:w="660" w:type="dxa"/>
            <w:vAlign w:val="bottom"/>
            <w:tcBorders>
              <w:bottom w:val="single" w:sz="8" w:color="454545"/>
            </w:tcBorders>
          </w:tcPr>
          <w:p>
            <w:pPr>
              <w:spacing w:after="0"/>
              <w:rPr>
                <w:sz w:val="4"/>
                <w:szCs w:val="4"/>
                <w:color w:val="auto"/>
              </w:rPr>
            </w:pPr>
          </w:p>
        </w:tc>
        <w:tc>
          <w:tcPr>
            <w:tcW w:w="1000" w:type="dxa"/>
            <w:vAlign w:val="bottom"/>
            <w:tcBorders>
              <w:bottom w:val="single" w:sz="8" w:color="454545"/>
            </w:tcBorders>
          </w:tcPr>
          <w:p>
            <w:pPr>
              <w:spacing w:after="0"/>
              <w:rPr>
                <w:sz w:val="4"/>
                <w:szCs w:val="4"/>
                <w:color w:val="auto"/>
              </w:rPr>
            </w:pPr>
          </w:p>
        </w:tc>
        <w:tc>
          <w:tcPr>
            <w:tcW w:w="900" w:type="dxa"/>
            <w:vAlign w:val="bottom"/>
            <w:tcBorders>
              <w:bottom w:val="single" w:sz="8" w:color="454545"/>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454545"/>
            </w:tcBorders>
          </w:tcPr>
          <w:p>
            <w:pPr>
              <w:spacing w:after="0"/>
              <w:rPr>
                <w:sz w:val="4"/>
                <w:szCs w:val="4"/>
                <w:color w:val="auto"/>
              </w:rPr>
            </w:pPr>
          </w:p>
        </w:tc>
        <w:tc>
          <w:tcPr>
            <w:tcW w:w="680" w:type="dxa"/>
            <w:vAlign w:val="bottom"/>
            <w:tcBorders>
              <w:bottom w:val="single" w:sz="8" w:color="454545"/>
            </w:tcBorders>
          </w:tcPr>
          <w:p>
            <w:pPr>
              <w:spacing w:after="0"/>
              <w:rPr>
                <w:sz w:val="4"/>
                <w:szCs w:val="4"/>
                <w:color w:val="auto"/>
              </w:rPr>
            </w:pPr>
          </w:p>
        </w:tc>
        <w:tc>
          <w:tcPr>
            <w:tcW w:w="1060" w:type="dxa"/>
            <w:vAlign w:val="bottom"/>
            <w:tcBorders>
              <w:bottom w:val="single" w:sz="8" w:color="454545"/>
            </w:tcBorders>
          </w:tcPr>
          <w:p>
            <w:pPr>
              <w:spacing w:after="0"/>
              <w:rPr>
                <w:sz w:val="4"/>
                <w:szCs w:val="4"/>
                <w:color w:val="auto"/>
              </w:rPr>
            </w:pPr>
          </w:p>
        </w:tc>
        <w:tc>
          <w:tcPr>
            <w:tcW w:w="780" w:type="dxa"/>
            <w:vAlign w:val="bottom"/>
            <w:tcBorders>
              <w:bottom w:val="single" w:sz="8" w:color="454545"/>
            </w:tcBorders>
          </w:tcPr>
          <w:p>
            <w:pPr>
              <w:spacing w:after="0"/>
              <w:rPr>
                <w:sz w:val="4"/>
                <w:szCs w:val="4"/>
                <w:color w:val="auto"/>
              </w:rPr>
            </w:pPr>
          </w:p>
        </w:tc>
        <w:tc>
          <w:tcPr>
            <w:tcW w:w="1000" w:type="dxa"/>
            <w:vAlign w:val="bottom"/>
            <w:tcBorders>
              <w:bottom w:val="single" w:sz="8" w:color="454545"/>
            </w:tcBorders>
          </w:tcPr>
          <w:p>
            <w:pPr>
              <w:spacing w:after="0"/>
              <w:rPr>
                <w:sz w:val="4"/>
                <w:szCs w:val="4"/>
                <w:color w:val="auto"/>
              </w:rPr>
            </w:pPr>
          </w:p>
        </w:tc>
        <w:tc>
          <w:tcPr>
            <w:tcW w:w="900" w:type="dxa"/>
            <w:vAlign w:val="bottom"/>
            <w:tcBorders>
              <w:bottom w:val="single" w:sz="8" w:color="454545"/>
            </w:tcBorders>
          </w:tcPr>
          <w:p>
            <w:pPr>
              <w:spacing w:after="0"/>
              <w:rPr>
                <w:sz w:val="4"/>
                <w:szCs w:val="4"/>
                <w:color w:val="auto"/>
              </w:rPr>
            </w:pPr>
          </w:p>
        </w:tc>
      </w:tr>
      <w:tr>
        <w:trPr>
          <w:trHeight w:val="209"/>
        </w:trPr>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 of</w:t>
            </w:r>
          </w:p>
        </w:tc>
        <w:tc>
          <w:tcPr>
            <w:tcW w:w="6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454545"/>
              </w:rPr>
              <w:t>% of</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center"/>
              <w:ind w:right="59"/>
              <w:spacing w:after="0"/>
              <w:rPr>
                <w:sz w:val="20"/>
                <w:szCs w:val="20"/>
                <w:color w:val="auto"/>
              </w:rPr>
            </w:pPr>
            <w:r>
              <w:rPr>
                <w:rFonts w:ascii="Arial" w:cs="Arial" w:eastAsia="Arial" w:hAnsi="Arial"/>
                <w:sz w:val="16"/>
                <w:szCs w:val="16"/>
                <w:b w:val="1"/>
                <w:bCs w:val="1"/>
                <w:color w:val="454545"/>
              </w:rPr>
              <w:t>% of</w:t>
            </w:r>
          </w:p>
        </w:tc>
        <w:tc>
          <w:tcPr>
            <w:tcW w:w="780" w:type="dxa"/>
            <w:vAlign w:val="bottom"/>
          </w:tcPr>
          <w:p>
            <w:pPr>
              <w:spacing w:after="0"/>
              <w:rPr>
                <w:sz w:val="18"/>
                <w:szCs w:val="18"/>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454545"/>
              </w:rPr>
              <w:t>% of</w:t>
            </w:r>
          </w:p>
        </w:tc>
        <w:tc>
          <w:tcPr>
            <w:tcW w:w="900" w:type="dxa"/>
            <w:vAlign w:val="bottom"/>
          </w:tcPr>
          <w:p>
            <w:pPr>
              <w:spacing w:after="0"/>
              <w:rPr>
                <w:sz w:val="18"/>
                <w:szCs w:val="18"/>
                <w:color w:val="auto"/>
              </w:rPr>
            </w:pPr>
          </w:p>
        </w:tc>
      </w:tr>
      <w:tr>
        <w:trPr>
          <w:trHeight w:val="203"/>
        </w:trPr>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segment</w:t>
            </w:r>
          </w:p>
        </w:tc>
        <w:tc>
          <w:tcPr>
            <w:tcW w:w="6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454545"/>
              </w:rPr>
              <w:t>segment</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jc w:val="center"/>
              <w:ind w:right="59"/>
              <w:spacing w:after="0"/>
              <w:rPr>
                <w:sz w:val="20"/>
                <w:szCs w:val="20"/>
                <w:color w:val="auto"/>
              </w:rPr>
            </w:pPr>
            <w:r>
              <w:rPr>
                <w:rFonts w:ascii="Arial" w:cs="Arial" w:eastAsia="Arial" w:hAnsi="Arial"/>
                <w:sz w:val="16"/>
                <w:szCs w:val="16"/>
                <w:b w:val="1"/>
                <w:bCs w:val="1"/>
                <w:color w:val="454545"/>
              </w:rPr>
              <w:t>segment</w:t>
            </w:r>
          </w:p>
        </w:tc>
        <w:tc>
          <w:tcPr>
            <w:tcW w:w="780" w:type="dxa"/>
            <w:vAlign w:val="bottom"/>
          </w:tcPr>
          <w:p>
            <w:pPr>
              <w:spacing w:after="0"/>
              <w:rPr>
                <w:sz w:val="17"/>
                <w:szCs w:val="17"/>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454545"/>
              </w:rPr>
              <w:t>segment</w:t>
            </w:r>
          </w:p>
        </w:tc>
        <w:tc>
          <w:tcPr>
            <w:tcW w:w="900" w:type="dxa"/>
            <w:vAlign w:val="bottom"/>
          </w:tcPr>
          <w:p>
            <w:pPr>
              <w:spacing w:after="0"/>
              <w:rPr>
                <w:sz w:val="17"/>
                <w:szCs w:val="17"/>
                <w:color w:val="auto"/>
              </w:rPr>
            </w:pPr>
          </w:p>
        </w:tc>
      </w:tr>
      <w:tr>
        <w:trPr>
          <w:trHeight w:val="223"/>
        </w:trPr>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2026</w:t>
            </w: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454545"/>
                <w:w w:val="99"/>
              </w:rPr>
              <w:t>revenues</w:t>
            </w: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2025</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454545"/>
              </w:rPr>
              <w:t>revenues</w:t>
            </w:r>
          </w:p>
        </w:tc>
        <w:tc>
          <w:tcPr>
            <w:tcW w:w="116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454545"/>
              </w:rPr>
              <w:t>% change</w:t>
            </w: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2026</w:t>
            </w:r>
          </w:p>
        </w:tc>
        <w:tc>
          <w:tcPr>
            <w:tcW w:w="1060" w:type="dxa"/>
            <w:vAlign w:val="bottom"/>
          </w:tcPr>
          <w:p>
            <w:pPr>
              <w:jc w:val="center"/>
              <w:ind w:right="59"/>
              <w:spacing w:after="0"/>
              <w:rPr>
                <w:sz w:val="20"/>
                <w:szCs w:val="20"/>
                <w:color w:val="auto"/>
              </w:rPr>
            </w:pPr>
            <w:r>
              <w:rPr>
                <w:rFonts w:ascii="Arial" w:cs="Arial" w:eastAsia="Arial" w:hAnsi="Arial"/>
                <w:sz w:val="16"/>
                <w:szCs w:val="16"/>
                <w:b w:val="1"/>
                <w:bCs w:val="1"/>
                <w:color w:val="454545"/>
              </w:rPr>
              <w:t>revenues</w:t>
            </w:r>
          </w:p>
        </w:tc>
        <w:tc>
          <w:tcPr>
            <w:tcW w:w="78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2025</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454545"/>
              </w:rPr>
              <w:t>revenues</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20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64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c>
          <w:tcPr>
            <w:tcW w:w="66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1840" w:type="dxa"/>
            <w:vAlign w:val="bottom"/>
            <w:tcBorders>
              <w:bottom w:val="single" w:sz="8" w:color="6022A6"/>
            </w:tcBorders>
            <w:gridSpan w:val="2"/>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r>
      <w:tr>
        <w:trPr>
          <w:trHeight w:val="230"/>
        </w:trPr>
        <w:tc>
          <w:tcPr>
            <w:tcW w:w="2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AIS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593</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15.3 % $</w:t>
            </w:r>
          </w:p>
        </w:tc>
        <w:tc>
          <w:tcPr>
            <w:tcW w:w="6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512</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14.0 %</w:t>
            </w:r>
          </w:p>
        </w:tc>
        <w:tc>
          <w:tcPr>
            <w:tcW w:w="1160" w:type="dxa"/>
            <w:vAlign w:val="bottom"/>
            <w:tcBorders>
              <w:bottom w:val="single" w:sz="8" w:color="E4E4E4"/>
            </w:tcBorders>
            <w:gridSpan w:val="3"/>
            <w:shd w:val="clear" w:color="auto" w:fill="E4E4E4"/>
          </w:tcPr>
          <w:p>
            <w:pPr>
              <w:jc w:val="right"/>
              <w:ind w:right="60"/>
              <w:spacing w:after="0"/>
              <w:rPr>
                <w:sz w:val="20"/>
                <w:szCs w:val="20"/>
                <w:color w:val="auto"/>
              </w:rPr>
            </w:pPr>
            <w:r>
              <w:rPr>
                <w:rFonts w:ascii="Arial" w:cs="Arial" w:eastAsia="Arial" w:hAnsi="Arial"/>
                <w:sz w:val="16"/>
                <w:szCs w:val="16"/>
                <w:color w:val="auto"/>
              </w:rPr>
              <w:t>15.8 %  $</w:t>
            </w:r>
          </w:p>
        </w:tc>
        <w:tc>
          <w:tcPr>
            <w:tcW w:w="6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1,596</w:t>
            </w:r>
          </w:p>
        </w:tc>
        <w:tc>
          <w:tcPr>
            <w:tcW w:w="1840" w:type="dxa"/>
            <w:vAlign w:val="bottom"/>
            <w:tcBorders>
              <w:bottom w:val="single" w:sz="8" w:color="E4E4E4"/>
            </w:tcBorders>
            <w:gridSpan w:val="2"/>
            <w:shd w:val="clear" w:color="auto" w:fill="E4E4E4"/>
          </w:tcPr>
          <w:p>
            <w:pPr>
              <w:jc w:val="right"/>
              <w:ind w:right="39"/>
              <w:spacing w:after="0"/>
              <w:rPr>
                <w:sz w:val="20"/>
                <w:szCs w:val="20"/>
                <w:color w:val="auto"/>
              </w:rPr>
            </w:pPr>
            <w:r>
              <w:rPr>
                <w:rFonts w:ascii="Arial" w:cs="Arial" w:eastAsia="Arial" w:hAnsi="Arial"/>
                <w:sz w:val="16"/>
                <w:szCs w:val="16"/>
                <w:color w:val="auto"/>
              </w:rPr>
              <w:t>14.1 % $   1,426</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13.6 %</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11.9 %</w:t>
            </w:r>
          </w:p>
        </w:tc>
      </w:tr>
      <w:tr>
        <w:trPr>
          <w:trHeight w:val="255"/>
        </w:trPr>
        <w:tc>
          <w:tcPr>
            <w:tcW w:w="2040" w:type="dxa"/>
            <w:vAlign w:val="bottom"/>
          </w:tcPr>
          <w:p>
            <w:pPr>
              <w:ind w:left="20"/>
              <w:spacing w:after="0"/>
              <w:rPr>
                <w:sz w:val="20"/>
                <w:szCs w:val="20"/>
                <w:color w:val="auto"/>
              </w:rPr>
            </w:pPr>
            <w:r>
              <w:rPr>
                <w:rFonts w:ascii="Arial" w:cs="Arial" w:eastAsia="Arial" w:hAnsi="Arial"/>
                <w:sz w:val="16"/>
                <w:szCs w:val="16"/>
                <w:color w:val="auto"/>
              </w:rPr>
              <w:t>PDx</w:t>
            </w:r>
          </w:p>
        </w:tc>
        <w:tc>
          <w:tcPr>
            <w:tcW w:w="180" w:type="dxa"/>
            <w:vAlign w:val="bottom"/>
          </w:tcPr>
          <w:p>
            <w:pPr>
              <w:spacing w:after="0"/>
              <w:rPr>
                <w:sz w:val="22"/>
                <w:szCs w:val="22"/>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29.9 %</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220</w:t>
            </w:r>
          </w:p>
        </w:tc>
        <w:tc>
          <w:tcPr>
            <w:tcW w:w="1000" w:type="dxa"/>
            <w:vAlign w:val="bottom"/>
          </w:tcPr>
          <w:p>
            <w:pPr>
              <w:jc w:val="right"/>
              <w:spacing w:after="0"/>
              <w:rPr>
                <w:sz w:val="20"/>
                <w:szCs w:val="20"/>
                <w:color w:val="auto"/>
              </w:rPr>
            </w:pPr>
            <w:r>
              <w:rPr>
                <w:rFonts w:ascii="Arial" w:cs="Arial" w:eastAsia="Arial" w:hAnsi="Arial"/>
                <w:sz w:val="16"/>
                <w:szCs w:val="16"/>
                <w:color w:val="auto"/>
              </w:rPr>
              <w:t>29.4 %</w:t>
            </w:r>
          </w:p>
        </w:tc>
        <w:tc>
          <w:tcPr>
            <w:tcW w:w="900" w:type="dxa"/>
            <w:vAlign w:val="bottom"/>
          </w:tcPr>
          <w:p>
            <w:pPr>
              <w:jc w:val="right"/>
              <w:spacing w:after="0"/>
              <w:rPr>
                <w:sz w:val="20"/>
                <w:szCs w:val="20"/>
                <w:color w:val="auto"/>
              </w:rPr>
            </w:pPr>
            <w:r>
              <w:rPr>
                <w:rFonts w:ascii="Arial" w:cs="Arial" w:eastAsia="Arial" w:hAnsi="Arial"/>
                <w:sz w:val="16"/>
                <w:szCs w:val="16"/>
                <w:color w:val="auto"/>
              </w:rPr>
              <w:t>14.9 %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699</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28.5 %</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638</w:t>
            </w:r>
          </w:p>
        </w:tc>
        <w:tc>
          <w:tcPr>
            <w:tcW w:w="1000" w:type="dxa"/>
            <w:vAlign w:val="bottom"/>
          </w:tcPr>
          <w:p>
            <w:pPr>
              <w:jc w:val="right"/>
              <w:spacing w:after="0"/>
              <w:rPr>
                <w:sz w:val="20"/>
                <w:szCs w:val="20"/>
                <w:color w:val="auto"/>
              </w:rPr>
            </w:pPr>
            <w:r>
              <w:rPr>
                <w:rFonts w:ascii="Arial" w:cs="Arial" w:eastAsia="Arial" w:hAnsi="Arial"/>
                <w:sz w:val="16"/>
                <w:szCs w:val="16"/>
                <w:color w:val="auto"/>
              </w:rPr>
              <w:t>30.3 %</w:t>
            </w:r>
          </w:p>
        </w:tc>
        <w:tc>
          <w:tcPr>
            <w:tcW w:w="900" w:type="dxa"/>
            <w:vAlign w:val="bottom"/>
          </w:tcPr>
          <w:p>
            <w:pPr>
              <w:jc w:val="right"/>
              <w:spacing w:after="0"/>
              <w:rPr>
                <w:sz w:val="20"/>
                <w:szCs w:val="20"/>
                <w:color w:val="auto"/>
              </w:rPr>
            </w:pPr>
            <w:r>
              <w:rPr>
                <w:rFonts w:ascii="Arial" w:cs="Arial" w:eastAsia="Arial" w:hAnsi="Arial"/>
                <w:sz w:val="16"/>
                <w:szCs w:val="16"/>
                <w:color w:val="auto"/>
              </w:rPr>
              <w:t>9.5 %</w:t>
            </w:r>
          </w:p>
        </w:tc>
      </w:tr>
      <w:tr>
        <w:trPr>
          <w:trHeight w:val="29"/>
        </w:trPr>
        <w:tc>
          <w:tcPr>
            <w:tcW w:w="2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2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180" w:type="dxa"/>
            <w:vAlign w:val="bottom"/>
            <w:tcBorders>
              <w:bottom w:val="single" w:sz="8" w:color="E4E4E4"/>
            </w:tcBorders>
            <w:shd w:val="clear" w:color="auto" w:fill="E4E4E4"/>
          </w:tcPr>
          <w:p>
            <w:pPr>
              <w:spacing w:after="0"/>
              <w:rPr>
                <w:sz w:val="22"/>
                <w:szCs w:val="22"/>
                <w:color w:val="auto"/>
              </w:rPr>
            </w:pPr>
          </w:p>
        </w:tc>
        <w:tc>
          <w:tcPr>
            <w:tcW w:w="6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68</w:t>
            </w:r>
          </w:p>
        </w:tc>
        <w:tc>
          <w:tcPr>
            <w:tcW w:w="114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8.6 %</w:t>
            </w:r>
          </w:p>
        </w:tc>
        <w:tc>
          <w:tcPr>
            <w:tcW w:w="6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27</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3.7 %</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148.8 %</w:t>
            </w:r>
          </w:p>
        </w:tc>
        <w:tc>
          <w:tcPr>
            <w:tcW w:w="8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52</w:t>
            </w:r>
          </w:p>
        </w:tc>
        <w:tc>
          <w:tcPr>
            <w:tcW w:w="10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2.4 %</w:t>
            </w:r>
          </w:p>
        </w:tc>
        <w:tc>
          <w:tcPr>
            <w:tcW w:w="7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135</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6.0 %</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(61.5)%</w:t>
            </w:r>
          </w:p>
        </w:tc>
      </w:tr>
      <w:tr>
        <w:trPr>
          <w:trHeight w:val="20"/>
        </w:trPr>
        <w:tc>
          <w:tcPr>
            <w:tcW w:w="2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 xml:space="preserve">For the </w:t>
      </w:r>
      <w:r>
        <w:rPr>
          <w:rFonts w:ascii="Arial" w:cs="Arial" w:eastAsia="Arial" w:hAnsi="Arial"/>
          <w:sz w:val="16"/>
          <w:szCs w:val="16"/>
          <w:i w:val="1"/>
          <w:iCs w:val="1"/>
          <w:color w:val="000000"/>
        </w:rPr>
        <w:t>three months ended</w:t>
      </w:r>
      <w:r>
        <w:rPr>
          <w:rFonts w:ascii="Arial" w:cs="Arial" w:eastAsia="Arial" w:hAnsi="Arial"/>
          <w:sz w:val="16"/>
          <w:szCs w:val="16"/>
          <w:i w:val="1"/>
          <w:iCs w:val="1"/>
          <w:color w:val="231F20"/>
        </w:rPr>
        <w:t xml:space="preserve"> September 30, 2026</w:t>
      </w:r>
    </w:p>
    <w:p>
      <w:pPr>
        <w:spacing w:after="0" w:line="260" w:lineRule="exact"/>
        <w:rPr>
          <w:sz w:val="20"/>
          <w:szCs w:val="20"/>
          <w:color w:val="auto"/>
        </w:rPr>
      </w:pPr>
    </w:p>
    <w:p>
      <w:pPr>
        <w:ind w:left="660" w:right="300" w:hanging="328"/>
        <w:spacing w:after="0" w:line="304" w:lineRule="auto"/>
        <w:tabs>
          <w:tab w:leader="none" w:pos="649" w:val="left"/>
        </w:tabs>
        <w:numPr>
          <w:ilvl w:val="0"/>
          <w:numId w:val="27"/>
        </w:numPr>
        <w:rPr>
          <w:rFonts w:ascii="Arial" w:cs="Arial" w:eastAsia="Arial" w:hAnsi="Arial"/>
          <w:sz w:val="16"/>
          <w:szCs w:val="16"/>
          <w:i w:val="1"/>
          <w:iCs w:val="1"/>
          <w:color w:val="231F20"/>
        </w:rPr>
      </w:pPr>
      <w:r>
        <w:rPr>
          <w:rFonts w:ascii="Arial" w:cs="Arial" w:eastAsia="Arial" w:hAnsi="Arial"/>
          <w:sz w:val="16"/>
          <w:szCs w:val="16"/>
          <w:color w:val="auto"/>
        </w:rPr>
        <w:t>AIS Segment EBIT was $593 million, an increase of $81 million due to growth in sales volume, a decrease in tariff expenses, and an increase in price, partially offset by cost inflation;</w:t>
      </w:r>
    </w:p>
    <w:p>
      <w:pPr>
        <w:spacing w:after="0" w:line="19" w:lineRule="exact"/>
        <w:rPr>
          <w:rFonts w:ascii="Arial" w:cs="Arial" w:eastAsia="Arial" w:hAnsi="Arial"/>
          <w:sz w:val="16"/>
          <w:szCs w:val="16"/>
          <w:i w:val="1"/>
          <w:iCs w:val="1"/>
          <w:color w:val="231F20"/>
        </w:rPr>
      </w:pPr>
    </w:p>
    <w:p>
      <w:pPr>
        <w:ind w:left="660" w:right="140" w:hanging="328"/>
        <w:spacing w:after="0" w:line="286" w:lineRule="auto"/>
        <w:tabs>
          <w:tab w:leader="none" w:pos="649" w:val="left"/>
        </w:tabs>
        <w:numPr>
          <w:ilvl w:val="0"/>
          <w:numId w:val="27"/>
        </w:numPr>
        <w:rPr>
          <w:rFonts w:ascii="Arial" w:cs="Arial" w:eastAsia="Arial" w:hAnsi="Arial"/>
          <w:sz w:val="16"/>
          <w:szCs w:val="16"/>
          <w:i w:val="1"/>
          <w:iCs w:val="1"/>
          <w:color w:val="231F20"/>
        </w:rPr>
      </w:pPr>
      <w:r>
        <w:rPr>
          <w:rFonts w:ascii="Arial" w:cs="Arial" w:eastAsia="Arial" w:hAnsi="Arial"/>
          <w:sz w:val="16"/>
          <w:szCs w:val="16"/>
          <w:color w:val="auto"/>
        </w:rPr>
        <w:t>PDx Segment EBIT was $253 million, an increase of $33 million due to growth in sales volume and an increase in price, partially offset by planned investments; and</w:t>
      </w:r>
    </w:p>
    <w:p>
      <w:pPr>
        <w:spacing w:after="0" w:line="34" w:lineRule="exact"/>
        <w:rPr>
          <w:rFonts w:ascii="Arial" w:cs="Arial" w:eastAsia="Arial" w:hAnsi="Arial"/>
          <w:sz w:val="16"/>
          <w:szCs w:val="16"/>
          <w:i w:val="1"/>
          <w:iCs w:val="1"/>
          <w:color w:val="231F20"/>
        </w:rPr>
      </w:pPr>
    </w:p>
    <w:p>
      <w:pPr>
        <w:ind w:left="640" w:hanging="308"/>
        <w:spacing w:after="0"/>
        <w:tabs>
          <w:tab w:leader="none" w:pos="640" w:val="left"/>
        </w:tabs>
        <w:numPr>
          <w:ilvl w:val="0"/>
          <w:numId w:val="27"/>
        </w:numPr>
        <w:rPr>
          <w:rFonts w:ascii="Arial" w:cs="Arial" w:eastAsia="Arial" w:hAnsi="Arial"/>
          <w:sz w:val="16"/>
          <w:szCs w:val="16"/>
          <w:i w:val="1"/>
          <w:iCs w:val="1"/>
          <w:color w:val="231F20"/>
        </w:rPr>
      </w:pPr>
      <w:r>
        <w:rPr>
          <w:rFonts w:ascii="Arial" w:cs="Arial" w:eastAsia="Arial" w:hAnsi="Arial"/>
          <w:sz w:val="16"/>
          <w:szCs w:val="16"/>
          <w:color w:val="auto"/>
        </w:rPr>
        <w:t>PCS Segment EBIT was $68 million, an increase of $41 million due to growth in sales volume and cost productivity.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nine months ended September 30, 2026</w:t>
      </w:r>
    </w:p>
    <w:p>
      <w:pPr>
        <w:spacing w:after="0" w:line="246" w:lineRule="exact"/>
        <w:rPr>
          <w:sz w:val="20"/>
          <w:szCs w:val="20"/>
          <w:color w:val="auto"/>
        </w:rPr>
      </w:pPr>
    </w:p>
    <w:p>
      <w:pPr>
        <w:ind w:left="660" w:right="240" w:hanging="328"/>
        <w:spacing w:after="0" w:line="304" w:lineRule="auto"/>
        <w:tabs>
          <w:tab w:leader="none" w:pos="649" w:val="left"/>
        </w:tabs>
        <w:numPr>
          <w:ilvl w:val="0"/>
          <w:numId w:val="28"/>
        </w:numPr>
        <w:rPr>
          <w:rFonts w:ascii="Arial" w:cs="Arial" w:eastAsia="Arial" w:hAnsi="Arial"/>
          <w:sz w:val="16"/>
          <w:szCs w:val="16"/>
          <w:i w:val="1"/>
          <w:iCs w:val="1"/>
          <w:color w:val="231F20"/>
        </w:rPr>
      </w:pPr>
      <w:r>
        <w:rPr>
          <w:rFonts w:ascii="Arial" w:cs="Arial" w:eastAsia="Arial" w:hAnsi="Arial"/>
          <w:sz w:val="16"/>
          <w:szCs w:val="16"/>
          <w:color w:val="auto"/>
        </w:rPr>
        <w:t>AIS Segment EBIT was $1,596 million, an increase of $170 million due to growth in sales volume and an increase in price, partially offset by cost inflation, including the impact of incremental tariffs;</w:t>
      </w:r>
    </w:p>
    <w:p>
      <w:pPr>
        <w:spacing w:after="0" w:line="19" w:lineRule="exact"/>
        <w:rPr>
          <w:rFonts w:ascii="Arial" w:cs="Arial" w:eastAsia="Arial" w:hAnsi="Arial"/>
          <w:sz w:val="16"/>
          <w:szCs w:val="16"/>
          <w:i w:val="1"/>
          <w:iCs w:val="1"/>
          <w:color w:val="231F20"/>
        </w:rPr>
      </w:pPr>
    </w:p>
    <w:p>
      <w:pPr>
        <w:ind w:left="660" w:right="140" w:hanging="328"/>
        <w:spacing w:after="0" w:line="286" w:lineRule="auto"/>
        <w:tabs>
          <w:tab w:leader="none" w:pos="649" w:val="left"/>
        </w:tabs>
        <w:numPr>
          <w:ilvl w:val="0"/>
          <w:numId w:val="28"/>
        </w:numPr>
        <w:rPr>
          <w:rFonts w:ascii="Arial" w:cs="Arial" w:eastAsia="Arial" w:hAnsi="Arial"/>
          <w:sz w:val="16"/>
          <w:szCs w:val="16"/>
          <w:i w:val="1"/>
          <w:iCs w:val="1"/>
          <w:color w:val="231F20"/>
        </w:rPr>
      </w:pPr>
      <w:r>
        <w:rPr>
          <w:rFonts w:ascii="Arial" w:cs="Arial" w:eastAsia="Arial" w:hAnsi="Arial"/>
          <w:sz w:val="16"/>
          <w:szCs w:val="16"/>
          <w:color w:val="auto"/>
        </w:rPr>
        <w:t>PDx Segment EBIT was $699 million, an increase of $61 million due to growth in sales volume and an increase in price, partially offset by planned investments; and</w:t>
      </w:r>
    </w:p>
    <w:p>
      <w:pPr>
        <w:spacing w:after="0" w:line="34" w:lineRule="exact"/>
        <w:rPr>
          <w:rFonts w:ascii="Arial" w:cs="Arial" w:eastAsia="Arial" w:hAnsi="Arial"/>
          <w:sz w:val="16"/>
          <w:szCs w:val="16"/>
          <w:i w:val="1"/>
          <w:iCs w:val="1"/>
          <w:color w:val="231F20"/>
        </w:rPr>
      </w:pPr>
    </w:p>
    <w:p>
      <w:pPr>
        <w:ind w:left="640" w:hanging="308"/>
        <w:spacing w:after="0"/>
        <w:tabs>
          <w:tab w:leader="none" w:pos="640" w:val="left"/>
        </w:tabs>
        <w:numPr>
          <w:ilvl w:val="0"/>
          <w:numId w:val="28"/>
        </w:numPr>
        <w:rPr>
          <w:rFonts w:ascii="Arial" w:cs="Arial" w:eastAsia="Arial" w:hAnsi="Arial"/>
          <w:sz w:val="16"/>
          <w:szCs w:val="16"/>
          <w:i w:val="1"/>
          <w:iCs w:val="1"/>
          <w:color w:val="231F20"/>
        </w:rPr>
      </w:pPr>
      <w:r>
        <w:rPr>
          <w:rFonts w:ascii="Arial" w:cs="Arial" w:eastAsia="Arial" w:hAnsi="Arial"/>
          <w:sz w:val="16"/>
          <w:szCs w:val="16"/>
          <w:color w:val="auto"/>
        </w:rPr>
        <w:t>PCS Segment EBIT was $52 million, a decrease of $83 million primarily due to a decline in sales volume.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non-GAAP financial measures presented in this Quarterly Report on Form 10-Q are supplemental measures of our performance and our liquidity that we believe will help investors understand our financial condition, cash flows, and operating results, and assess our future prospects. When read in conjunction with our U.S. GAAP results, these non-GAAP financial measures provide a baseline for analyzing trends in our underlying businesses and can be used by management as one basis for making financial, operational, and planning decisions. Descriptions of the reported non-GAAP measures are included below.</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 report Organic revenue and Organic revenue growth rate to provide management and investors with additional understanding and visibility into the underlying revenue trends of our established, ongoing operations, as well as provide insights into overall demand for our products and services. To calculate these measures, we exclude the effect of acquisitions, dispositions, and foreign currency rate fluctuations.</w:t>
      </w:r>
    </w:p>
    <w:p>
      <w:pPr>
        <w:spacing w:after="0" w:line="19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 xml:space="preserve">We report EBIT, Adjusted EBIT, Adjusted EBIT margin, Adjusted net income, and Adjusted earnings per share to provide management and investors with an additional understanding of our business by highlighting the results from ongoing operations and the underlying profitability factors, on a normalized basis. To calculate these measures we exclude, and reflect in the detailed reconciliations below, the following adjustments as applicable: Interest and other financial charges </w:t>
      </w:r>
      <w:r>
        <w:rPr>
          <w:rFonts w:ascii="Arial" w:cs="Arial" w:eastAsia="Arial" w:hAnsi="Arial"/>
          <w:sz w:val="16"/>
          <w:szCs w:val="16"/>
          <w:color w:val="231F20"/>
        </w:rPr>
        <w:t>–</w:t>
      </w:r>
      <w:r>
        <w:rPr>
          <w:rFonts w:ascii="Arial" w:cs="Arial" w:eastAsia="Arial" w:hAnsi="Arial"/>
          <w:sz w:val="16"/>
          <w:szCs w:val="16"/>
          <w:color w:val="auto"/>
        </w:rPr>
        <w:t xml:space="preserve"> net, Net (income) loss attributable to noncontrolling interests, Non-operating benefit (income) costs, Benefit (provision) for income taxes and certain tax related adjustments, and certain non-recurring and/or non-cash items. We may from time to time consider excluding other non-recurring items to enhance comparability between periods. Adjusted EBIT margin is calculated by taking Adjusted EBIT divided by Total revenues for the same period.</w:t>
      </w:r>
    </w:p>
    <w:p>
      <w:pPr>
        <w:spacing w:after="0" w:line="21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report Adjusted tax expense and Adjusted ETR to provide management and investors with a better understanding of the normalized tax rate applicable to our business and provide more consistent comparability across periods. Adjusted tax expense excludes the income tax related to the pre-tax income adjustments included as part of Adjusted net income and certain income tax adjustments, such as adjustments to deferred tax assets or liabilities. We may from time to time consider excluding other non-recurring tax items to enhance comparability between periods. Adjusted ETR is Adjusted tax expense divided by income before income taxes less the pre-tax income adjustments referenced above.</w:t>
      </w:r>
    </w:p>
    <w:p>
      <w:pPr>
        <w:spacing w:after="0" w:line="218" w:lineRule="exact"/>
        <w:rPr>
          <w:sz w:val="20"/>
          <w:szCs w:val="20"/>
          <w:color w:val="auto"/>
        </w:rPr>
      </w:pPr>
    </w:p>
    <w:p>
      <w:pPr>
        <w:jc w:val="both"/>
        <w:ind w:right="40"/>
        <w:spacing w:after="0" w:line="265" w:lineRule="auto"/>
        <w:rPr>
          <w:sz w:val="20"/>
          <w:szCs w:val="20"/>
          <w:color w:val="auto"/>
        </w:rPr>
      </w:pPr>
      <w:r>
        <w:rPr>
          <w:rFonts w:ascii="Arial" w:cs="Arial" w:eastAsia="Arial" w:hAnsi="Arial"/>
          <w:sz w:val="16"/>
          <w:szCs w:val="16"/>
          <w:color w:val="auto"/>
        </w:rPr>
        <w:t>We report Free cash flow to provide management and investors with an important measure of our ability to generate cash on a normalized basis and provide insight into our flexibility to allocate capital. Free cash flow is Cash from (used for) operating activities – continuing operations including cash flows related to the additions and dispositions of property, plant, and equipment (“PP&amp;E”) and additions of internal-use software. Free cash flow does not represent residual cash flows available for discretionary expenditures, due to the fact that the measure does not deduct the capital required for debt repayments.</w:t>
      </w:r>
    </w:p>
    <w:p>
      <w:pPr>
        <w:spacing w:after="0" w:line="200"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Management recognizes that these non-GAAP financial measures have limitations, including that they may be calculated differently by other companies or may be used under different circumstances or for different purposes. In order to compensate for the discussed limitations, management does not consider these measures in isolation from or as alternatives to the comparable financial measures determined in accordance with U.S. GAAP. The detailed reconciliations of each non-GAAP financial measure to the most directly comparable U.S. GAAP financial measure are provided below, and no single financial measure should be relied on to evaluate our business.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60" w:type="dxa"/>
            <w:vAlign w:val="bottom"/>
          </w:tcPr>
          <w:p>
            <w:pPr>
              <w:ind w:left="80"/>
              <w:spacing w:after="0"/>
              <w:rPr>
                <w:sz w:val="20"/>
                <w:szCs w:val="20"/>
                <w:color w:val="auto"/>
              </w:rPr>
            </w:pPr>
            <w:r>
              <w:rPr>
                <w:rFonts w:ascii="Arial" w:cs="Arial" w:eastAsia="Arial" w:hAnsi="Arial"/>
                <w:sz w:val="16"/>
                <w:szCs w:val="16"/>
                <w:b w:val="1"/>
                <w:bCs w:val="1"/>
                <w:color w:val="auto"/>
              </w:rPr>
              <w:t>Organic Revenue*</w:t>
            </w:r>
          </w:p>
        </w:tc>
        <w:tc>
          <w:tcPr>
            <w:tcW w:w="160" w:type="dxa"/>
            <w:vAlign w:val="bottom"/>
          </w:tcPr>
          <w:p>
            <w:pPr>
              <w:spacing w:after="0"/>
              <w:rPr>
                <w:sz w:val="20"/>
                <w:szCs w:val="20"/>
                <w:color w:val="auto"/>
              </w:rPr>
            </w:pPr>
          </w:p>
        </w:tc>
        <w:tc>
          <w:tcPr>
            <w:tcW w:w="360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454545"/>
              </w:rPr>
              <w:t>For the three months ended September 30</w:t>
            </w:r>
          </w:p>
        </w:tc>
        <w:tc>
          <w:tcPr>
            <w:tcW w:w="180" w:type="dxa"/>
            <w:vAlign w:val="bottom"/>
          </w:tcPr>
          <w:p>
            <w:pPr>
              <w:spacing w:after="0"/>
              <w:rPr>
                <w:sz w:val="20"/>
                <w:szCs w:val="20"/>
                <w:color w:val="auto"/>
              </w:rPr>
            </w:pPr>
          </w:p>
        </w:tc>
        <w:tc>
          <w:tcPr>
            <w:tcW w:w="344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386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r>
      <w:tr>
        <w:trPr>
          <w:trHeight w:val="229"/>
        </w:trPr>
        <w:tc>
          <w:tcPr>
            <w:tcW w:w="3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2026</w:t>
            </w:r>
          </w:p>
        </w:tc>
        <w:tc>
          <w:tcPr>
            <w:tcW w:w="28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2025</w:t>
            </w: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454545"/>
              </w:rPr>
              <w:t>% change</w:t>
            </w:r>
          </w:p>
        </w:tc>
        <w:tc>
          <w:tcPr>
            <w:tcW w:w="180" w:type="dxa"/>
            <w:vAlign w:val="bottom"/>
          </w:tcPr>
          <w:p>
            <w:pPr>
              <w:spacing w:after="0"/>
              <w:rPr>
                <w:sz w:val="19"/>
                <w:szCs w:val="19"/>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454545"/>
              </w:rPr>
              <w:t>2026</w:t>
            </w:r>
          </w:p>
        </w:tc>
        <w:tc>
          <w:tcPr>
            <w:tcW w:w="30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2025</w:t>
            </w: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386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r>
      <w:tr>
        <w:trPr>
          <w:trHeight w:val="250"/>
        </w:trPr>
        <w:tc>
          <w:tcPr>
            <w:tcW w:w="3860" w:type="dxa"/>
            <w:vAlign w:val="bottom"/>
            <w:shd w:val="clear" w:color="auto" w:fill="E4E4E4"/>
          </w:tcPr>
          <w:p>
            <w:pPr>
              <w:ind w:left="80"/>
              <w:spacing w:after="0"/>
              <w:rPr>
                <w:sz w:val="20"/>
                <w:szCs w:val="20"/>
                <w:color w:val="auto"/>
              </w:rPr>
            </w:pPr>
            <w:r>
              <w:rPr>
                <w:rFonts w:ascii="Arial" w:cs="Arial" w:eastAsia="Arial" w:hAnsi="Arial"/>
                <w:sz w:val="16"/>
                <w:szCs w:val="16"/>
                <w:b w:val="1"/>
                <w:bCs w:val="1"/>
                <w:color w:val="auto"/>
              </w:rPr>
              <w:t>AIS revenues</w:t>
            </w:r>
          </w:p>
        </w:tc>
        <w:tc>
          <w:tcPr>
            <w:tcW w:w="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3,873</w:t>
            </w:r>
          </w:p>
        </w:tc>
        <w:tc>
          <w:tcPr>
            <w:tcW w:w="280" w:type="dxa"/>
            <w:vAlign w:val="bottom"/>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3,649</w:t>
            </w:r>
          </w:p>
        </w:tc>
        <w:tc>
          <w:tcPr>
            <w:tcW w:w="11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6.1%</w:t>
            </w:r>
          </w:p>
        </w:tc>
        <w:tc>
          <w:tcPr>
            <w:tcW w:w="140" w:type="dxa"/>
            <w:vAlign w:val="bottom"/>
            <w:shd w:val="clear" w:color="auto" w:fill="E4E4E4"/>
          </w:tcPr>
          <w:p>
            <w:pPr>
              <w:spacing w:after="0"/>
              <w:rPr>
                <w:sz w:val="21"/>
                <w:szCs w:val="21"/>
                <w:color w:val="auto"/>
              </w:rPr>
            </w:pP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11,284</w:t>
            </w:r>
          </w:p>
        </w:tc>
        <w:tc>
          <w:tcPr>
            <w:tcW w:w="300" w:type="dxa"/>
            <w:vAlign w:val="bottom"/>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10,522</w:t>
            </w:r>
          </w:p>
        </w:tc>
        <w:tc>
          <w:tcPr>
            <w:tcW w:w="1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7.2%</w:t>
            </w:r>
          </w:p>
        </w:tc>
      </w:tr>
      <w:tr>
        <w:trPr>
          <w:trHeight w:val="256"/>
        </w:trPr>
        <w:tc>
          <w:tcPr>
            <w:tcW w:w="386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22"/>
                <w:szCs w:val="22"/>
                <w:color w:val="auto"/>
              </w:rPr>
            </w:pPr>
          </w:p>
        </w:tc>
      </w:tr>
      <w:tr>
        <w:trPr>
          <w:trHeight w:val="257"/>
        </w:trPr>
        <w:tc>
          <w:tcPr>
            <w:tcW w:w="386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60" w:type="dxa"/>
            <w:vAlign w:val="bottom"/>
            <w:shd w:val="clear" w:color="auto" w:fill="E4E4E4"/>
          </w:tcPr>
          <w:p>
            <w:pPr>
              <w:spacing w:after="0"/>
              <w:rPr>
                <w:sz w:val="22"/>
                <w:szCs w:val="22"/>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4E4E4"/>
          </w:tcPr>
          <w:p>
            <w:pPr>
              <w:spacing w:after="0"/>
              <w:rPr>
                <w:sz w:val="22"/>
                <w:szCs w:val="22"/>
                <w:color w:val="auto"/>
              </w:rPr>
            </w:pPr>
          </w:p>
        </w:tc>
        <w:tc>
          <w:tcPr>
            <w:tcW w:w="140" w:type="dxa"/>
            <w:vAlign w:val="bottom"/>
            <w:shd w:val="clear" w:color="auto" w:fill="E4E4E4"/>
          </w:tcPr>
          <w:p>
            <w:pPr>
              <w:spacing w:after="0"/>
              <w:rPr>
                <w:sz w:val="22"/>
                <w:szCs w:val="22"/>
                <w:color w:val="auto"/>
              </w:rPr>
            </w:pPr>
          </w:p>
        </w:tc>
        <w:tc>
          <w:tcPr>
            <w:tcW w:w="180" w:type="dxa"/>
            <w:vAlign w:val="bottom"/>
            <w:shd w:val="clear" w:color="auto" w:fill="E4E4E4"/>
          </w:tcPr>
          <w:p>
            <w:pPr>
              <w:spacing w:after="0"/>
              <w:rPr>
                <w:sz w:val="22"/>
                <w:szCs w:val="22"/>
                <w:color w:val="auto"/>
              </w:rPr>
            </w:pPr>
          </w:p>
        </w:tc>
        <w:tc>
          <w:tcPr>
            <w:tcW w:w="10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4E4E4"/>
          </w:tcPr>
          <w:p>
            <w:pPr>
              <w:spacing w:after="0"/>
              <w:rPr>
                <w:sz w:val="22"/>
                <w:szCs w:val="22"/>
                <w:color w:val="auto"/>
              </w:rPr>
            </w:pPr>
          </w:p>
        </w:tc>
      </w:tr>
      <w:tr>
        <w:trPr>
          <w:trHeight w:val="257"/>
        </w:trPr>
        <w:tc>
          <w:tcPr>
            <w:tcW w:w="386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spacing w:after="0"/>
              <w:rPr>
                <w:sz w:val="22"/>
                <w:szCs w:val="22"/>
                <w:color w:val="auto"/>
              </w:rPr>
            </w:pPr>
          </w:p>
        </w:tc>
      </w:tr>
      <w:tr>
        <w:trPr>
          <w:trHeight w:val="250"/>
        </w:trPr>
        <w:tc>
          <w:tcPr>
            <w:tcW w:w="3860" w:type="dxa"/>
            <w:vAlign w:val="bottom"/>
            <w:tcBorders>
              <w:top w:val="single" w:sz="8" w:color="auto"/>
              <w:bottom w:val="single" w:sz="8" w:color="auto"/>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AIS Organic revenue*</w:t>
            </w:r>
          </w:p>
        </w:tc>
        <w:tc>
          <w:tcPr>
            <w:tcW w:w="160" w:type="dxa"/>
            <w:vAlign w:val="bottom"/>
            <w:tcBorders>
              <w:top w:val="single" w:sz="8" w:color="auto"/>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3,814</w:t>
            </w:r>
          </w:p>
        </w:tc>
        <w:tc>
          <w:tcPr>
            <w:tcW w:w="280" w:type="dxa"/>
            <w:vAlign w:val="bottom"/>
            <w:tcBorders>
              <w:top w:val="single" w:sz="8" w:color="auto"/>
              <w:bottom w:val="single" w:sz="8" w:color="auto"/>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3,649</w:t>
            </w:r>
          </w:p>
        </w:tc>
        <w:tc>
          <w:tcPr>
            <w:tcW w:w="1120" w:type="dxa"/>
            <w:vAlign w:val="bottom"/>
            <w:tcBorders>
              <w:top w:val="single" w:sz="8" w:color="E4E4E4"/>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w:t>
            </w:r>
          </w:p>
        </w:tc>
        <w:tc>
          <w:tcPr>
            <w:tcW w:w="140" w:type="dxa"/>
            <w:vAlign w:val="bottom"/>
            <w:tcBorders>
              <w:top w:val="single" w:sz="8" w:color="E4E4E4"/>
              <w:bottom w:val="single" w:sz="8" w:color="auto"/>
            </w:tcBorders>
            <w:shd w:val="clear" w:color="auto" w:fill="E4E4E4"/>
          </w:tcPr>
          <w:p>
            <w:pPr>
              <w:spacing w:after="0"/>
              <w:rPr>
                <w:sz w:val="21"/>
                <w:szCs w:val="21"/>
                <w:color w:val="auto"/>
              </w:rPr>
            </w:pPr>
          </w:p>
        </w:tc>
        <w:tc>
          <w:tcPr>
            <w:tcW w:w="180" w:type="dxa"/>
            <w:vAlign w:val="bottom"/>
            <w:tcBorders>
              <w:top w:val="single" w:sz="8" w:color="auto"/>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10,996</w:t>
            </w:r>
          </w:p>
        </w:tc>
        <w:tc>
          <w:tcPr>
            <w:tcW w:w="300" w:type="dxa"/>
            <w:vAlign w:val="bottom"/>
            <w:tcBorders>
              <w:top w:val="single" w:sz="8" w:color="auto"/>
              <w:bottom w:val="single" w:sz="8" w:color="auto"/>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10,522</w:t>
            </w:r>
          </w:p>
        </w:tc>
        <w:tc>
          <w:tcPr>
            <w:tcW w:w="1140" w:type="dxa"/>
            <w:vAlign w:val="bottom"/>
            <w:tcBorders>
              <w:top w:val="single" w:sz="8" w:color="E4E4E4"/>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w:t>
            </w:r>
          </w:p>
        </w:tc>
      </w:tr>
      <w:tr>
        <w:trPr>
          <w:trHeight w:val="229"/>
        </w:trPr>
        <w:tc>
          <w:tcPr>
            <w:tcW w:w="3860" w:type="dxa"/>
            <w:vAlign w:val="bottom"/>
          </w:tcPr>
          <w:p>
            <w:pPr>
              <w:ind w:left="80"/>
              <w:spacing w:after="0"/>
              <w:rPr>
                <w:sz w:val="20"/>
                <w:szCs w:val="20"/>
                <w:color w:val="auto"/>
              </w:rPr>
            </w:pPr>
            <w:r>
              <w:rPr>
                <w:rFonts w:ascii="Arial" w:cs="Arial" w:eastAsia="Arial" w:hAnsi="Arial"/>
                <w:sz w:val="16"/>
                <w:szCs w:val="16"/>
                <w:b w:val="1"/>
                <w:bCs w:val="1"/>
                <w:color w:val="auto"/>
              </w:rPr>
              <w:t>PDx revenues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846</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749</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13.0%</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2,458</w:t>
            </w:r>
          </w:p>
        </w:tc>
        <w:tc>
          <w:tcPr>
            <w:tcW w:w="3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2,110</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16.5%</w:t>
            </w:r>
          </w:p>
        </w:tc>
      </w:tr>
      <w:tr>
        <w:trPr>
          <w:trHeight w:val="21"/>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7"/>
        </w:trPr>
        <w:tc>
          <w:tcPr>
            <w:tcW w:w="386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60" w:type="dxa"/>
            <w:vAlign w:val="bottom"/>
            <w:shd w:val="clear" w:color="auto" w:fill="E4E4E4"/>
          </w:tcPr>
          <w:p>
            <w:pPr>
              <w:spacing w:after="0"/>
              <w:rPr>
                <w:sz w:val="22"/>
                <w:szCs w:val="22"/>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4E4E4"/>
          </w:tcPr>
          <w:p>
            <w:pPr>
              <w:spacing w:after="0"/>
              <w:rPr>
                <w:sz w:val="22"/>
                <w:szCs w:val="22"/>
                <w:color w:val="auto"/>
              </w:rPr>
            </w:pPr>
          </w:p>
        </w:tc>
        <w:tc>
          <w:tcPr>
            <w:tcW w:w="140" w:type="dxa"/>
            <w:vAlign w:val="bottom"/>
            <w:shd w:val="clear" w:color="auto" w:fill="E4E4E4"/>
          </w:tcPr>
          <w:p>
            <w:pPr>
              <w:spacing w:after="0"/>
              <w:rPr>
                <w:sz w:val="22"/>
                <w:szCs w:val="22"/>
                <w:color w:val="auto"/>
              </w:rPr>
            </w:pPr>
          </w:p>
        </w:tc>
        <w:tc>
          <w:tcPr>
            <w:tcW w:w="180" w:type="dxa"/>
            <w:vAlign w:val="bottom"/>
            <w:shd w:val="clear" w:color="auto" w:fill="E4E4E4"/>
          </w:tcPr>
          <w:p>
            <w:pPr>
              <w:spacing w:after="0"/>
              <w:rPr>
                <w:sz w:val="22"/>
                <w:szCs w:val="22"/>
                <w:color w:val="auto"/>
              </w:rPr>
            </w:pPr>
          </w:p>
        </w:tc>
        <w:tc>
          <w:tcPr>
            <w:tcW w:w="10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50</w:t>
            </w:r>
          </w:p>
        </w:tc>
        <w:tc>
          <w:tcPr>
            <w:tcW w:w="300" w:type="dxa"/>
            <w:vAlign w:val="bottom"/>
            <w:shd w:val="clear" w:color="auto" w:fill="E4E4E4"/>
          </w:tcPr>
          <w:p>
            <w:pPr>
              <w:spacing w:after="0"/>
              <w:rPr>
                <w:sz w:val="22"/>
                <w:szCs w:val="22"/>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1140" w:type="dxa"/>
            <w:vAlign w:val="bottom"/>
            <w:shd w:val="clear" w:color="auto" w:fill="E4E4E4"/>
          </w:tcPr>
          <w:p>
            <w:pPr>
              <w:spacing w:after="0"/>
              <w:rPr>
                <w:sz w:val="22"/>
                <w:szCs w:val="22"/>
                <w:color w:val="auto"/>
              </w:rPr>
            </w:pPr>
          </w:p>
        </w:tc>
      </w:tr>
      <w:tr>
        <w:trPr>
          <w:trHeight w:val="257"/>
        </w:trPr>
        <w:tc>
          <w:tcPr>
            <w:tcW w:w="386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22"/>
                <w:szCs w:val="22"/>
                <w:color w:val="auto"/>
              </w:rPr>
            </w:pPr>
          </w:p>
        </w:tc>
      </w:tr>
      <w:tr>
        <w:trPr>
          <w:trHeight w:val="256"/>
        </w:trPr>
        <w:tc>
          <w:tcPr>
            <w:tcW w:w="38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16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E4E4E4"/>
          </w:tcPr>
          <w:p>
            <w:pPr>
              <w:spacing w:after="0"/>
              <w:rPr>
                <w:sz w:val="22"/>
                <w:szCs w:val="22"/>
                <w:color w:val="auto"/>
              </w:rPr>
            </w:pPr>
          </w:p>
        </w:tc>
        <w:tc>
          <w:tcPr>
            <w:tcW w:w="140" w:type="dxa"/>
            <w:vAlign w:val="bottom"/>
            <w:tcBorders>
              <w:bottom w:val="single" w:sz="8" w:color="auto"/>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30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4E4E4"/>
          </w:tcPr>
          <w:p>
            <w:pPr>
              <w:spacing w:after="0"/>
              <w:rPr>
                <w:sz w:val="22"/>
                <w:szCs w:val="22"/>
                <w:color w:val="auto"/>
              </w:rPr>
            </w:pPr>
          </w:p>
        </w:tc>
      </w:tr>
      <w:tr>
        <w:trPr>
          <w:trHeight w:val="229"/>
        </w:trPr>
        <w:tc>
          <w:tcPr>
            <w:tcW w:w="38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Organic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852</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749</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13.8%</w:t>
            </w: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2,379</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2,109</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12.8%</w:t>
            </w:r>
          </w:p>
        </w:tc>
      </w:tr>
      <w:tr>
        <w:trPr>
          <w:trHeight w:val="21"/>
        </w:trPr>
        <w:tc>
          <w:tcPr>
            <w:tcW w:w="3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38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revenues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793</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731</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8.5%</w:t>
            </w:r>
          </w:p>
        </w:tc>
        <w:tc>
          <w:tcPr>
            <w:tcW w:w="14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2,171</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2,262</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w:t>
            </w:r>
          </w:p>
        </w:tc>
      </w:tr>
      <w:tr>
        <w:trPr>
          <w:trHeight w:val="257"/>
        </w:trPr>
        <w:tc>
          <w:tcPr>
            <w:tcW w:w="386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22"/>
                <w:szCs w:val="22"/>
                <w:color w:val="auto"/>
              </w:rPr>
            </w:pPr>
          </w:p>
        </w:tc>
      </w:tr>
      <w:tr>
        <w:trPr>
          <w:trHeight w:val="257"/>
        </w:trPr>
        <w:tc>
          <w:tcPr>
            <w:tcW w:w="386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60" w:type="dxa"/>
            <w:vAlign w:val="bottom"/>
            <w:shd w:val="clear" w:color="auto" w:fill="E4E4E4"/>
          </w:tcPr>
          <w:p>
            <w:pPr>
              <w:spacing w:after="0"/>
              <w:rPr>
                <w:sz w:val="22"/>
                <w:szCs w:val="22"/>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4E4E4"/>
          </w:tcPr>
          <w:p>
            <w:pPr>
              <w:spacing w:after="0"/>
              <w:rPr>
                <w:sz w:val="22"/>
                <w:szCs w:val="22"/>
                <w:color w:val="auto"/>
              </w:rPr>
            </w:pPr>
          </w:p>
        </w:tc>
        <w:tc>
          <w:tcPr>
            <w:tcW w:w="140" w:type="dxa"/>
            <w:vAlign w:val="bottom"/>
            <w:shd w:val="clear" w:color="auto" w:fill="E4E4E4"/>
          </w:tcPr>
          <w:p>
            <w:pPr>
              <w:spacing w:after="0"/>
              <w:rPr>
                <w:sz w:val="22"/>
                <w:szCs w:val="22"/>
                <w:color w:val="auto"/>
              </w:rPr>
            </w:pPr>
          </w:p>
        </w:tc>
        <w:tc>
          <w:tcPr>
            <w:tcW w:w="180" w:type="dxa"/>
            <w:vAlign w:val="bottom"/>
            <w:shd w:val="clear" w:color="auto" w:fill="E4E4E4"/>
          </w:tcPr>
          <w:p>
            <w:pPr>
              <w:spacing w:after="0"/>
              <w:rPr>
                <w:sz w:val="22"/>
                <w:szCs w:val="22"/>
                <w:color w:val="auto"/>
              </w:rPr>
            </w:pPr>
          </w:p>
        </w:tc>
        <w:tc>
          <w:tcPr>
            <w:tcW w:w="10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4E4E4"/>
          </w:tcPr>
          <w:p>
            <w:pPr>
              <w:spacing w:after="0"/>
              <w:rPr>
                <w:sz w:val="22"/>
                <w:szCs w:val="22"/>
                <w:color w:val="auto"/>
              </w:rPr>
            </w:pPr>
          </w:p>
        </w:tc>
      </w:tr>
      <w:tr>
        <w:trPr>
          <w:trHeight w:val="257"/>
        </w:trPr>
        <w:tc>
          <w:tcPr>
            <w:tcW w:w="386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spacing w:after="0"/>
              <w:rPr>
                <w:sz w:val="22"/>
                <w:szCs w:val="22"/>
                <w:color w:val="auto"/>
              </w:rPr>
            </w:pPr>
          </w:p>
        </w:tc>
      </w:tr>
      <w:tr>
        <w:trPr>
          <w:trHeight w:val="255"/>
        </w:trPr>
        <w:tc>
          <w:tcPr>
            <w:tcW w:w="3860" w:type="dxa"/>
            <w:vAlign w:val="bottom"/>
            <w:tcBorders>
              <w:top w:val="single" w:sz="8" w:color="auto"/>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Organic revenue*</w:t>
            </w:r>
          </w:p>
        </w:tc>
        <w:tc>
          <w:tcPr>
            <w:tcW w:w="1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795</w:t>
            </w:r>
          </w:p>
        </w:tc>
        <w:tc>
          <w:tcPr>
            <w:tcW w:w="280" w:type="dxa"/>
            <w:vAlign w:val="bottom"/>
            <w:tcBorders>
              <w:top w:val="single" w:sz="8" w:color="auto"/>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731</w:t>
            </w:r>
          </w:p>
        </w:tc>
        <w:tc>
          <w:tcPr>
            <w:tcW w:w="1120" w:type="dxa"/>
            <w:vAlign w:val="bottom"/>
            <w:tcBorders>
              <w:top w:val="single" w:sz="8" w:color="E4E4E4"/>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8.8%</w:t>
            </w:r>
          </w:p>
        </w:tc>
        <w:tc>
          <w:tcPr>
            <w:tcW w:w="140" w:type="dxa"/>
            <w:vAlign w:val="bottom"/>
            <w:tcBorders>
              <w:top w:val="single" w:sz="8" w:color="E4E4E4"/>
              <w:bottom w:val="single" w:sz="8" w:color="E4E4E4"/>
            </w:tcBorders>
            <w:shd w:val="clear" w:color="auto" w:fill="E4E4E4"/>
          </w:tcPr>
          <w:p>
            <w:pPr>
              <w:spacing w:after="0"/>
              <w:rPr>
                <w:sz w:val="21"/>
                <w:szCs w:val="21"/>
                <w:color w:val="auto"/>
              </w:rPr>
            </w:pPr>
          </w:p>
        </w:tc>
        <w:tc>
          <w:tcPr>
            <w:tcW w:w="18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2,159</w:t>
            </w:r>
          </w:p>
        </w:tc>
        <w:tc>
          <w:tcPr>
            <w:tcW w:w="300" w:type="dxa"/>
            <w:vAlign w:val="bottom"/>
            <w:tcBorders>
              <w:top w:val="single" w:sz="8" w:color="auto"/>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2,262</w:t>
            </w:r>
          </w:p>
        </w:tc>
        <w:tc>
          <w:tcPr>
            <w:tcW w:w="1140" w:type="dxa"/>
            <w:vAlign w:val="bottom"/>
            <w:tcBorders>
              <w:top w:val="single" w:sz="8" w:color="E4E4E4"/>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w:t>
            </w:r>
          </w:p>
        </w:tc>
      </w:tr>
      <w:tr>
        <w:trPr>
          <w:trHeight w:val="229"/>
        </w:trPr>
        <w:tc>
          <w:tcPr>
            <w:tcW w:w="38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Other revenues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(89.4)%</w:t>
            </w: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(23.6)%</w:t>
            </w:r>
          </w:p>
        </w:tc>
      </w:tr>
      <w:tr>
        <w:trPr>
          <w:trHeight w:val="21"/>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6"/>
        </w:trPr>
        <w:tc>
          <w:tcPr>
            <w:tcW w:w="386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60" w:type="dxa"/>
            <w:vAlign w:val="bottom"/>
            <w:shd w:val="clear" w:color="auto" w:fill="E4E4E4"/>
          </w:tcPr>
          <w:p>
            <w:pPr>
              <w:spacing w:after="0"/>
              <w:rPr>
                <w:sz w:val="22"/>
                <w:szCs w:val="22"/>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4E4E4"/>
          </w:tcPr>
          <w:p>
            <w:pPr>
              <w:spacing w:after="0"/>
              <w:rPr>
                <w:sz w:val="22"/>
                <w:szCs w:val="22"/>
                <w:color w:val="auto"/>
              </w:rPr>
            </w:pPr>
          </w:p>
        </w:tc>
        <w:tc>
          <w:tcPr>
            <w:tcW w:w="140" w:type="dxa"/>
            <w:vAlign w:val="bottom"/>
            <w:shd w:val="clear" w:color="auto" w:fill="E4E4E4"/>
          </w:tcPr>
          <w:p>
            <w:pPr>
              <w:spacing w:after="0"/>
              <w:rPr>
                <w:sz w:val="22"/>
                <w:szCs w:val="22"/>
                <w:color w:val="auto"/>
              </w:rPr>
            </w:pPr>
          </w:p>
        </w:tc>
        <w:tc>
          <w:tcPr>
            <w:tcW w:w="180" w:type="dxa"/>
            <w:vAlign w:val="bottom"/>
            <w:shd w:val="clear" w:color="auto" w:fill="E4E4E4"/>
          </w:tcPr>
          <w:p>
            <w:pPr>
              <w:spacing w:after="0"/>
              <w:rPr>
                <w:sz w:val="22"/>
                <w:szCs w:val="22"/>
                <w:color w:val="auto"/>
              </w:rPr>
            </w:pPr>
          </w:p>
        </w:tc>
        <w:tc>
          <w:tcPr>
            <w:tcW w:w="10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4E4E4"/>
          </w:tcPr>
          <w:p>
            <w:pPr>
              <w:spacing w:after="0"/>
              <w:rPr>
                <w:sz w:val="22"/>
                <w:szCs w:val="22"/>
                <w:color w:val="auto"/>
              </w:rPr>
            </w:pPr>
          </w:p>
        </w:tc>
      </w:tr>
      <w:tr>
        <w:trPr>
          <w:trHeight w:val="257"/>
        </w:trPr>
        <w:tc>
          <w:tcPr>
            <w:tcW w:w="386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22"/>
                <w:szCs w:val="22"/>
                <w:color w:val="auto"/>
              </w:rPr>
            </w:pPr>
          </w:p>
        </w:tc>
      </w:tr>
      <w:tr>
        <w:trPr>
          <w:trHeight w:val="257"/>
        </w:trPr>
        <w:tc>
          <w:tcPr>
            <w:tcW w:w="38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16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E4E4E4"/>
          </w:tcPr>
          <w:p>
            <w:pPr>
              <w:spacing w:after="0"/>
              <w:rPr>
                <w:sz w:val="22"/>
                <w:szCs w:val="22"/>
                <w:color w:val="auto"/>
              </w:rPr>
            </w:pPr>
          </w:p>
        </w:tc>
        <w:tc>
          <w:tcPr>
            <w:tcW w:w="140" w:type="dxa"/>
            <w:vAlign w:val="bottom"/>
            <w:tcBorders>
              <w:bottom w:val="single" w:sz="8" w:color="auto"/>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4E4E4"/>
          </w:tcPr>
          <w:p>
            <w:pPr>
              <w:spacing w:after="0"/>
              <w:rPr>
                <w:sz w:val="22"/>
                <w:szCs w:val="22"/>
                <w:color w:val="auto"/>
              </w:rPr>
            </w:pPr>
          </w:p>
        </w:tc>
      </w:tr>
      <w:tr>
        <w:trPr>
          <w:trHeight w:val="229"/>
        </w:trPr>
        <w:tc>
          <w:tcPr>
            <w:tcW w:w="38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Other Organic revenue*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(89.4)%</w:t>
            </w: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(23.6)%</w:t>
            </w:r>
          </w:p>
        </w:tc>
      </w:tr>
      <w:tr>
        <w:trPr>
          <w:trHeight w:val="21"/>
        </w:trPr>
        <w:tc>
          <w:tcPr>
            <w:tcW w:w="3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5"/>
        </w:trPr>
        <w:tc>
          <w:tcPr>
            <w:tcW w:w="38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Total revenues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5,513</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5,143</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7.2%</w:t>
            </w:r>
          </w:p>
        </w:tc>
        <w:tc>
          <w:tcPr>
            <w:tcW w:w="140" w:type="dxa"/>
            <w:vAlign w:val="bottom"/>
            <w:tcBorders>
              <w:bottom w:val="single" w:sz="8" w:color="E4E4E4"/>
            </w:tcBorders>
            <w:shd w:val="clear" w:color="auto" w:fill="E4E4E4"/>
          </w:tcPr>
          <w:p>
            <w:pPr>
              <w:spacing w:after="0"/>
              <w:rPr>
                <w:sz w:val="21"/>
                <w:szCs w:val="21"/>
                <w:color w:val="auto"/>
              </w:rPr>
            </w:pP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15,939</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14,927</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6.8%</w:t>
            </w:r>
          </w:p>
        </w:tc>
      </w:tr>
      <w:tr>
        <w:trPr>
          <w:trHeight w:val="250"/>
        </w:trPr>
        <w:tc>
          <w:tcPr>
            <w:tcW w:w="386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140" w:type="dxa"/>
            <w:vAlign w:val="bottom"/>
            <w:tcBorders>
              <w:top w:val="single" w:sz="8" w:color="auto"/>
            </w:tcBorders>
          </w:tcPr>
          <w:p>
            <w:pPr>
              <w:spacing w:after="0"/>
              <w:rPr>
                <w:sz w:val="21"/>
                <w:szCs w:val="21"/>
                <w:color w:val="auto"/>
              </w:rPr>
            </w:pPr>
          </w:p>
        </w:tc>
      </w:tr>
      <w:tr>
        <w:trPr>
          <w:trHeight w:val="256"/>
        </w:trPr>
        <w:tc>
          <w:tcPr>
            <w:tcW w:w="386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60" w:type="dxa"/>
            <w:vAlign w:val="bottom"/>
            <w:shd w:val="clear" w:color="auto" w:fill="E4E4E4"/>
          </w:tcPr>
          <w:p>
            <w:pPr>
              <w:spacing w:after="0"/>
              <w:rPr>
                <w:sz w:val="22"/>
                <w:szCs w:val="22"/>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4E4E4"/>
          </w:tcPr>
          <w:p>
            <w:pPr>
              <w:spacing w:after="0"/>
              <w:rPr>
                <w:sz w:val="22"/>
                <w:szCs w:val="22"/>
                <w:color w:val="auto"/>
              </w:rPr>
            </w:pPr>
          </w:p>
        </w:tc>
        <w:tc>
          <w:tcPr>
            <w:tcW w:w="140" w:type="dxa"/>
            <w:vAlign w:val="bottom"/>
            <w:shd w:val="clear" w:color="auto" w:fill="E4E4E4"/>
          </w:tcPr>
          <w:p>
            <w:pPr>
              <w:spacing w:after="0"/>
              <w:rPr>
                <w:sz w:val="22"/>
                <w:szCs w:val="22"/>
                <w:color w:val="auto"/>
              </w:rPr>
            </w:pPr>
          </w:p>
        </w:tc>
        <w:tc>
          <w:tcPr>
            <w:tcW w:w="180" w:type="dxa"/>
            <w:vAlign w:val="bottom"/>
            <w:shd w:val="clear" w:color="auto" w:fill="E4E4E4"/>
          </w:tcPr>
          <w:p>
            <w:pPr>
              <w:spacing w:after="0"/>
              <w:rPr>
                <w:sz w:val="22"/>
                <w:szCs w:val="22"/>
                <w:color w:val="auto"/>
              </w:rPr>
            </w:pPr>
          </w:p>
        </w:tc>
        <w:tc>
          <w:tcPr>
            <w:tcW w:w="10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4E4E4"/>
          </w:tcPr>
          <w:p>
            <w:pPr>
              <w:spacing w:after="0"/>
              <w:rPr>
                <w:sz w:val="22"/>
                <w:szCs w:val="22"/>
                <w:color w:val="auto"/>
              </w:rPr>
            </w:pPr>
          </w:p>
        </w:tc>
      </w:tr>
      <w:tr>
        <w:trPr>
          <w:trHeight w:val="257"/>
        </w:trPr>
        <w:tc>
          <w:tcPr>
            <w:tcW w:w="386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spacing w:after="0"/>
              <w:rPr>
                <w:sz w:val="22"/>
                <w:szCs w:val="22"/>
                <w:color w:val="auto"/>
              </w:rPr>
            </w:pPr>
          </w:p>
        </w:tc>
      </w:tr>
      <w:tr>
        <w:trPr>
          <w:trHeight w:val="230"/>
        </w:trPr>
        <w:tc>
          <w:tcPr>
            <w:tcW w:w="3860" w:type="dxa"/>
            <w:vAlign w:val="bottom"/>
            <w:tcBorders>
              <w:top w:val="single" w:sz="8" w:color="auto"/>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Organic revenue*</w:t>
            </w:r>
          </w:p>
        </w:tc>
        <w:tc>
          <w:tcPr>
            <w:tcW w:w="1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5,462</w:t>
            </w:r>
          </w:p>
        </w:tc>
        <w:tc>
          <w:tcPr>
            <w:tcW w:w="280" w:type="dxa"/>
            <w:vAlign w:val="bottom"/>
            <w:tcBorders>
              <w:top w:val="single" w:sz="8" w:color="auto"/>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5,143</w:t>
            </w:r>
          </w:p>
        </w:tc>
        <w:tc>
          <w:tcPr>
            <w:tcW w:w="1120" w:type="dxa"/>
            <w:vAlign w:val="bottom"/>
            <w:tcBorders>
              <w:top w:val="single" w:sz="8" w:color="E4E4E4"/>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6.2%</w:t>
            </w:r>
          </w:p>
        </w:tc>
        <w:tc>
          <w:tcPr>
            <w:tcW w:w="140" w:type="dxa"/>
            <w:vAlign w:val="bottom"/>
            <w:tcBorders>
              <w:top w:val="single" w:sz="8" w:color="E4E4E4"/>
              <w:bottom w:val="single" w:sz="8" w:color="E4E4E4"/>
            </w:tcBorders>
            <w:shd w:val="clear" w:color="auto" w:fill="E4E4E4"/>
          </w:tcPr>
          <w:p>
            <w:pPr>
              <w:spacing w:after="0"/>
              <w:rPr>
                <w:sz w:val="20"/>
                <w:szCs w:val="20"/>
                <w:color w:val="auto"/>
              </w:rPr>
            </w:pPr>
          </w:p>
        </w:tc>
        <w:tc>
          <w:tcPr>
            <w:tcW w:w="18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15,560</w:t>
            </w:r>
          </w:p>
        </w:tc>
        <w:tc>
          <w:tcPr>
            <w:tcW w:w="300" w:type="dxa"/>
            <w:vAlign w:val="bottom"/>
            <w:tcBorders>
              <w:top w:val="single" w:sz="8" w:color="auto"/>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14,926</w:t>
            </w:r>
          </w:p>
        </w:tc>
        <w:tc>
          <w:tcPr>
            <w:tcW w:w="1140" w:type="dxa"/>
            <w:vAlign w:val="bottom"/>
            <w:tcBorders>
              <w:top w:val="single" w:sz="8" w:color="E4E4E4"/>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w:t>
            </w:r>
          </w:p>
        </w:tc>
      </w:tr>
      <w:tr>
        <w:trPr>
          <w:trHeight w:val="20"/>
        </w:trPr>
        <w:tc>
          <w:tcPr>
            <w:tcW w:w="3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134" w:lineRule="exact"/>
        <w:rPr>
          <w:sz w:val="20"/>
          <w:szCs w:val="20"/>
          <w:color w:val="auto"/>
        </w:rPr>
      </w:pPr>
    </w:p>
    <w:p>
      <w:pPr>
        <w:ind w:left="440" w:right="160" w:hanging="414"/>
        <w:spacing w:after="0" w:line="299"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revenues attributable to acquisitions from the date the Company completed the transaction through the end of four quarters following the transaction, excluding the impact of Foreign currency exchange already captured in lines elsewhere.</w:t>
      </w:r>
    </w:p>
    <w:p>
      <w:pPr>
        <w:ind w:left="440" w:hanging="414"/>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revenues attributable to dispositions for the four quarters preceding the disposition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4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444"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EBIT*</w:t>
            </w:r>
          </w:p>
        </w:tc>
        <w:tc>
          <w:tcPr>
            <w:tcW w:w="220" w:type="dxa"/>
            <w:vAlign w:val="bottom"/>
          </w:tcPr>
          <w:p>
            <w:pPr>
              <w:spacing w:after="0"/>
              <w:rPr>
                <w:sz w:val="17"/>
                <w:szCs w:val="17"/>
                <w:color w:val="auto"/>
              </w:rPr>
            </w:pPr>
          </w:p>
        </w:tc>
        <w:tc>
          <w:tcPr>
            <w:tcW w:w="280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454545"/>
              </w:rPr>
              <w:t>For the three months ended</w:t>
            </w:r>
          </w:p>
        </w:tc>
        <w:tc>
          <w:tcPr>
            <w:tcW w:w="220" w:type="dxa"/>
            <w:vAlign w:val="bottom"/>
          </w:tcPr>
          <w:p>
            <w:pPr>
              <w:spacing w:after="0"/>
              <w:rPr>
                <w:sz w:val="17"/>
                <w:szCs w:val="17"/>
                <w:color w:val="auto"/>
              </w:rPr>
            </w:pPr>
          </w:p>
        </w:tc>
        <w:tc>
          <w:tcPr>
            <w:tcW w:w="2680" w:type="dxa"/>
            <w:vAlign w:val="bottom"/>
            <w:gridSpan w:val="5"/>
          </w:tcPr>
          <w:p>
            <w:pPr>
              <w:jc w:val="center"/>
              <w:ind w:right="159"/>
              <w:spacing w:after="0"/>
              <w:rPr>
                <w:sz w:val="20"/>
                <w:szCs w:val="20"/>
                <w:color w:val="auto"/>
              </w:rPr>
            </w:pPr>
            <w:r>
              <w:rPr>
                <w:rFonts w:ascii="Arial" w:cs="Arial" w:eastAsia="Arial" w:hAnsi="Arial"/>
                <w:sz w:val="16"/>
                <w:szCs w:val="16"/>
                <w:b w:val="1"/>
                <w:bCs w:val="1"/>
                <w:color w:val="454545"/>
              </w:rPr>
              <w:t>For the nine months ended</w:t>
            </w:r>
          </w:p>
        </w:tc>
        <w:tc>
          <w:tcPr>
            <w:tcW w:w="0" w:type="dxa"/>
            <w:vAlign w:val="bottom"/>
          </w:tcPr>
          <w:p>
            <w:pPr>
              <w:spacing w:after="0"/>
              <w:rPr>
                <w:sz w:val="1"/>
                <w:szCs w:val="1"/>
                <w:color w:val="auto"/>
              </w:rPr>
            </w:pPr>
          </w:p>
        </w:tc>
      </w:tr>
      <w:tr>
        <w:trPr>
          <w:trHeight w:val="101"/>
        </w:trPr>
        <w:tc>
          <w:tcPr>
            <w:tcW w:w="53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800" w:type="dxa"/>
            <w:vAlign w:val="bottom"/>
            <w:gridSpan w:val="4"/>
            <w:vMerge w:val="restart"/>
          </w:tcPr>
          <w:p>
            <w:pPr>
              <w:jc w:val="center"/>
              <w:ind w:left="579"/>
              <w:spacing w:after="0"/>
              <w:rPr>
                <w:sz w:val="20"/>
                <w:szCs w:val="20"/>
                <w:color w:val="auto"/>
              </w:rPr>
            </w:pPr>
            <w:r>
              <w:rPr>
                <w:rFonts w:ascii="Arial" w:cs="Arial" w:eastAsia="Arial" w:hAnsi="Arial"/>
                <w:sz w:val="16"/>
                <w:szCs w:val="16"/>
                <w:b w:val="1"/>
                <w:bCs w:val="1"/>
                <w:color w:val="454545"/>
              </w:rPr>
              <w:t>September 30</w:t>
            </w: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0" w:type="dxa"/>
            <w:vAlign w:val="bottom"/>
            <w:gridSpan w:val="4"/>
            <w:vMerge w:val="restart"/>
          </w:tcPr>
          <w:p>
            <w:pPr>
              <w:jc w:val="center"/>
              <w:ind w:left="579"/>
              <w:spacing w:after="0"/>
              <w:rPr>
                <w:sz w:val="20"/>
                <w:szCs w:val="20"/>
                <w:color w:val="auto"/>
              </w:rPr>
            </w:pPr>
            <w:r>
              <w:rPr>
                <w:rFonts w:ascii="Arial" w:cs="Arial" w:eastAsia="Arial" w:hAnsi="Arial"/>
                <w:sz w:val="16"/>
                <w:szCs w:val="16"/>
                <w:b w:val="1"/>
                <w:bCs w:val="1"/>
                <w:color w:val="454545"/>
              </w:rPr>
              <w:t>September 30</w:t>
            </w: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0" w:type="dxa"/>
            <w:vAlign w:val="bottom"/>
            <w:gridSpan w:val="4"/>
            <w:vMerge w:val="continue"/>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0" w:type="dxa"/>
            <w:vAlign w:val="bottom"/>
            <w:gridSpan w:val="4"/>
            <w:vMerge w:val="continue"/>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6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3"/>
        </w:trPr>
        <w:tc>
          <w:tcPr>
            <w:tcW w:w="5320" w:type="dxa"/>
            <w:vAlign w:val="bottom"/>
            <w:tcBorders>
              <w:bottom w:val="single" w:sz="8" w:color="6022A6"/>
            </w:tcBorders>
          </w:tcPr>
          <w:p>
            <w:pPr>
              <w:spacing w:after="0"/>
              <w:rPr>
                <w:sz w:val="21"/>
                <w:szCs w:val="21"/>
                <w:color w:val="auto"/>
              </w:rPr>
            </w:pPr>
          </w:p>
        </w:tc>
        <w:tc>
          <w:tcPr>
            <w:tcW w:w="220" w:type="dxa"/>
            <w:vAlign w:val="bottom"/>
            <w:tcBorders>
              <w:bottom w:val="single" w:sz="8" w:color="6022A6"/>
            </w:tcBorders>
          </w:tcPr>
          <w:p>
            <w:pPr>
              <w:spacing w:after="0"/>
              <w:rPr>
                <w:sz w:val="21"/>
                <w:szCs w:val="21"/>
                <w:color w:val="auto"/>
              </w:rPr>
            </w:pPr>
          </w:p>
        </w:tc>
        <w:tc>
          <w:tcPr>
            <w:tcW w:w="760" w:type="dxa"/>
            <w:vAlign w:val="bottom"/>
            <w:tcBorders>
              <w:bottom w:val="single" w:sz="8" w:color="6022A6"/>
            </w:tcBorders>
          </w:tcPr>
          <w:p>
            <w:pPr>
              <w:jc w:val="right"/>
              <w:ind w:right="219"/>
              <w:spacing w:after="0"/>
              <w:rPr>
                <w:sz w:val="20"/>
                <w:szCs w:val="20"/>
                <w:color w:val="auto"/>
              </w:rPr>
            </w:pPr>
            <w:r>
              <w:rPr>
                <w:rFonts w:ascii="Arial" w:cs="Arial" w:eastAsia="Arial" w:hAnsi="Arial"/>
                <w:sz w:val="16"/>
                <w:szCs w:val="16"/>
                <w:b w:val="1"/>
                <w:bCs w:val="1"/>
                <w:color w:val="454545"/>
              </w:rPr>
              <w:t>2026</w:t>
            </w:r>
          </w:p>
        </w:tc>
        <w:tc>
          <w:tcPr>
            <w:tcW w:w="220" w:type="dxa"/>
            <w:vAlign w:val="bottom"/>
            <w:tcBorders>
              <w:bottom w:val="single" w:sz="8" w:color="6022A6"/>
            </w:tcBorders>
          </w:tcPr>
          <w:p>
            <w:pPr>
              <w:spacing w:after="0"/>
              <w:rPr>
                <w:sz w:val="21"/>
                <w:szCs w:val="21"/>
                <w:color w:val="auto"/>
              </w:rPr>
            </w:pPr>
          </w:p>
        </w:tc>
        <w:tc>
          <w:tcPr>
            <w:tcW w:w="760" w:type="dxa"/>
            <w:vAlign w:val="bottom"/>
            <w:tcBorders>
              <w:bottom w:val="single" w:sz="8" w:color="6022A6"/>
            </w:tcBorders>
          </w:tcPr>
          <w:p>
            <w:pPr>
              <w:jc w:val="center"/>
              <w:ind w:right="159"/>
              <w:spacing w:after="0"/>
              <w:rPr>
                <w:sz w:val="20"/>
                <w:szCs w:val="20"/>
                <w:color w:val="auto"/>
              </w:rPr>
            </w:pPr>
            <w:r>
              <w:rPr>
                <w:rFonts w:ascii="Arial" w:cs="Arial" w:eastAsia="Arial" w:hAnsi="Arial"/>
                <w:sz w:val="16"/>
                <w:szCs w:val="16"/>
                <w:b w:val="1"/>
                <w:bCs w:val="1"/>
                <w:color w:val="454545"/>
              </w:rPr>
              <w:t>2025</w:t>
            </w:r>
          </w:p>
        </w:tc>
        <w:tc>
          <w:tcPr>
            <w:tcW w:w="6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gridSpan w:val="2"/>
          </w:tcPr>
          <w:p>
            <w:pPr>
              <w:ind w:left="40"/>
              <w:spacing w:after="0"/>
              <w:rPr>
                <w:sz w:val="20"/>
                <w:szCs w:val="20"/>
                <w:color w:val="auto"/>
              </w:rPr>
            </w:pPr>
            <w:r>
              <w:rPr>
                <w:rFonts w:ascii="Arial" w:cs="Arial" w:eastAsia="Arial" w:hAnsi="Arial"/>
                <w:sz w:val="16"/>
                <w:szCs w:val="16"/>
                <w:b w:val="1"/>
                <w:bCs w:val="1"/>
                <w:color w:val="454545"/>
              </w:rPr>
              <w:t>% change</w:t>
            </w:r>
          </w:p>
        </w:tc>
        <w:tc>
          <w:tcPr>
            <w:tcW w:w="220" w:type="dxa"/>
            <w:vAlign w:val="bottom"/>
            <w:tcBorders>
              <w:bottom w:val="single" w:sz="8" w:color="6022A6"/>
            </w:tcBorders>
          </w:tcPr>
          <w:p>
            <w:pPr>
              <w:spacing w:after="0"/>
              <w:rPr>
                <w:sz w:val="21"/>
                <w:szCs w:val="21"/>
                <w:color w:val="auto"/>
              </w:rPr>
            </w:pPr>
          </w:p>
        </w:tc>
        <w:tc>
          <w:tcPr>
            <w:tcW w:w="760" w:type="dxa"/>
            <w:vAlign w:val="bottom"/>
            <w:tcBorders>
              <w:bottom w:val="single" w:sz="8" w:color="6022A6"/>
            </w:tcBorders>
          </w:tcPr>
          <w:p>
            <w:pPr>
              <w:jc w:val="right"/>
              <w:ind w:right="239"/>
              <w:spacing w:after="0"/>
              <w:rPr>
                <w:sz w:val="20"/>
                <w:szCs w:val="20"/>
                <w:color w:val="auto"/>
              </w:rPr>
            </w:pPr>
            <w:r>
              <w:rPr>
                <w:rFonts w:ascii="Arial" w:cs="Arial" w:eastAsia="Arial" w:hAnsi="Arial"/>
                <w:sz w:val="16"/>
                <w:szCs w:val="16"/>
                <w:b w:val="1"/>
                <w:bCs w:val="1"/>
                <w:color w:val="454545"/>
              </w:rPr>
              <w:t>2026</w:t>
            </w:r>
          </w:p>
        </w:tc>
        <w:tc>
          <w:tcPr>
            <w:tcW w:w="200" w:type="dxa"/>
            <w:vAlign w:val="bottom"/>
            <w:tcBorders>
              <w:bottom w:val="single" w:sz="8" w:color="6022A6"/>
            </w:tcBorders>
          </w:tcPr>
          <w:p>
            <w:pPr>
              <w:spacing w:after="0"/>
              <w:rPr>
                <w:sz w:val="21"/>
                <w:szCs w:val="21"/>
                <w:color w:val="auto"/>
              </w:rPr>
            </w:pPr>
          </w:p>
        </w:tc>
        <w:tc>
          <w:tcPr>
            <w:tcW w:w="76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rPr>
              <w:t>2025</w:t>
            </w:r>
          </w:p>
        </w:tc>
        <w:tc>
          <w:tcPr>
            <w:tcW w:w="80" w:type="dxa"/>
            <w:vAlign w:val="bottom"/>
            <w:tcBorders>
              <w:bottom w:val="single" w:sz="8" w:color="6022A6"/>
            </w:tcBorders>
          </w:tcPr>
          <w:p>
            <w:pPr>
              <w:spacing w:after="0"/>
              <w:rPr>
                <w:sz w:val="21"/>
                <w:szCs w:val="21"/>
                <w:color w:val="auto"/>
              </w:rPr>
            </w:pPr>
          </w:p>
        </w:tc>
        <w:tc>
          <w:tcPr>
            <w:tcW w:w="88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 change</w:t>
            </w:r>
          </w:p>
        </w:tc>
        <w:tc>
          <w:tcPr>
            <w:tcW w:w="0" w:type="dxa"/>
            <w:vAlign w:val="bottom"/>
          </w:tcPr>
          <w:p>
            <w:pPr>
              <w:spacing w:after="0"/>
              <w:rPr>
                <w:sz w:val="1"/>
                <w:szCs w:val="1"/>
                <w:color w:val="auto"/>
              </w:rPr>
            </w:pPr>
          </w:p>
        </w:tc>
      </w:tr>
      <w:tr>
        <w:trPr>
          <w:trHeight w:val="227"/>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615</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446</w:t>
            </w:r>
          </w:p>
        </w:tc>
        <w:tc>
          <w:tcPr>
            <w:tcW w:w="60" w:type="dxa"/>
            <w:vAlign w:val="bottom"/>
            <w:tcBorders>
              <w:bottom w:val="single" w:sz="8" w:color="E4E4E4"/>
            </w:tcBorders>
            <w:shd w:val="clear" w:color="auto" w:fill="E4E4E4"/>
          </w:tcPr>
          <w:p>
            <w:pPr>
              <w:spacing w:after="0"/>
              <w:rPr>
                <w:sz w:val="19"/>
                <w:szCs w:val="19"/>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37.9%</w:t>
            </w:r>
          </w:p>
        </w:tc>
        <w:tc>
          <w:tcPr>
            <w:tcW w:w="120" w:type="dxa"/>
            <w:vAlign w:val="bottom"/>
            <w:tcBorders>
              <w:bottom w:val="single" w:sz="8" w:color="E4E4E4"/>
            </w:tcBorders>
            <w:shd w:val="clear" w:color="auto" w:fill="E4E4E4"/>
          </w:tcPr>
          <w:p>
            <w:pPr>
              <w:spacing w:after="0"/>
              <w:rPr>
                <w:sz w:val="19"/>
                <w:szCs w:val="19"/>
                <w:color w:val="auto"/>
              </w:rPr>
            </w:pP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1,564</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1,495</w:t>
            </w:r>
          </w:p>
        </w:tc>
        <w:tc>
          <w:tcPr>
            <w:tcW w:w="80" w:type="dxa"/>
            <w:vAlign w:val="bottom"/>
            <w:tcBorders>
              <w:bottom w:val="single" w:sz="8" w:color="E4E4E4"/>
            </w:tcBorders>
            <w:shd w:val="clear" w:color="auto" w:fill="E4E4E4"/>
          </w:tcPr>
          <w:p>
            <w:pPr>
              <w:spacing w:after="0"/>
              <w:rPr>
                <w:sz w:val="19"/>
                <w:szCs w:val="19"/>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w:t>
            </w:r>
          </w:p>
        </w:tc>
        <w:tc>
          <w:tcPr>
            <w:tcW w:w="0" w:type="dxa"/>
            <w:vAlign w:val="bottom"/>
          </w:tcPr>
          <w:p>
            <w:pPr>
              <w:spacing w:after="0"/>
              <w:rPr>
                <w:sz w:val="1"/>
                <w:szCs w:val="1"/>
                <w:color w:val="auto"/>
              </w:rPr>
            </w:pPr>
          </w:p>
        </w:tc>
      </w:tr>
      <w:tr>
        <w:trPr>
          <w:trHeight w:val="227"/>
        </w:trPr>
        <w:tc>
          <w:tcPr>
            <w:tcW w:w="5320" w:type="dxa"/>
            <w:vAlign w:val="bottom"/>
          </w:tcPr>
          <w:p>
            <w:pPr>
              <w:ind w:left="20"/>
              <w:spacing w:after="0"/>
              <w:rPr>
                <w:sz w:val="20"/>
                <w:szCs w:val="20"/>
                <w:color w:val="auto"/>
              </w:rPr>
            </w:pPr>
            <w:r>
              <w:rPr>
                <w:rFonts w:ascii="Arial" w:cs="Arial" w:eastAsia="Arial" w:hAnsi="Arial"/>
                <w:sz w:val="16"/>
                <w:szCs w:val="16"/>
                <w:color w:val="auto"/>
              </w:rPr>
              <w:t>Add: Interest and other financial charges – net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332</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335</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Non-operating benefit (income) costs</w:t>
            </w:r>
          </w:p>
        </w:tc>
        <w:tc>
          <w:tcPr>
            <w:tcW w:w="2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w:t>
            </w:r>
          </w:p>
        </w:tc>
        <w:tc>
          <w:tcPr>
            <w:tcW w:w="2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(75)</w:t>
            </w:r>
          </w:p>
        </w:tc>
        <w:tc>
          <w:tcPr>
            <w:tcW w:w="60" w:type="dxa"/>
            <w:vAlign w:val="bottom"/>
            <w:shd w:val="clear" w:color="auto" w:fill="E4E4E4"/>
          </w:tcPr>
          <w:p>
            <w:pPr>
              <w:spacing w:after="0"/>
              <w:rPr>
                <w:sz w:val="20"/>
                <w:szCs w:val="20"/>
                <w:color w:val="auto"/>
              </w:rPr>
            </w:pPr>
          </w:p>
        </w:tc>
        <w:tc>
          <w:tcPr>
            <w:tcW w:w="88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(146)</w:t>
            </w:r>
          </w:p>
        </w:tc>
        <w:tc>
          <w:tcPr>
            <w:tcW w:w="20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(222)</w:t>
            </w:r>
          </w:p>
        </w:tc>
        <w:tc>
          <w:tcPr>
            <w:tcW w:w="80" w:type="dxa"/>
            <w:vAlign w:val="bottom"/>
            <w:shd w:val="clear" w:color="auto" w:fill="E4E4E4"/>
          </w:tcPr>
          <w:p>
            <w:pPr>
              <w:spacing w:after="0"/>
              <w:rPr>
                <w:sz w:val="20"/>
                <w:szCs w:val="20"/>
                <w:color w:val="auto"/>
              </w:rPr>
            </w:pPr>
          </w:p>
        </w:tc>
        <w:tc>
          <w:tcPr>
            <w:tcW w:w="8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320" w:type="dxa"/>
            <w:vAlign w:val="bottom"/>
          </w:tcPr>
          <w:p>
            <w:pPr>
              <w:ind w:left="20"/>
              <w:spacing w:after="0"/>
              <w:rPr>
                <w:sz w:val="20"/>
                <w:szCs w:val="20"/>
                <w:color w:val="auto"/>
              </w:rPr>
            </w:pPr>
            <w:r>
              <w:rPr>
                <w:rFonts w:ascii="Arial" w:cs="Arial" w:eastAsia="Arial" w:hAnsi="Arial"/>
                <w:sz w:val="16"/>
                <w:szCs w:val="16"/>
                <w:color w:val="auto"/>
              </w:rPr>
              <w:t>Less: Benefit (provision) for income taxes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(179)</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(342)</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(395)</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220" w:type="dxa"/>
            <w:vAlign w:val="bottom"/>
            <w:tcBorders>
              <w:bottom w:val="single" w:sz="8" w:color="E4E4E4"/>
            </w:tcBorders>
            <w:shd w:val="clear" w:color="auto" w:fill="E4E4E4"/>
          </w:tcPr>
          <w:p>
            <w:pPr>
              <w:spacing w:after="0"/>
              <w:rPr>
                <w:sz w:val="22"/>
                <w:szCs w:val="22"/>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E4E4E4"/>
            </w:tcBorders>
            <w:shd w:val="clear" w:color="auto" w:fill="E4E4E4"/>
          </w:tcPr>
          <w:p>
            <w:pPr>
              <w:spacing w:after="0"/>
              <w:rPr>
                <w:sz w:val="22"/>
                <w:szCs w:val="22"/>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60" w:type="dxa"/>
            <w:vAlign w:val="bottom"/>
            <w:tcBorders>
              <w:bottom w:val="single" w:sz="8" w:color="auto"/>
            </w:tcBorders>
            <w:shd w:val="clear" w:color="auto" w:fill="E4E4E4"/>
          </w:tcPr>
          <w:p>
            <w:pPr>
              <w:spacing w:after="0"/>
              <w:rPr>
                <w:sz w:val="22"/>
                <w:szCs w:val="22"/>
                <w:color w:val="auto"/>
              </w:rPr>
            </w:pPr>
          </w:p>
        </w:tc>
        <w:tc>
          <w:tcPr>
            <w:tcW w:w="880" w:type="dxa"/>
            <w:vAlign w:val="bottom"/>
            <w:tcBorders>
              <w:bottom w:val="single" w:sz="8" w:color="auto"/>
            </w:tcBorders>
            <w:shd w:val="clear" w:color="auto" w:fill="E4E4E4"/>
          </w:tcPr>
          <w:p>
            <w:pPr>
              <w:spacing w:after="0"/>
              <w:rPr>
                <w:sz w:val="22"/>
                <w:szCs w:val="22"/>
                <w:color w:val="auto"/>
              </w:rPr>
            </w:pPr>
          </w:p>
        </w:tc>
        <w:tc>
          <w:tcPr>
            <w:tcW w:w="120" w:type="dxa"/>
            <w:vAlign w:val="bottom"/>
            <w:tcBorders>
              <w:bottom w:val="single" w:sz="8" w:color="auto"/>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c>
          <w:tcPr>
            <w:tcW w:w="200" w:type="dxa"/>
            <w:vAlign w:val="bottom"/>
            <w:tcBorders>
              <w:bottom w:val="single" w:sz="8" w:color="E4E4E4"/>
            </w:tcBorders>
            <w:shd w:val="clear" w:color="auto" w:fill="E4E4E4"/>
          </w:tcPr>
          <w:p>
            <w:pPr>
              <w:spacing w:after="0"/>
              <w:rPr>
                <w:sz w:val="22"/>
                <w:szCs w:val="22"/>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80" w:type="dxa"/>
            <w:vAlign w:val="bottom"/>
            <w:tcBorders>
              <w:bottom w:val="single" w:sz="8" w:color="auto"/>
            </w:tcBorders>
            <w:shd w:val="clear" w:color="auto" w:fill="E4E4E4"/>
          </w:tcPr>
          <w:p>
            <w:pPr>
              <w:spacing w:after="0"/>
              <w:rPr>
                <w:sz w:val="22"/>
                <w:szCs w:val="22"/>
                <w:color w:val="auto"/>
              </w:rPr>
            </w:pPr>
          </w:p>
        </w:tc>
        <w:tc>
          <w:tcPr>
            <w:tcW w:w="880" w:type="dxa"/>
            <w:vAlign w:val="bottom"/>
            <w:tcBorders>
              <w:bottom w:val="single" w:sz="8" w:color="auto"/>
            </w:tcBorders>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EBIT*</w:t>
            </w: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824</w:t>
            </w: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679</w:t>
            </w: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21.3%</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2,136</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2,060</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20" w:type="dxa"/>
            <w:vAlign w:val="bottom"/>
            <w:shd w:val="clear" w:color="auto" w:fill="E4E4E4"/>
          </w:tcPr>
          <w:p>
            <w:pPr>
              <w:spacing w:after="0"/>
              <w:rPr>
                <w:sz w:val="21"/>
                <w:szCs w:val="21"/>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220" w:type="dxa"/>
            <w:vAlign w:val="bottom"/>
            <w:shd w:val="clear" w:color="auto" w:fill="E4E4E4"/>
          </w:tcPr>
          <w:p>
            <w:pPr>
              <w:spacing w:after="0"/>
              <w:rPr>
                <w:sz w:val="21"/>
                <w:szCs w:val="21"/>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60" w:type="dxa"/>
            <w:vAlign w:val="bottom"/>
            <w:shd w:val="clear" w:color="auto" w:fill="E4E4E4"/>
          </w:tcPr>
          <w:p>
            <w:pPr>
              <w:spacing w:after="0"/>
              <w:rPr>
                <w:sz w:val="21"/>
                <w:szCs w:val="21"/>
                <w:color w:val="auto"/>
              </w:rPr>
            </w:pPr>
          </w:p>
        </w:tc>
        <w:tc>
          <w:tcPr>
            <w:tcW w:w="88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220" w:type="dxa"/>
            <w:vAlign w:val="bottom"/>
            <w:shd w:val="clear" w:color="auto" w:fill="E4E4E4"/>
          </w:tcPr>
          <w:p>
            <w:pPr>
              <w:spacing w:after="0"/>
              <w:rPr>
                <w:sz w:val="21"/>
                <w:szCs w:val="21"/>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92</w:t>
            </w:r>
          </w:p>
        </w:tc>
        <w:tc>
          <w:tcPr>
            <w:tcW w:w="200" w:type="dxa"/>
            <w:vAlign w:val="bottom"/>
            <w:shd w:val="clear" w:color="auto" w:fill="E4E4E4"/>
          </w:tcPr>
          <w:p>
            <w:pPr>
              <w:spacing w:after="0"/>
              <w:rPr>
                <w:sz w:val="21"/>
                <w:szCs w:val="21"/>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71</w:t>
            </w:r>
          </w:p>
        </w:tc>
        <w:tc>
          <w:tcPr>
            <w:tcW w:w="80" w:type="dxa"/>
            <w:vAlign w:val="bottom"/>
            <w:shd w:val="clear" w:color="auto" w:fill="E4E4E4"/>
          </w:tcPr>
          <w:p>
            <w:pPr>
              <w:spacing w:after="0"/>
              <w:rPr>
                <w:sz w:val="21"/>
                <w:szCs w:val="21"/>
                <w:color w:val="auto"/>
              </w:rPr>
            </w:pPr>
          </w:p>
        </w:tc>
        <w:tc>
          <w:tcPr>
            <w:tcW w:w="8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20" w:type="dxa"/>
            <w:vAlign w:val="bottom"/>
          </w:tcPr>
          <w:p>
            <w:pPr>
              <w:ind w:left="2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Spin-Off and separation costs and other adjustments</w:t>
            </w:r>
            <w:r>
              <w:rPr>
                <w:rFonts w:ascii="Arial" w:cs="Arial" w:eastAsia="Arial" w:hAnsi="Arial"/>
                <w:sz w:val="21"/>
                <w:szCs w:val="21"/>
                <w:color w:val="auto"/>
                <w:vertAlign w:val="superscript"/>
              </w:rPr>
              <w:t>(3)</w:t>
            </w:r>
          </w:p>
        </w:tc>
        <w:tc>
          <w:tcPr>
            <w:tcW w:w="22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60" w:type="dxa"/>
            <w:vAlign w:val="bottom"/>
            <w:shd w:val="clear" w:color="auto" w:fill="E4E4E4"/>
          </w:tcPr>
          <w:p>
            <w:pPr>
              <w:spacing w:after="0"/>
              <w:rPr>
                <w:sz w:val="22"/>
                <w:szCs w:val="22"/>
                <w:color w:val="auto"/>
              </w:rPr>
            </w:pPr>
          </w:p>
        </w:tc>
        <w:tc>
          <w:tcPr>
            <w:tcW w:w="8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2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E4E4E4"/>
          </w:tcPr>
          <w:p>
            <w:pPr>
              <w:spacing w:after="0"/>
              <w:rPr>
                <w:sz w:val="22"/>
                <w:szCs w:val="22"/>
                <w:color w:val="auto"/>
              </w:rPr>
            </w:pPr>
          </w:p>
        </w:tc>
        <w:tc>
          <w:tcPr>
            <w:tcW w:w="88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tcPr>
          <w:p>
            <w:pPr>
              <w:ind w:left="2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Amortization of acquisition-related intangible assets</w:t>
            </w:r>
          </w:p>
        </w:tc>
        <w:tc>
          <w:tcPr>
            <w:tcW w:w="2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w:t>
            </w:r>
          </w:p>
        </w:tc>
        <w:tc>
          <w:tcPr>
            <w:tcW w:w="2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60" w:type="dxa"/>
            <w:vAlign w:val="bottom"/>
            <w:shd w:val="clear" w:color="auto" w:fill="E4E4E4"/>
          </w:tcPr>
          <w:p>
            <w:pPr>
              <w:spacing w:after="0"/>
              <w:rPr>
                <w:sz w:val="20"/>
                <w:szCs w:val="20"/>
                <w:color w:val="auto"/>
              </w:rPr>
            </w:pPr>
          </w:p>
        </w:tc>
        <w:tc>
          <w:tcPr>
            <w:tcW w:w="880" w:type="dxa"/>
            <w:vAlign w:val="bottom"/>
            <w:shd w:val="clear" w:color="auto" w:fill="E4E4E4"/>
          </w:tcPr>
          <w:p>
            <w:pPr>
              <w:spacing w:after="0"/>
              <w:rPr>
                <w:sz w:val="20"/>
                <w:szCs w:val="20"/>
                <w:color w:val="auto"/>
              </w:rPr>
            </w:pPr>
          </w:p>
        </w:tc>
        <w:tc>
          <w:tcPr>
            <w:tcW w:w="120" w:type="dxa"/>
            <w:vAlign w:val="bottom"/>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169</w:t>
            </w:r>
          </w:p>
        </w:tc>
        <w:tc>
          <w:tcPr>
            <w:tcW w:w="20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116</w:t>
            </w:r>
          </w:p>
        </w:tc>
        <w:tc>
          <w:tcPr>
            <w:tcW w:w="80" w:type="dxa"/>
            <w:vAlign w:val="bottom"/>
            <w:shd w:val="clear" w:color="auto" w:fill="E4E4E4"/>
          </w:tcPr>
          <w:p>
            <w:pPr>
              <w:spacing w:after="0"/>
              <w:rPr>
                <w:sz w:val="20"/>
                <w:szCs w:val="20"/>
                <w:color w:val="auto"/>
              </w:rPr>
            </w:pPr>
          </w:p>
        </w:tc>
        <w:tc>
          <w:tcPr>
            <w:tcW w:w="880" w:type="dxa"/>
            <w:vAlign w:val="bottom"/>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320" w:type="dxa"/>
            <w:vAlign w:val="bottom"/>
          </w:tcPr>
          <w:p>
            <w:pPr>
              <w:ind w:left="2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Tariff refunds</w:t>
            </w:r>
            <w:r>
              <w:rPr>
                <w:rFonts w:ascii="Arial" w:cs="Arial" w:eastAsia="Arial" w:hAnsi="Arial"/>
                <w:sz w:val="21"/>
                <w:szCs w:val="21"/>
                <w:color w:val="auto"/>
                <w:vertAlign w:val="superscript"/>
              </w:rPr>
              <w:t>(6)</w:t>
            </w:r>
          </w:p>
        </w:tc>
        <w:tc>
          <w:tcPr>
            <w:tcW w:w="220" w:type="dxa"/>
            <w:vAlign w:val="bottom"/>
            <w:tcBorders>
              <w:bottom w:val="single" w:sz="8" w:color="E4E4E4"/>
            </w:tcBorders>
            <w:shd w:val="clear" w:color="auto" w:fill="E4E4E4"/>
          </w:tcPr>
          <w:p>
            <w:pPr>
              <w:spacing w:after="0"/>
              <w:rPr>
                <w:sz w:val="22"/>
                <w:szCs w:val="22"/>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E4E4E4"/>
            </w:tcBorders>
            <w:shd w:val="clear" w:color="auto" w:fill="E4E4E4"/>
          </w:tcPr>
          <w:p>
            <w:pPr>
              <w:spacing w:after="0"/>
              <w:rPr>
                <w:sz w:val="22"/>
                <w:szCs w:val="22"/>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E4E4E4"/>
          </w:tcPr>
          <w:p>
            <w:pPr>
              <w:spacing w:after="0"/>
              <w:rPr>
                <w:sz w:val="22"/>
                <w:szCs w:val="22"/>
                <w:color w:val="auto"/>
              </w:rPr>
            </w:pPr>
          </w:p>
        </w:tc>
        <w:tc>
          <w:tcPr>
            <w:tcW w:w="880" w:type="dxa"/>
            <w:vAlign w:val="bottom"/>
            <w:tcBorders>
              <w:bottom w:val="single" w:sz="8" w:color="auto"/>
            </w:tcBorders>
            <w:shd w:val="clear" w:color="auto" w:fill="E4E4E4"/>
          </w:tcPr>
          <w:p>
            <w:pPr>
              <w:spacing w:after="0"/>
              <w:rPr>
                <w:sz w:val="22"/>
                <w:szCs w:val="22"/>
                <w:color w:val="auto"/>
              </w:rPr>
            </w:pPr>
          </w:p>
        </w:tc>
        <w:tc>
          <w:tcPr>
            <w:tcW w:w="120" w:type="dxa"/>
            <w:vAlign w:val="bottom"/>
            <w:tcBorders>
              <w:bottom w:val="single" w:sz="8" w:color="auto"/>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115</w:t>
            </w:r>
          </w:p>
        </w:tc>
        <w:tc>
          <w:tcPr>
            <w:tcW w:w="200" w:type="dxa"/>
            <w:vAlign w:val="bottom"/>
            <w:tcBorders>
              <w:bottom w:val="single" w:sz="8" w:color="E4E4E4"/>
            </w:tcBorders>
            <w:shd w:val="clear" w:color="auto" w:fill="E4E4E4"/>
          </w:tcPr>
          <w:p>
            <w:pPr>
              <w:spacing w:after="0"/>
              <w:rPr>
                <w:sz w:val="22"/>
                <w:szCs w:val="22"/>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4E4E4"/>
          </w:tcPr>
          <w:p>
            <w:pPr>
              <w:spacing w:after="0"/>
              <w:rPr>
                <w:sz w:val="22"/>
                <w:szCs w:val="22"/>
                <w:color w:val="auto"/>
              </w:rPr>
            </w:pPr>
          </w:p>
        </w:tc>
        <w:tc>
          <w:tcPr>
            <w:tcW w:w="880" w:type="dxa"/>
            <w:vAlign w:val="bottom"/>
            <w:tcBorders>
              <w:bottom w:val="single" w:sz="8" w:color="auto"/>
            </w:tcBorders>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913</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761</w:t>
            </w: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19.9%</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2,353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2,205</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margin</w:t>
            </w:r>
          </w:p>
        </w:tc>
        <w:tc>
          <w:tcPr>
            <w:tcW w:w="22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11.1%</w:t>
            </w:r>
          </w:p>
        </w:tc>
        <w:tc>
          <w:tcPr>
            <w:tcW w:w="22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8.7%</w:t>
            </w:r>
          </w:p>
        </w:tc>
        <w:tc>
          <w:tcPr>
            <w:tcW w:w="60" w:type="dxa"/>
            <w:vAlign w:val="bottom"/>
            <w:shd w:val="clear" w:color="auto" w:fill="E4E4E4"/>
          </w:tcPr>
          <w:p>
            <w:pPr>
              <w:spacing w:after="0"/>
              <w:rPr>
                <w:sz w:val="22"/>
                <w:szCs w:val="22"/>
                <w:color w:val="auto"/>
              </w:rPr>
            </w:pPr>
          </w:p>
        </w:tc>
        <w:tc>
          <w:tcPr>
            <w:tcW w:w="8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250 bps</w:t>
            </w:r>
          </w:p>
        </w:tc>
        <w:tc>
          <w:tcPr>
            <w:tcW w:w="120" w:type="dxa"/>
            <w:vAlign w:val="bottom"/>
            <w:shd w:val="clear" w:color="auto" w:fill="E4E4E4"/>
          </w:tcPr>
          <w:p>
            <w:pPr>
              <w:spacing w:after="0"/>
              <w:rPr>
                <w:sz w:val="22"/>
                <w:szCs w:val="22"/>
                <w:color w:val="auto"/>
              </w:rPr>
            </w:pPr>
          </w:p>
        </w:tc>
        <w:tc>
          <w:tcPr>
            <w:tcW w:w="22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9.8%</w:t>
            </w:r>
          </w:p>
        </w:tc>
        <w:tc>
          <w:tcPr>
            <w:tcW w:w="20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10.0%</w:t>
            </w:r>
          </w:p>
        </w:tc>
        <w:tc>
          <w:tcPr>
            <w:tcW w:w="80" w:type="dxa"/>
            <w:vAlign w:val="bottom"/>
            <w:shd w:val="clear" w:color="auto" w:fill="E4E4E4"/>
          </w:tcPr>
          <w:p>
            <w:pPr>
              <w:spacing w:after="0"/>
              <w:rPr>
                <w:sz w:val="22"/>
                <w:szCs w:val="22"/>
                <w:color w:val="auto"/>
              </w:rPr>
            </w:pPr>
          </w:p>
        </w:tc>
        <w:tc>
          <w:tcPr>
            <w:tcW w:w="8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(20) bps</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 margin*</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w:t>
            </w:r>
          </w:p>
        </w:tc>
        <w:tc>
          <w:tcPr>
            <w:tcW w:w="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180 bps</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w:t>
            </w: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w:t>
            </w:r>
          </w:p>
        </w:tc>
        <w:tc>
          <w:tcPr>
            <w:tcW w:w="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bps</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45" w:lineRule="exact"/>
        <w:rPr>
          <w:rFonts w:ascii="Arial" w:cs="Arial" w:eastAsia="Arial" w:hAnsi="Arial"/>
          <w:sz w:val="16"/>
          <w:szCs w:val="16"/>
          <w:color w:val="auto"/>
        </w:rPr>
      </w:pPr>
    </w:p>
    <w:p>
      <w:pPr>
        <w:ind w:left="440" w:right="520" w:hanging="414"/>
        <w:spacing w:after="0" w:line="281"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1" w:lineRule="exact"/>
        <w:rPr>
          <w:rFonts w:ascii="Arial" w:cs="Arial" w:eastAsia="Arial" w:hAnsi="Arial"/>
          <w:sz w:val="16"/>
          <w:szCs w:val="16"/>
          <w:color w:val="auto"/>
        </w:rPr>
      </w:pPr>
    </w:p>
    <w:p>
      <w:pPr>
        <w:ind w:left="440" w:right="200" w:hanging="414"/>
        <w:spacing w:after="0" w:line="286"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Costs and other adjustments related to the Spin-Off and separation from GE, including system implementations, audit and advisory fees, legal entity separation, Founders Grant equity awards, separation agreements with GE, and other one-time costs.</w:t>
      </w:r>
    </w:p>
    <w:p>
      <w:pPr>
        <w:spacing w:after="0" w:line="7" w:lineRule="exact"/>
        <w:rPr>
          <w:rFonts w:ascii="Arial" w:cs="Arial" w:eastAsia="Arial" w:hAnsi="Arial"/>
          <w:sz w:val="16"/>
          <w:szCs w:val="16"/>
          <w:color w:val="auto"/>
        </w:rPr>
      </w:pPr>
    </w:p>
    <w:p>
      <w:pPr>
        <w:ind w:left="440" w:hanging="414"/>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72" w:lineRule="exact"/>
        <w:rPr>
          <w:rFonts w:ascii="Arial" w:cs="Arial" w:eastAsia="Arial" w:hAnsi="Arial"/>
          <w:sz w:val="16"/>
          <w:szCs w:val="16"/>
          <w:color w:val="auto"/>
        </w:rPr>
      </w:pPr>
    </w:p>
    <w:p>
      <w:pPr>
        <w:ind w:left="440" w:right="360" w:hanging="414"/>
        <w:spacing w:after="0" w:line="286"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 and for the nine months ended September 30, 2025, includes the impact from the revaluation of our existing 50% interest in NMP as part of the acquisition transaction.</w:t>
      </w:r>
    </w:p>
    <w:p>
      <w:pPr>
        <w:spacing w:after="0" w:line="20" w:lineRule="exact"/>
        <w:rPr>
          <w:rFonts w:ascii="Arial" w:cs="Arial" w:eastAsia="Arial" w:hAnsi="Arial"/>
          <w:sz w:val="16"/>
          <w:szCs w:val="16"/>
          <w:color w:val="auto"/>
        </w:rPr>
      </w:pPr>
    </w:p>
    <w:p>
      <w:pPr>
        <w:ind w:left="440" w:hanging="414"/>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the pre-tax impact of refunds pertaining to IEEPA tariffs incurred in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9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903"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200" w:type="dxa"/>
            <w:vAlign w:val="bottom"/>
          </w:tcPr>
          <w:p>
            <w:pPr>
              <w:spacing w:after="0"/>
              <w:rPr>
                <w:sz w:val="17"/>
                <w:szCs w:val="17"/>
                <w:color w:val="auto"/>
              </w:rPr>
            </w:pPr>
          </w:p>
        </w:tc>
        <w:tc>
          <w:tcPr>
            <w:tcW w:w="2780" w:type="dxa"/>
            <w:vAlign w:val="bottom"/>
            <w:gridSpan w:val="6"/>
          </w:tcPr>
          <w:p>
            <w:pPr>
              <w:jc w:val="center"/>
              <w:ind w:right="320"/>
              <w:spacing w:after="0"/>
              <w:rPr>
                <w:sz w:val="20"/>
                <w:szCs w:val="20"/>
                <w:color w:val="auto"/>
              </w:rPr>
            </w:pPr>
            <w:r>
              <w:rPr>
                <w:rFonts w:ascii="Arial" w:cs="Arial" w:eastAsia="Arial" w:hAnsi="Arial"/>
                <w:sz w:val="16"/>
                <w:szCs w:val="16"/>
                <w:b w:val="1"/>
                <w:bCs w:val="1"/>
                <w:color w:val="454545"/>
              </w:rPr>
              <w:t>For the three months ended</w:t>
            </w:r>
          </w:p>
        </w:tc>
        <w:tc>
          <w:tcPr>
            <w:tcW w:w="220" w:type="dxa"/>
            <w:vAlign w:val="bottom"/>
          </w:tcPr>
          <w:p>
            <w:pPr>
              <w:spacing w:after="0"/>
              <w:rPr>
                <w:sz w:val="17"/>
                <w:szCs w:val="17"/>
                <w:color w:val="auto"/>
              </w:rPr>
            </w:pPr>
          </w:p>
        </w:tc>
        <w:tc>
          <w:tcPr>
            <w:tcW w:w="2680" w:type="dxa"/>
            <w:vAlign w:val="bottom"/>
            <w:gridSpan w:val="5"/>
          </w:tcPr>
          <w:p>
            <w:pPr>
              <w:jc w:val="center"/>
              <w:ind w:right="159"/>
              <w:spacing w:after="0"/>
              <w:rPr>
                <w:sz w:val="20"/>
                <w:szCs w:val="20"/>
                <w:color w:val="auto"/>
              </w:rPr>
            </w:pPr>
            <w:r>
              <w:rPr>
                <w:rFonts w:ascii="Arial" w:cs="Arial" w:eastAsia="Arial" w:hAnsi="Arial"/>
                <w:sz w:val="16"/>
                <w:szCs w:val="16"/>
                <w:b w:val="1"/>
                <w:bCs w:val="1"/>
                <w:color w:val="454545"/>
              </w:rPr>
              <w:t>For the nine months ended</w:t>
            </w:r>
          </w:p>
        </w:tc>
        <w:tc>
          <w:tcPr>
            <w:tcW w:w="0" w:type="dxa"/>
            <w:vAlign w:val="bottom"/>
          </w:tcPr>
          <w:p>
            <w:pPr>
              <w:spacing w:after="0"/>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4"/>
          </w:tcPr>
          <w:p>
            <w:pPr>
              <w:jc w:val="center"/>
              <w:ind w:left="599"/>
              <w:spacing w:after="0"/>
              <w:rPr>
                <w:sz w:val="20"/>
                <w:szCs w:val="20"/>
                <w:color w:val="auto"/>
              </w:rPr>
            </w:pPr>
            <w:r>
              <w:rPr>
                <w:rFonts w:ascii="Arial" w:cs="Arial" w:eastAsia="Arial" w:hAnsi="Arial"/>
                <w:sz w:val="16"/>
                <w:szCs w:val="16"/>
                <w:b w:val="1"/>
                <w:bCs w:val="1"/>
                <w:color w:val="454545"/>
              </w:rPr>
              <w:t>September 30</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4"/>
          </w:tcPr>
          <w:p>
            <w:pPr>
              <w:jc w:val="center"/>
              <w:ind w:left="579"/>
              <w:spacing w:after="0"/>
              <w:rPr>
                <w:sz w:val="20"/>
                <w:szCs w:val="20"/>
                <w:color w:val="auto"/>
              </w:rPr>
            </w:pPr>
            <w:r>
              <w:rPr>
                <w:rFonts w:ascii="Arial" w:cs="Arial" w:eastAsia="Arial" w:hAnsi="Arial"/>
                <w:sz w:val="16"/>
                <w:szCs w:val="16"/>
                <w:b w:val="1"/>
                <w:bCs w:val="1"/>
                <w:color w:val="454545"/>
              </w:rPr>
              <w:t>September 30</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6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3"/>
        </w:trPr>
        <w:tc>
          <w:tcPr>
            <w:tcW w:w="5360" w:type="dxa"/>
            <w:vAlign w:val="bottom"/>
            <w:tcBorders>
              <w:bottom w:val="single" w:sz="8" w:color="6400A0"/>
            </w:tcBorders>
          </w:tcPr>
          <w:p>
            <w:pPr>
              <w:spacing w:after="0"/>
              <w:rPr>
                <w:sz w:val="21"/>
                <w:szCs w:val="21"/>
                <w:color w:val="auto"/>
              </w:rPr>
            </w:pPr>
          </w:p>
        </w:tc>
        <w:tc>
          <w:tcPr>
            <w:tcW w:w="200" w:type="dxa"/>
            <w:vAlign w:val="bottom"/>
            <w:tcBorders>
              <w:bottom w:val="single" w:sz="8" w:color="6400A0"/>
            </w:tcBorders>
          </w:tcPr>
          <w:p>
            <w:pPr>
              <w:spacing w:after="0"/>
              <w:rPr>
                <w:sz w:val="21"/>
                <w:szCs w:val="21"/>
                <w:color w:val="auto"/>
              </w:rPr>
            </w:pPr>
          </w:p>
        </w:tc>
        <w:tc>
          <w:tcPr>
            <w:tcW w:w="760" w:type="dxa"/>
            <w:vAlign w:val="bottom"/>
            <w:tcBorders>
              <w:bottom w:val="single" w:sz="8" w:color="6400A0"/>
            </w:tcBorders>
          </w:tcPr>
          <w:p>
            <w:pPr>
              <w:jc w:val="right"/>
              <w:ind w:right="219"/>
              <w:spacing w:after="0"/>
              <w:rPr>
                <w:sz w:val="20"/>
                <w:szCs w:val="20"/>
                <w:color w:val="auto"/>
              </w:rPr>
            </w:pPr>
            <w:r>
              <w:rPr>
                <w:rFonts w:ascii="Arial" w:cs="Arial" w:eastAsia="Arial" w:hAnsi="Arial"/>
                <w:sz w:val="16"/>
                <w:szCs w:val="16"/>
                <w:b w:val="1"/>
                <w:bCs w:val="1"/>
                <w:color w:val="454545"/>
              </w:rPr>
              <w:t>2026</w:t>
            </w:r>
          </w:p>
        </w:tc>
        <w:tc>
          <w:tcPr>
            <w:tcW w:w="200" w:type="dxa"/>
            <w:vAlign w:val="bottom"/>
            <w:tcBorders>
              <w:bottom w:val="single" w:sz="8" w:color="6400A0"/>
            </w:tcBorders>
          </w:tcPr>
          <w:p>
            <w:pPr>
              <w:spacing w:after="0"/>
              <w:rPr>
                <w:sz w:val="21"/>
                <w:szCs w:val="21"/>
                <w:color w:val="auto"/>
              </w:rPr>
            </w:pPr>
          </w:p>
        </w:tc>
        <w:tc>
          <w:tcPr>
            <w:tcW w:w="760" w:type="dxa"/>
            <w:vAlign w:val="bottom"/>
            <w:tcBorders>
              <w:bottom w:val="single" w:sz="8" w:color="6400A0"/>
            </w:tcBorders>
          </w:tcPr>
          <w:p>
            <w:pPr>
              <w:jc w:val="center"/>
              <w:ind w:right="119"/>
              <w:spacing w:after="0"/>
              <w:rPr>
                <w:sz w:val="20"/>
                <w:szCs w:val="20"/>
                <w:color w:val="auto"/>
              </w:rPr>
            </w:pPr>
            <w:r>
              <w:rPr>
                <w:rFonts w:ascii="Arial" w:cs="Arial" w:eastAsia="Arial" w:hAnsi="Arial"/>
                <w:sz w:val="16"/>
                <w:szCs w:val="16"/>
                <w:b w:val="1"/>
                <w:bCs w:val="1"/>
                <w:color w:val="454545"/>
              </w:rPr>
              <w:t>2025</w:t>
            </w:r>
          </w:p>
        </w:tc>
        <w:tc>
          <w:tcPr>
            <w:tcW w:w="60" w:type="dxa"/>
            <w:vAlign w:val="bottom"/>
            <w:tcBorders>
              <w:bottom w:val="single" w:sz="8" w:color="6400A0"/>
            </w:tcBorders>
          </w:tcPr>
          <w:p>
            <w:pPr>
              <w:spacing w:after="0"/>
              <w:rPr>
                <w:sz w:val="21"/>
                <w:szCs w:val="21"/>
                <w:color w:val="auto"/>
              </w:rPr>
            </w:pPr>
          </w:p>
        </w:tc>
        <w:tc>
          <w:tcPr>
            <w:tcW w:w="1000" w:type="dxa"/>
            <w:vAlign w:val="bottom"/>
            <w:tcBorders>
              <w:bottom w:val="single" w:sz="8" w:color="6400A0"/>
            </w:tcBorders>
            <w:gridSpan w:val="2"/>
          </w:tcPr>
          <w:p>
            <w:pPr>
              <w:ind w:left="40"/>
              <w:spacing w:after="0"/>
              <w:rPr>
                <w:sz w:val="20"/>
                <w:szCs w:val="20"/>
                <w:color w:val="auto"/>
              </w:rPr>
            </w:pPr>
            <w:r>
              <w:rPr>
                <w:rFonts w:ascii="Arial" w:cs="Arial" w:eastAsia="Arial" w:hAnsi="Arial"/>
                <w:sz w:val="16"/>
                <w:szCs w:val="16"/>
                <w:b w:val="1"/>
                <w:bCs w:val="1"/>
                <w:color w:val="454545"/>
              </w:rPr>
              <w:t>% change</w:t>
            </w:r>
          </w:p>
        </w:tc>
        <w:tc>
          <w:tcPr>
            <w:tcW w:w="220" w:type="dxa"/>
            <w:vAlign w:val="bottom"/>
            <w:tcBorders>
              <w:bottom w:val="single" w:sz="8" w:color="6400A0"/>
            </w:tcBorders>
          </w:tcPr>
          <w:p>
            <w:pPr>
              <w:spacing w:after="0"/>
              <w:rPr>
                <w:sz w:val="21"/>
                <w:szCs w:val="21"/>
                <w:color w:val="auto"/>
              </w:rPr>
            </w:pPr>
          </w:p>
        </w:tc>
        <w:tc>
          <w:tcPr>
            <w:tcW w:w="760" w:type="dxa"/>
            <w:vAlign w:val="bottom"/>
            <w:tcBorders>
              <w:bottom w:val="single" w:sz="8" w:color="6400A0"/>
            </w:tcBorders>
          </w:tcPr>
          <w:p>
            <w:pPr>
              <w:jc w:val="right"/>
              <w:ind w:right="239"/>
              <w:spacing w:after="0"/>
              <w:rPr>
                <w:sz w:val="20"/>
                <w:szCs w:val="20"/>
                <w:color w:val="auto"/>
              </w:rPr>
            </w:pPr>
            <w:r>
              <w:rPr>
                <w:rFonts w:ascii="Arial" w:cs="Arial" w:eastAsia="Arial" w:hAnsi="Arial"/>
                <w:sz w:val="16"/>
                <w:szCs w:val="16"/>
                <w:b w:val="1"/>
                <w:bCs w:val="1"/>
                <w:color w:val="454545"/>
              </w:rPr>
              <w:t>2026</w:t>
            </w:r>
          </w:p>
        </w:tc>
        <w:tc>
          <w:tcPr>
            <w:tcW w:w="200" w:type="dxa"/>
            <w:vAlign w:val="bottom"/>
            <w:tcBorders>
              <w:bottom w:val="single" w:sz="8" w:color="6400A0"/>
            </w:tcBorders>
          </w:tcPr>
          <w:p>
            <w:pPr>
              <w:spacing w:after="0"/>
              <w:rPr>
                <w:sz w:val="21"/>
                <w:szCs w:val="21"/>
                <w:color w:val="auto"/>
              </w:rPr>
            </w:pPr>
          </w:p>
        </w:tc>
        <w:tc>
          <w:tcPr>
            <w:tcW w:w="760" w:type="dxa"/>
            <w:vAlign w:val="bottom"/>
            <w:tcBorders>
              <w:bottom w:val="single" w:sz="8" w:color="6400A0"/>
            </w:tcBorders>
          </w:tcPr>
          <w:p>
            <w:pPr>
              <w:jc w:val="center"/>
              <w:ind w:right="119"/>
              <w:spacing w:after="0"/>
              <w:rPr>
                <w:sz w:val="20"/>
                <w:szCs w:val="20"/>
                <w:color w:val="auto"/>
              </w:rPr>
            </w:pPr>
            <w:r>
              <w:rPr>
                <w:rFonts w:ascii="Arial" w:cs="Arial" w:eastAsia="Arial" w:hAnsi="Arial"/>
                <w:sz w:val="16"/>
                <w:szCs w:val="16"/>
                <w:b w:val="1"/>
                <w:bCs w:val="1"/>
                <w:color w:val="454545"/>
              </w:rPr>
              <w:t>2025</w:t>
            </w:r>
          </w:p>
        </w:tc>
        <w:tc>
          <w:tcPr>
            <w:tcW w:w="80" w:type="dxa"/>
            <w:vAlign w:val="bottom"/>
            <w:tcBorders>
              <w:bottom w:val="single" w:sz="8" w:color="6400A0"/>
            </w:tcBorders>
          </w:tcPr>
          <w:p>
            <w:pPr>
              <w:spacing w:after="0"/>
              <w:rPr>
                <w:sz w:val="21"/>
                <w:szCs w:val="21"/>
                <w:color w:val="auto"/>
              </w:rPr>
            </w:pPr>
          </w:p>
        </w:tc>
        <w:tc>
          <w:tcPr>
            <w:tcW w:w="880" w:type="dxa"/>
            <w:vAlign w:val="bottom"/>
            <w:tcBorders>
              <w:bottom w:val="single" w:sz="8" w:color="6400A0"/>
            </w:tcBorders>
          </w:tcPr>
          <w:p>
            <w:pPr>
              <w:jc w:val="right"/>
              <w:spacing w:after="0"/>
              <w:rPr>
                <w:sz w:val="20"/>
                <w:szCs w:val="20"/>
                <w:color w:val="auto"/>
              </w:rPr>
            </w:pPr>
            <w:r>
              <w:rPr>
                <w:rFonts w:ascii="Arial" w:cs="Arial" w:eastAsia="Arial" w:hAnsi="Arial"/>
                <w:sz w:val="16"/>
                <w:szCs w:val="16"/>
                <w:b w:val="1"/>
                <w:bCs w:val="1"/>
                <w:color w:val="454545"/>
              </w:rPr>
              <w:t>% change</w:t>
            </w:r>
          </w:p>
        </w:tc>
        <w:tc>
          <w:tcPr>
            <w:tcW w:w="0" w:type="dxa"/>
            <w:vAlign w:val="bottom"/>
          </w:tcPr>
          <w:p>
            <w:pPr>
              <w:spacing w:after="0"/>
              <w:rPr>
                <w:sz w:val="1"/>
                <w:szCs w:val="1"/>
                <w:color w:val="auto"/>
              </w:rPr>
            </w:pPr>
          </w:p>
        </w:tc>
      </w:tr>
      <w:tr>
        <w:trPr>
          <w:trHeight w:val="268"/>
        </w:trPr>
        <w:tc>
          <w:tcPr>
            <w:tcW w:w="53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Net income attributable to GE HealthCare</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615</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446</w:t>
            </w:r>
          </w:p>
        </w:tc>
        <w:tc>
          <w:tcPr>
            <w:tcW w:w="60" w:type="dxa"/>
            <w:vAlign w:val="bottom"/>
            <w:tcBorders>
              <w:bottom w:val="single" w:sz="8" w:color="E4E4E4"/>
            </w:tcBorders>
            <w:shd w:val="clear" w:color="auto" w:fill="E4E4E4"/>
          </w:tcPr>
          <w:p>
            <w:pPr>
              <w:spacing w:after="0"/>
              <w:rPr>
                <w:sz w:val="23"/>
                <w:szCs w:val="23"/>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37.9%</w:t>
            </w:r>
          </w:p>
        </w:tc>
        <w:tc>
          <w:tcPr>
            <w:tcW w:w="120" w:type="dxa"/>
            <w:vAlign w:val="bottom"/>
            <w:tcBorders>
              <w:bottom w:val="single" w:sz="8" w:color="E4E4E4"/>
            </w:tcBorders>
            <w:shd w:val="clear" w:color="auto" w:fill="E4E4E4"/>
          </w:tcPr>
          <w:p>
            <w:pPr>
              <w:spacing w:after="0"/>
              <w:rPr>
                <w:sz w:val="23"/>
                <w:szCs w:val="23"/>
                <w:color w:val="auto"/>
              </w:rPr>
            </w:pP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1,564</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1,495</w:t>
            </w:r>
          </w:p>
        </w:tc>
        <w:tc>
          <w:tcPr>
            <w:tcW w:w="80" w:type="dxa"/>
            <w:vAlign w:val="bottom"/>
            <w:tcBorders>
              <w:bottom w:val="single" w:sz="8" w:color="E4E4E4"/>
            </w:tcBorders>
            <w:shd w:val="clear" w:color="auto" w:fill="E4E4E4"/>
          </w:tcPr>
          <w:p>
            <w:pPr>
              <w:spacing w:after="0"/>
              <w:rPr>
                <w:sz w:val="23"/>
                <w:szCs w:val="23"/>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w:t>
            </w:r>
          </w:p>
        </w:tc>
        <w:tc>
          <w:tcPr>
            <w:tcW w:w="0" w:type="dxa"/>
            <w:vAlign w:val="bottom"/>
          </w:tcPr>
          <w:p>
            <w:pPr>
              <w:spacing w:after="0"/>
              <w:rPr>
                <w:sz w:val="1"/>
                <w:szCs w:val="1"/>
                <w:color w:val="auto"/>
              </w:rPr>
            </w:pPr>
          </w:p>
        </w:tc>
      </w:tr>
      <w:tr>
        <w:trPr>
          <w:trHeight w:val="241"/>
        </w:trPr>
        <w:tc>
          <w:tcPr>
            <w:tcW w:w="5360" w:type="dxa"/>
            <w:vAlign w:val="bottom"/>
          </w:tcPr>
          <w:p>
            <w:pPr>
              <w:ind w:left="80"/>
              <w:spacing w:after="0"/>
              <w:rPr>
                <w:sz w:val="20"/>
                <w:szCs w:val="20"/>
                <w:color w:val="auto"/>
              </w:rPr>
            </w:pPr>
            <w:r>
              <w:rPr>
                <w:rFonts w:ascii="Arial" w:cs="Arial" w:eastAsia="Arial" w:hAnsi="Arial"/>
                <w:sz w:val="16"/>
                <w:szCs w:val="16"/>
                <w:color w:val="auto"/>
              </w:rPr>
              <w:t>Add: Non-operating benefit (income) costs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(222)</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5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36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60" w:type="dxa"/>
            <w:vAlign w:val="bottom"/>
            <w:shd w:val="clear" w:color="auto" w:fill="E4E4E4"/>
          </w:tcPr>
          <w:p>
            <w:pPr>
              <w:spacing w:after="0"/>
              <w:rPr>
                <w:sz w:val="24"/>
                <w:szCs w:val="24"/>
                <w:color w:val="auto"/>
              </w:rPr>
            </w:pPr>
          </w:p>
        </w:tc>
        <w:tc>
          <w:tcPr>
            <w:tcW w:w="88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92</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71</w:t>
            </w:r>
          </w:p>
        </w:tc>
        <w:tc>
          <w:tcPr>
            <w:tcW w:w="80" w:type="dxa"/>
            <w:vAlign w:val="bottom"/>
            <w:shd w:val="clear" w:color="auto" w:fill="E4E4E4"/>
          </w:tcPr>
          <w:p>
            <w:pPr>
              <w:spacing w:after="0"/>
              <w:rPr>
                <w:sz w:val="24"/>
                <w:szCs w:val="24"/>
                <w:color w:val="auto"/>
              </w:rPr>
            </w:pPr>
          </w:p>
        </w:tc>
        <w:tc>
          <w:tcPr>
            <w:tcW w:w="88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60" w:type="dxa"/>
            <w:vAlign w:val="bottom"/>
          </w:tcPr>
          <w:p>
            <w:pPr>
              <w:ind w:left="8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6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Spin-Off and separation costs and other adjustments</w:t>
            </w:r>
            <w:r>
              <w:rPr>
                <w:rFonts w:ascii="Arial" w:cs="Arial" w:eastAsia="Arial" w:hAnsi="Arial"/>
                <w:sz w:val="21"/>
                <w:szCs w:val="21"/>
                <w:color w:val="auto"/>
                <w:vertAlign w:val="superscript"/>
              </w:rPr>
              <w:t>(3)</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60" w:type="dxa"/>
            <w:vAlign w:val="bottom"/>
            <w:shd w:val="clear" w:color="auto" w:fill="E4E4E4"/>
          </w:tcPr>
          <w:p>
            <w:pPr>
              <w:spacing w:after="0"/>
              <w:rPr>
                <w:sz w:val="24"/>
                <w:szCs w:val="24"/>
                <w:color w:val="auto"/>
              </w:rPr>
            </w:pPr>
          </w:p>
        </w:tc>
        <w:tc>
          <w:tcPr>
            <w:tcW w:w="88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22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E4E4E4"/>
          </w:tcPr>
          <w:p>
            <w:pPr>
              <w:spacing w:after="0"/>
              <w:rPr>
                <w:sz w:val="24"/>
                <w:szCs w:val="24"/>
                <w:color w:val="auto"/>
              </w:rPr>
            </w:pPr>
          </w:p>
        </w:tc>
        <w:tc>
          <w:tcPr>
            <w:tcW w:w="88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60" w:type="dxa"/>
            <w:vAlign w:val="bottom"/>
          </w:tcPr>
          <w:p>
            <w:pPr>
              <w:ind w:left="8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3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20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w:t>
            </w:r>
          </w:p>
        </w:tc>
        <w:tc>
          <w:tcPr>
            <w:tcW w:w="20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60" w:type="dxa"/>
            <w:vAlign w:val="bottom"/>
            <w:tcBorders>
              <w:bottom w:val="single" w:sz="8" w:color="E4E4E4"/>
            </w:tcBorders>
            <w:shd w:val="clear" w:color="auto" w:fill="E4E4E4"/>
          </w:tcPr>
          <w:p>
            <w:pPr>
              <w:spacing w:after="0"/>
              <w:rPr>
                <w:sz w:val="24"/>
                <w:szCs w:val="24"/>
                <w:color w:val="auto"/>
              </w:rPr>
            </w:pPr>
          </w:p>
        </w:tc>
        <w:tc>
          <w:tcPr>
            <w:tcW w:w="880" w:type="dxa"/>
            <w:vAlign w:val="bottom"/>
            <w:tcBorders>
              <w:bottom w:val="single" w:sz="8" w:color="E4E4E4"/>
            </w:tcBorders>
            <w:shd w:val="clear" w:color="auto" w:fill="E4E4E4"/>
          </w:tcPr>
          <w:p>
            <w:pPr>
              <w:spacing w:after="0"/>
              <w:rPr>
                <w:sz w:val="24"/>
                <w:szCs w:val="24"/>
                <w:color w:val="auto"/>
              </w:rPr>
            </w:pPr>
          </w:p>
        </w:tc>
        <w:tc>
          <w:tcPr>
            <w:tcW w:w="120" w:type="dxa"/>
            <w:vAlign w:val="bottom"/>
            <w:tcBorders>
              <w:bottom w:val="single" w:sz="8" w:color="E4E4E4"/>
            </w:tcBorders>
            <w:shd w:val="clear" w:color="auto" w:fill="E4E4E4"/>
          </w:tcPr>
          <w:p>
            <w:pPr>
              <w:spacing w:after="0"/>
              <w:rPr>
                <w:sz w:val="24"/>
                <w:szCs w:val="24"/>
                <w:color w:val="auto"/>
              </w:rPr>
            </w:pPr>
          </w:p>
        </w:tc>
        <w:tc>
          <w:tcPr>
            <w:tcW w:w="22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169</w:t>
            </w:r>
          </w:p>
        </w:tc>
        <w:tc>
          <w:tcPr>
            <w:tcW w:w="20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116</w:t>
            </w:r>
          </w:p>
        </w:tc>
        <w:tc>
          <w:tcPr>
            <w:tcW w:w="80" w:type="dxa"/>
            <w:vAlign w:val="bottom"/>
            <w:tcBorders>
              <w:bottom w:val="single" w:sz="8" w:color="E4E4E4"/>
            </w:tcBorders>
            <w:shd w:val="clear" w:color="auto" w:fill="E4E4E4"/>
          </w:tcPr>
          <w:p>
            <w:pPr>
              <w:spacing w:after="0"/>
              <w:rPr>
                <w:sz w:val="24"/>
                <w:szCs w:val="24"/>
                <w:color w:val="auto"/>
              </w:rPr>
            </w:pPr>
          </w:p>
        </w:tc>
        <w:tc>
          <w:tcPr>
            <w:tcW w:w="880" w:type="dxa"/>
            <w:vAlign w:val="bottom"/>
            <w:tcBorders>
              <w:bottom w:val="single" w:sz="8" w:color="E4E4E4"/>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60" w:type="dxa"/>
            <w:vAlign w:val="bottom"/>
          </w:tcPr>
          <w:p>
            <w:pPr>
              <w:ind w:left="8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Tariff refunds</w:t>
            </w:r>
            <w:r>
              <w:rPr>
                <w:rFonts w:ascii="Arial" w:cs="Arial" w:eastAsia="Arial" w:hAnsi="Arial"/>
                <w:sz w:val="21"/>
                <w:szCs w:val="21"/>
                <w:color w:val="auto"/>
                <w:vertAlign w:val="superscript"/>
              </w:rPr>
              <w:t>(6)</w:t>
            </w:r>
          </w:p>
        </w:tc>
        <w:tc>
          <w:tcPr>
            <w:tcW w:w="20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E4E4E4"/>
          </w:tcPr>
          <w:p>
            <w:pPr>
              <w:spacing w:after="0"/>
              <w:rPr>
                <w:sz w:val="22"/>
                <w:szCs w:val="22"/>
                <w:color w:val="auto"/>
              </w:rPr>
            </w:pPr>
          </w:p>
        </w:tc>
        <w:tc>
          <w:tcPr>
            <w:tcW w:w="8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2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115</w:t>
            </w:r>
          </w:p>
        </w:tc>
        <w:tc>
          <w:tcPr>
            <w:tcW w:w="20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4E4E4"/>
          </w:tcPr>
          <w:p>
            <w:pPr>
              <w:spacing w:after="0"/>
              <w:rPr>
                <w:sz w:val="22"/>
                <w:szCs w:val="22"/>
                <w:color w:val="auto"/>
              </w:rPr>
            </w:pPr>
          </w:p>
        </w:tc>
        <w:tc>
          <w:tcPr>
            <w:tcW w:w="88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60" w:type="dxa"/>
            <w:vAlign w:val="bottom"/>
          </w:tcPr>
          <w:p>
            <w:pPr>
              <w:ind w:left="8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(7)</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53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(8)</w:t>
            </w:r>
          </w:p>
        </w:tc>
        <w:tc>
          <w:tcPr>
            <w:tcW w:w="20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c>
          <w:tcPr>
            <w:tcW w:w="20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c>
          <w:tcPr>
            <w:tcW w:w="60" w:type="dxa"/>
            <w:vAlign w:val="bottom"/>
            <w:shd w:val="clear" w:color="auto" w:fill="E4E4E4"/>
          </w:tcPr>
          <w:p>
            <w:pPr>
              <w:spacing w:after="0"/>
              <w:rPr>
                <w:sz w:val="24"/>
                <w:szCs w:val="24"/>
                <w:color w:val="auto"/>
              </w:rPr>
            </w:pPr>
          </w:p>
        </w:tc>
        <w:tc>
          <w:tcPr>
            <w:tcW w:w="88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22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w:t>
            </w:r>
          </w:p>
        </w:tc>
        <w:tc>
          <w:tcPr>
            <w:tcW w:w="20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E4E4E4"/>
          </w:tcPr>
          <w:p>
            <w:pPr>
              <w:spacing w:after="0"/>
              <w:rPr>
                <w:sz w:val="24"/>
                <w:szCs w:val="24"/>
                <w:color w:val="auto"/>
              </w:rPr>
            </w:pPr>
          </w:p>
        </w:tc>
        <w:tc>
          <w:tcPr>
            <w:tcW w:w="88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3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Adjusted net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490</w:t>
            </w:r>
          </w:p>
        </w:tc>
        <w:tc>
          <w:tcPr>
            <w:tcW w:w="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24.0%</w:t>
            </w: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1,575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1,441</w:t>
            </w:r>
          </w:p>
        </w:tc>
        <w:tc>
          <w:tcPr>
            <w:tcW w:w="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9.3%</w:t>
            </w:r>
          </w:p>
        </w:tc>
        <w:tc>
          <w:tcPr>
            <w:tcW w:w="0" w:type="dxa"/>
            <w:vAlign w:val="bottom"/>
          </w:tcPr>
          <w:p>
            <w:pPr>
              <w:spacing w:after="0"/>
              <w:rPr>
                <w:sz w:val="1"/>
                <w:szCs w:val="1"/>
                <w:color w:val="auto"/>
              </w:rPr>
            </w:pPr>
          </w:p>
        </w:tc>
      </w:tr>
      <w:tr>
        <w:trPr>
          <w:trHeight w:val="21"/>
        </w:trPr>
        <w:tc>
          <w:tcPr>
            <w:tcW w:w="5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45" w:lineRule="exact"/>
        <w:rPr>
          <w:rFonts w:ascii="Arial" w:cs="Arial" w:eastAsia="Arial" w:hAnsi="Arial"/>
          <w:sz w:val="16"/>
          <w:szCs w:val="16"/>
          <w:color w:val="auto"/>
        </w:rPr>
      </w:pPr>
    </w:p>
    <w:p>
      <w:pPr>
        <w:ind w:left="440" w:right="520" w:hanging="414"/>
        <w:spacing w:after="0" w:line="281"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1" w:lineRule="exact"/>
        <w:rPr>
          <w:rFonts w:ascii="Arial" w:cs="Arial" w:eastAsia="Arial" w:hAnsi="Arial"/>
          <w:sz w:val="16"/>
          <w:szCs w:val="16"/>
          <w:color w:val="auto"/>
        </w:rPr>
      </w:pPr>
    </w:p>
    <w:p>
      <w:pPr>
        <w:ind w:left="440" w:right="200" w:hanging="414"/>
        <w:spacing w:after="0" w:line="253"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Costs and other adjustments related to the Spin-Off and separation from GE, including system implementations, audit and advisory fees, legal entity separation, Founders Grant equity awards, separation agreements with GE, and other one-time costs. For the nine months ended September 30, 2025, an adjustment is included to eliminate the associated impact on Net (income) loss attributable to noncontrolling interests for applicable costs that impact earnings attributable to noncontrolling interests.</w:t>
      </w:r>
    </w:p>
    <w:p>
      <w:pPr>
        <w:spacing w:after="0" w:line="34" w:lineRule="exact"/>
        <w:rPr>
          <w:rFonts w:ascii="Arial" w:cs="Arial" w:eastAsia="Arial" w:hAnsi="Arial"/>
          <w:sz w:val="16"/>
          <w:szCs w:val="16"/>
          <w:color w:val="auto"/>
        </w:rPr>
      </w:pPr>
    </w:p>
    <w:p>
      <w:pPr>
        <w:ind w:left="440" w:hanging="414"/>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59" w:lineRule="exact"/>
        <w:rPr>
          <w:rFonts w:ascii="Arial" w:cs="Arial" w:eastAsia="Arial" w:hAnsi="Arial"/>
          <w:sz w:val="16"/>
          <w:szCs w:val="16"/>
          <w:color w:val="auto"/>
        </w:rPr>
      </w:pPr>
    </w:p>
    <w:p>
      <w:pPr>
        <w:ind w:left="440" w:right="360" w:hanging="414"/>
        <w:spacing w:after="0" w:line="281"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 and for the nine months ended September 30, 2025, includes the impact from the revaluation of our existing 50% interest in NMP as part of the acquisition transaction.</w:t>
      </w:r>
    </w:p>
    <w:p>
      <w:pPr>
        <w:spacing w:after="0" w:line="1" w:lineRule="exact"/>
        <w:rPr>
          <w:rFonts w:ascii="Arial" w:cs="Arial" w:eastAsia="Arial" w:hAnsi="Arial"/>
          <w:sz w:val="16"/>
          <w:szCs w:val="16"/>
          <w:color w:val="auto"/>
        </w:rPr>
      </w:pPr>
    </w:p>
    <w:p>
      <w:pPr>
        <w:ind w:left="440" w:right="200" w:hanging="414"/>
        <w:spacing w:after="0" w:line="257"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the pre-tax impact of refunds pertaining to IEEPA tariffs incurred in the year ended December 31, 2025. The associated tax effect is presented on the Tax effect of reconciling items line. The net of tax impact of tariff refunds is $7 million and $88 million for the three and nine months ended September 30, 2026, respectively.</w:t>
      </w:r>
    </w:p>
    <w:p>
      <w:pPr>
        <w:spacing w:after="0" w:line="16" w:lineRule="exact"/>
        <w:rPr>
          <w:rFonts w:ascii="Arial" w:cs="Arial" w:eastAsia="Arial" w:hAnsi="Arial"/>
          <w:sz w:val="16"/>
          <w:szCs w:val="16"/>
          <w:color w:val="auto"/>
        </w:rPr>
      </w:pPr>
    </w:p>
    <w:p>
      <w:pPr>
        <w:ind w:left="440" w:right="320" w:hanging="414"/>
        <w:spacing w:after="0" w:line="281"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spacing w:after="0" w:line="1" w:lineRule="exact"/>
        <w:rPr>
          <w:rFonts w:ascii="Arial" w:cs="Arial" w:eastAsia="Arial" w:hAnsi="Arial"/>
          <w:sz w:val="16"/>
          <w:szCs w:val="16"/>
          <w:color w:val="auto"/>
        </w:rPr>
      </w:pPr>
    </w:p>
    <w:p>
      <w:pPr>
        <w:ind w:left="440" w:right="180" w:hanging="414"/>
        <w:spacing w:after="0" w:line="253"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foreign income tax reserve releases and discrete tax impacts resulting from the Spin-Off and separation from GE. Additionally, includes the impact of a foreign tax audit settlement for the three and nine months ended September 30, 2026; impacts from tax law changes for the three and nine months ended September 30, 2025; and tax impacts of the NMP acquisition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7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727"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Earnings Per Share*</w:t>
            </w:r>
          </w:p>
        </w:tc>
        <w:tc>
          <w:tcPr>
            <w:tcW w:w="220" w:type="dxa"/>
            <w:vAlign w:val="bottom"/>
          </w:tcPr>
          <w:p>
            <w:pPr>
              <w:spacing w:after="0"/>
              <w:rPr>
                <w:sz w:val="17"/>
                <w:szCs w:val="17"/>
                <w:color w:val="auto"/>
              </w:rPr>
            </w:pPr>
          </w:p>
        </w:tc>
        <w:tc>
          <w:tcPr>
            <w:tcW w:w="2780" w:type="dxa"/>
            <w:vAlign w:val="bottom"/>
            <w:gridSpan w:val="6"/>
          </w:tcPr>
          <w:p>
            <w:pPr>
              <w:jc w:val="center"/>
              <w:ind w:right="320"/>
              <w:spacing w:after="0"/>
              <w:rPr>
                <w:sz w:val="20"/>
                <w:szCs w:val="20"/>
                <w:color w:val="auto"/>
              </w:rPr>
            </w:pPr>
            <w:r>
              <w:rPr>
                <w:rFonts w:ascii="Arial" w:cs="Arial" w:eastAsia="Arial" w:hAnsi="Arial"/>
                <w:sz w:val="16"/>
                <w:szCs w:val="16"/>
                <w:b w:val="1"/>
                <w:bCs w:val="1"/>
                <w:color w:val="454545"/>
              </w:rPr>
              <w:t>For the three months ended</w:t>
            </w:r>
          </w:p>
        </w:tc>
        <w:tc>
          <w:tcPr>
            <w:tcW w:w="200" w:type="dxa"/>
            <w:vAlign w:val="bottom"/>
          </w:tcPr>
          <w:p>
            <w:pPr>
              <w:spacing w:after="0"/>
              <w:rPr>
                <w:sz w:val="17"/>
                <w:szCs w:val="17"/>
                <w:color w:val="auto"/>
              </w:rPr>
            </w:pPr>
          </w:p>
        </w:tc>
        <w:tc>
          <w:tcPr>
            <w:tcW w:w="2700" w:type="dxa"/>
            <w:vAlign w:val="bottom"/>
            <w:gridSpan w:val="5"/>
          </w:tcPr>
          <w:p>
            <w:pPr>
              <w:jc w:val="center"/>
              <w:ind w:right="139"/>
              <w:spacing w:after="0"/>
              <w:rPr>
                <w:sz w:val="20"/>
                <w:szCs w:val="20"/>
                <w:color w:val="auto"/>
              </w:rPr>
            </w:pPr>
            <w:r>
              <w:rPr>
                <w:rFonts w:ascii="Arial" w:cs="Arial" w:eastAsia="Arial" w:hAnsi="Arial"/>
                <w:sz w:val="16"/>
                <w:szCs w:val="16"/>
                <w:b w:val="1"/>
                <w:bCs w:val="1"/>
                <w:color w:val="454545"/>
              </w:rPr>
              <w:t>For the nine months ended</w:t>
            </w:r>
          </w:p>
        </w:tc>
        <w:tc>
          <w:tcPr>
            <w:tcW w:w="0" w:type="dxa"/>
            <w:vAlign w:val="bottom"/>
          </w:tcPr>
          <w:p>
            <w:pPr>
              <w:spacing w:after="0"/>
              <w:rPr>
                <w:sz w:val="1"/>
                <w:szCs w:val="1"/>
                <w:color w:val="auto"/>
              </w:rPr>
            </w:pPr>
          </w:p>
        </w:tc>
      </w:tr>
      <w:tr>
        <w:trPr>
          <w:trHeight w:val="101"/>
        </w:trPr>
        <w:tc>
          <w:tcPr>
            <w:tcW w:w="53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820" w:type="dxa"/>
            <w:vAlign w:val="bottom"/>
            <w:gridSpan w:val="4"/>
            <w:vMerge w:val="restart"/>
          </w:tcPr>
          <w:p>
            <w:pPr>
              <w:jc w:val="center"/>
              <w:ind w:left="559"/>
              <w:spacing w:after="0"/>
              <w:rPr>
                <w:sz w:val="20"/>
                <w:szCs w:val="20"/>
                <w:color w:val="auto"/>
              </w:rPr>
            </w:pPr>
            <w:r>
              <w:rPr>
                <w:rFonts w:ascii="Arial" w:cs="Arial" w:eastAsia="Arial" w:hAnsi="Arial"/>
                <w:sz w:val="16"/>
                <w:szCs w:val="16"/>
                <w:b w:val="1"/>
                <w:bCs w:val="1"/>
                <w:color w:val="454545"/>
              </w:rPr>
              <w:t>September 30</w:t>
            </w: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60" w:type="dxa"/>
            <w:vAlign w:val="bottom"/>
            <w:gridSpan w:val="4"/>
            <w:vMerge w:val="restart"/>
          </w:tcPr>
          <w:p>
            <w:pPr>
              <w:jc w:val="center"/>
              <w:ind w:left="559"/>
              <w:spacing w:after="0"/>
              <w:rPr>
                <w:sz w:val="20"/>
                <w:szCs w:val="20"/>
                <w:color w:val="auto"/>
              </w:rPr>
            </w:pPr>
            <w:r>
              <w:rPr>
                <w:rFonts w:ascii="Arial" w:cs="Arial" w:eastAsia="Arial" w:hAnsi="Arial"/>
                <w:sz w:val="16"/>
                <w:szCs w:val="16"/>
                <w:b w:val="1"/>
                <w:bCs w:val="1"/>
                <w:color w:val="454545"/>
              </w:rPr>
              <w:t>September 30</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20" w:type="dxa"/>
            <w:vAlign w:val="bottom"/>
            <w:gridSpan w:val="4"/>
            <w:vMerge w:val="continue"/>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gridSpan w:val="4"/>
            <w:vMerge w:val="continue"/>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3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dollars, except shares outstanding presented in millions)</w:t>
            </w:r>
          </w:p>
        </w:tc>
        <w:tc>
          <w:tcPr>
            <w:tcW w:w="22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340" w:type="dxa"/>
            <w:vAlign w:val="bottom"/>
            <w:tcBorders>
              <w:bottom w:val="single" w:sz="8" w:color="6400A0"/>
            </w:tcBorders>
            <w:vMerge w:val="continue"/>
          </w:tcPr>
          <w:p>
            <w:pPr>
              <w:spacing w:after="0"/>
              <w:rPr>
                <w:sz w:val="21"/>
                <w:szCs w:val="21"/>
                <w:color w:val="auto"/>
              </w:rPr>
            </w:pPr>
          </w:p>
        </w:tc>
        <w:tc>
          <w:tcPr>
            <w:tcW w:w="220" w:type="dxa"/>
            <w:vAlign w:val="bottom"/>
            <w:tcBorders>
              <w:bottom w:val="single" w:sz="8" w:color="6400A0"/>
            </w:tcBorders>
          </w:tcPr>
          <w:p>
            <w:pPr>
              <w:spacing w:after="0"/>
              <w:rPr>
                <w:sz w:val="21"/>
                <w:szCs w:val="21"/>
                <w:color w:val="auto"/>
              </w:rPr>
            </w:pPr>
          </w:p>
        </w:tc>
        <w:tc>
          <w:tcPr>
            <w:tcW w:w="740" w:type="dxa"/>
            <w:vAlign w:val="bottom"/>
            <w:tcBorders>
              <w:bottom w:val="single" w:sz="8" w:color="6400A0"/>
            </w:tcBorders>
          </w:tcPr>
          <w:p>
            <w:pPr>
              <w:jc w:val="right"/>
              <w:ind w:right="219"/>
              <w:spacing w:after="0"/>
              <w:rPr>
                <w:sz w:val="20"/>
                <w:szCs w:val="20"/>
                <w:color w:val="auto"/>
              </w:rPr>
            </w:pPr>
            <w:r>
              <w:rPr>
                <w:rFonts w:ascii="Arial" w:cs="Arial" w:eastAsia="Arial" w:hAnsi="Arial"/>
                <w:sz w:val="16"/>
                <w:szCs w:val="16"/>
                <w:b w:val="1"/>
                <w:bCs w:val="1"/>
                <w:color w:val="454545"/>
              </w:rPr>
              <w:t>2026</w:t>
            </w:r>
          </w:p>
        </w:tc>
        <w:tc>
          <w:tcPr>
            <w:tcW w:w="200" w:type="dxa"/>
            <w:vAlign w:val="bottom"/>
            <w:tcBorders>
              <w:bottom w:val="single" w:sz="8" w:color="6400A0"/>
            </w:tcBorders>
          </w:tcPr>
          <w:p>
            <w:pPr>
              <w:spacing w:after="0"/>
              <w:rPr>
                <w:sz w:val="21"/>
                <w:szCs w:val="21"/>
                <w:color w:val="auto"/>
              </w:rPr>
            </w:pPr>
          </w:p>
        </w:tc>
        <w:tc>
          <w:tcPr>
            <w:tcW w:w="760" w:type="dxa"/>
            <w:vAlign w:val="bottom"/>
            <w:tcBorders>
              <w:bottom w:val="single" w:sz="8" w:color="6400A0"/>
            </w:tcBorders>
          </w:tcPr>
          <w:p>
            <w:pPr>
              <w:jc w:val="center"/>
              <w:ind w:right="119"/>
              <w:spacing w:after="0"/>
              <w:rPr>
                <w:sz w:val="20"/>
                <w:szCs w:val="20"/>
                <w:color w:val="auto"/>
              </w:rPr>
            </w:pPr>
            <w:r>
              <w:rPr>
                <w:rFonts w:ascii="Arial" w:cs="Arial" w:eastAsia="Arial" w:hAnsi="Arial"/>
                <w:sz w:val="16"/>
                <w:szCs w:val="16"/>
                <w:b w:val="1"/>
                <w:bCs w:val="1"/>
                <w:color w:val="454545"/>
              </w:rPr>
              <w:t>2025</w:t>
            </w:r>
          </w:p>
        </w:tc>
        <w:tc>
          <w:tcPr>
            <w:tcW w:w="120" w:type="dxa"/>
            <w:vAlign w:val="bottom"/>
            <w:tcBorders>
              <w:bottom w:val="single" w:sz="8" w:color="6400A0"/>
            </w:tcBorders>
          </w:tcPr>
          <w:p>
            <w:pPr>
              <w:spacing w:after="0"/>
              <w:rPr>
                <w:sz w:val="21"/>
                <w:szCs w:val="21"/>
                <w:color w:val="auto"/>
              </w:rPr>
            </w:pPr>
          </w:p>
        </w:tc>
        <w:tc>
          <w:tcPr>
            <w:tcW w:w="960" w:type="dxa"/>
            <w:vAlign w:val="bottom"/>
            <w:tcBorders>
              <w:bottom w:val="single" w:sz="8" w:color="6400A0"/>
            </w:tcBorders>
            <w:gridSpan w:val="2"/>
          </w:tcPr>
          <w:p>
            <w:pPr>
              <w:ind w:left="20"/>
              <w:spacing w:after="0"/>
              <w:rPr>
                <w:sz w:val="20"/>
                <w:szCs w:val="20"/>
                <w:color w:val="auto"/>
              </w:rPr>
            </w:pPr>
            <w:r>
              <w:rPr>
                <w:rFonts w:ascii="Arial" w:cs="Arial" w:eastAsia="Arial" w:hAnsi="Arial"/>
                <w:sz w:val="16"/>
                <w:szCs w:val="16"/>
                <w:b w:val="1"/>
                <w:bCs w:val="1"/>
                <w:color w:val="454545"/>
              </w:rPr>
              <w:t>$ change</w:t>
            </w:r>
          </w:p>
        </w:tc>
        <w:tc>
          <w:tcPr>
            <w:tcW w:w="200" w:type="dxa"/>
            <w:vAlign w:val="bottom"/>
            <w:tcBorders>
              <w:bottom w:val="single" w:sz="8" w:color="6400A0"/>
            </w:tcBorders>
          </w:tcPr>
          <w:p>
            <w:pPr>
              <w:spacing w:after="0"/>
              <w:rPr>
                <w:sz w:val="21"/>
                <w:szCs w:val="21"/>
                <w:color w:val="auto"/>
              </w:rPr>
            </w:pPr>
          </w:p>
        </w:tc>
        <w:tc>
          <w:tcPr>
            <w:tcW w:w="760" w:type="dxa"/>
            <w:vAlign w:val="bottom"/>
            <w:tcBorders>
              <w:bottom w:val="single" w:sz="8" w:color="6400A0"/>
            </w:tcBorders>
          </w:tcPr>
          <w:p>
            <w:pPr>
              <w:jc w:val="right"/>
              <w:ind w:right="219"/>
              <w:spacing w:after="0"/>
              <w:rPr>
                <w:sz w:val="20"/>
                <w:szCs w:val="20"/>
                <w:color w:val="auto"/>
              </w:rPr>
            </w:pPr>
            <w:r>
              <w:rPr>
                <w:rFonts w:ascii="Arial" w:cs="Arial" w:eastAsia="Arial" w:hAnsi="Arial"/>
                <w:sz w:val="16"/>
                <w:szCs w:val="16"/>
                <w:b w:val="1"/>
                <w:bCs w:val="1"/>
                <w:color w:val="454545"/>
              </w:rPr>
              <w:t>2026</w:t>
            </w:r>
          </w:p>
        </w:tc>
        <w:tc>
          <w:tcPr>
            <w:tcW w:w="200" w:type="dxa"/>
            <w:vAlign w:val="bottom"/>
            <w:tcBorders>
              <w:bottom w:val="single" w:sz="8" w:color="6400A0"/>
            </w:tcBorders>
          </w:tcPr>
          <w:p>
            <w:pPr>
              <w:spacing w:after="0"/>
              <w:rPr>
                <w:sz w:val="21"/>
                <w:szCs w:val="21"/>
                <w:color w:val="auto"/>
              </w:rPr>
            </w:pPr>
          </w:p>
        </w:tc>
        <w:tc>
          <w:tcPr>
            <w:tcW w:w="760" w:type="dxa"/>
            <w:vAlign w:val="bottom"/>
            <w:tcBorders>
              <w:bottom w:val="single" w:sz="8" w:color="6400A0"/>
            </w:tcBorders>
          </w:tcPr>
          <w:p>
            <w:pPr>
              <w:jc w:val="center"/>
              <w:ind w:right="119"/>
              <w:spacing w:after="0"/>
              <w:rPr>
                <w:sz w:val="20"/>
                <w:szCs w:val="20"/>
                <w:color w:val="auto"/>
              </w:rPr>
            </w:pPr>
            <w:r>
              <w:rPr>
                <w:rFonts w:ascii="Arial" w:cs="Arial" w:eastAsia="Arial" w:hAnsi="Arial"/>
                <w:sz w:val="16"/>
                <w:szCs w:val="16"/>
                <w:b w:val="1"/>
                <w:bCs w:val="1"/>
                <w:color w:val="454545"/>
              </w:rPr>
              <w:t>2025</w:t>
            </w:r>
          </w:p>
        </w:tc>
        <w:tc>
          <w:tcPr>
            <w:tcW w:w="140" w:type="dxa"/>
            <w:vAlign w:val="bottom"/>
            <w:tcBorders>
              <w:bottom w:val="single" w:sz="8" w:color="6400A0"/>
            </w:tcBorders>
          </w:tcPr>
          <w:p>
            <w:pPr>
              <w:spacing w:after="0"/>
              <w:rPr>
                <w:sz w:val="21"/>
                <w:szCs w:val="21"/>
                <w:color w:val="auto"/>
              </w:rPr>
            </w:pPr>
          </w:p>
        </w:tc>
        <w:tc>
          <w:tcPr>
            <w:tcW w:w="840" w:type="dxa"/>
            <w:vAlign w:val="bottom"/>
            <w:tcBorders>
              <w:bottom w:val="single" w:sz="8" w:color="6400A0"/>
            </w:tcBorders>
          </w:tcPr>
          <w:p>
            <w:pPr>
              <w:jc w:val="right"/>
              <w:ind w:right="39"/>
              <w:spacing w:after="0"/>
              <w:rPr>
                <w:sz w:val="20"/>
                <w:szCs w:val="20"/>
                <w:color w:val="auto"/>
              </w:rPr>
            </w:pPr>
            <w:r>
              <w:rPr>
                <w:rFonts w:ascii="Arial" w:cs="Arial" w:eastAsia="Arial" w:hAnsi="Arial"/>
                <w:sz w:val="16"/>
                <w:szCs w:val="16"/>
                <w:b w:val="1"/>
                <w:bCs w:val="1"/>
                <w:color w:val="454545"/>
              </w:rPr>
              <w:t>$ change</w:t>
            </w:r>
          </w:p>
        </w:tc>
        <w:tc>
          <w:tcPr>
            <w:tcW w:w="0" w:type="dxa"/>
            <w:vAlign w:val="bottom"/>
          </w:tcPr>
          <w:p>
            <w:pPr>
              <w:spacing w:after="0"/>
              <w:rPr>
                <w:sz w:val="1"/>
                <w:szCs w:val="1"/>
                <w:color w:val="auto"/>
              </w:rPr>
            </w:pPr>
          </w:p>
        </w:tc>
      </w:tr>
      <w:tr>
        <w:trPr>
          <w:trHeight w:val="277"/>
        </w:trPr>
        <w:tc>
          <w:tcPr>
            <w:tcW w:w="53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1.36</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0.98</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0.38</w:t>
            </w:r>
          </w:p>
        </w:tc>
        <w:tc>
          <w:tcPr>
            <w:tcW w:w="120" w:type="dxa"/>
            <w:vAlign w:val="bottom"/>
            <w:tcBorders>
              <w:bottom w:val="single" w:sz="8" w:color="E4E4E4"/>
            </w:tcBorders>
            <w:shd w:val="clear" w:color="auto" w:fill="E4E4E4"/>
          </w:tcPr>
          <w:p>
            <w:pPr>
              <w:spacing w:after="0"/>
              <w:rPr>
                <w:sz w:val="24"/>
                <w:szCs w:val="24"/>
                <w:color w:val="auto"/>
              </w:rPr>
            </w:pP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3.44</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3.26</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0.18</w:t>
            </w:r>
          </w:p>
        </w:tc>
        <w:tc>
          <w:tcPr>
            <w:tcW w:w="0" w:type="dxa"/>
            <w:vAlign w:val="bottom"/>
          </w:tcPr>
          <w:p>
            <w:pPr>
              <w:spacing w:after="0"/>
              <w:rPr>
                <w:sz w:val="1"/>
                <w:szCs w:val="1"/>
                <w:color w:val="auto"/>
              </w:rPr>
            </w:pPr>
          </w:p>
        </w:tc>
      </w:tr>
      <w:tr>
        <w:trPr>
          <w:trHeight w:val="241"/>
        </w:trPr>
        <w:tc>
          <w:tcPr>
            <w:tcW w:w="5340" w:type="dxa"/>
            <w:vAlign w:val="bottom"/>
          </w:tcPr>
          <w:p>
            <w:pPr>
              <w:ind w:left="140"/>
              <w:spacing w:after="0"/>
              <w:rPr>
                <w:sz w:val="20"/>
                <w:szCs w:val="20"/>
                <w:color w:val="auto"/>
              </w:rPr>
            </w:pPr>
            <w:r>
              <w:rPr>
                <w:rFonts w:ascii="Arial" w:cs="Arial" w:eastAsia="Arial" w:hAnsi="Arial"/>
                <w:sz w:val="16"/>
                <w:szCs w:val="16"/>
                <w:color w:val="auto"/>
              </w:rPr>
              <w:t>Add: Non-operating benefit (income) costs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(0.11)</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(0.32)</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(0.49)</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5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340" w:type="dxa"/>
            <w:vAlign w:val="bottom"/>
            <w:shd w:val="clear" w:color="auto" w:fill="E4E4E4"/>
          </w:tcPr>
          <w:p>
            <w:pPr>
              <w:ind w:left="14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2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0.04</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0.07</w:t>
            </w:r>
          </w:p>
        </w:tc>
        <w:tc>
          <w:tcPr>
            <w:tcW w:w="12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0.20</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0.16</w:t>
            </w:r>
          </w:p>
        </w:tc>
        <w:tc>
          <w:tcPr>
            <w:tcW w:w="14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40" w:type="dxa"/>
            <w:vAlign w:val="bottom"/>
          </w:tcPr>
          <w:p>
            <w:pPr>
              <w:ind w:left="14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0.03</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0.13</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0.05</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40" w:type="dxa"/>
            <w:vAlign w:val="bottom"/>
            <w:shd w:val="clear" w:color="auto" w:fill="E4E4E4"/>
          </w:tcPr>
          <w:p>
            <w:pPr>
              <w:ind w:left="140"/>
              <w:spacing w:after="0"/>
              <w:rPr>
                <w:sz w:val="20"/>
                <w:szCs w:val="20"/>
                <w:color w:val="auto"/>
              </w:rPr>
            </w:pPr>
            <w:r>
              <w:rPr>
                <w:rFonts w:ascii="Arial" w:cs="Arial" w:eastAsia="Arial" w:hAnsi="Arial"/>
                <w:sz w:val="16"/>
                <w:szCs w:val="16"/>
                <w:color w:val="auto"/>
              </w:rPr>
              <w:t>Add: Spin-Off and separation costs and other adjustments</w:t>
            </w:r>
            <w:r>
              <w:rPr>
                <w:rFonts w:ascii="Arial" w:cs="Arial" w:eastAsia="Arial" w:hAnsi="Arial"/>
                <w:sz w:val="21"/>
                <w:szCs w:val="21"/>
                <w:color w:val="auto"/>
                <w:vertAlign w:val="superscript"/>
              </w:rPr>
              <w:t>(3)</w:t>
            </w:r>
          </w:p>
        </w:tc>
        <w:tc>
          <w:tcPr>
            <w:tcW w:w="22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0.09</w:t>
            </w:r>
          </w:p>
        </w:tc>
        <w:tc>
          <w:tcPr>
            <w:tcW w:w="14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40" w:type="dxa"/>
            <w:vAlign w:val="bottom"/>
          </w:tcPr>
          <w:p>
            <w:pPr>
              <w:ind w:left="14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(0.00)</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(0.00)</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34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Add: Amortization of acquisition-related intangible assets</w:t>
            </w:r>
          </w:p>
        </w:tc>
        <w:tc>
          <w:tcPr>
            <w:tcW w:w="22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0.13</w:t>
            </w:r>
          </w:p>
        </w:tc>
        <w:tc>
          <w:tcPr>
            <w:tcW w:w="20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spacing w:after="0"/>
              <w:rPr>
                <w:sz w:val="24"/>
                <w:szCs w:val="24"/>
                <w:color w:val="auto"/>
              </w:rPr>
            </w:pPr>
          </w:p>
        </w:tc>
        <w:tc>
          <w:tcPr>
            <w:tcW w:w="120" w:type="dxa"/>
            <w:vAlign w:val="bottom"/>
            <w:tcBorders>
              <w:bottom w:val="single" w:sz="8" w:color="E4E4E4"/>
            </w:tcBorders>
            <w:shd w:val="clear" w:color="auto" w:fill="E4E4E4"/>
          </w:tcPr>
          <w:p>
            <w:pPr>
              <w:spacing w:after="0"/>
              <w:rPr>
                <w:sz w:val="24"/>
                <w:szCs w:val="24"/>
                <w:color w:val="auto"/>
              </w:rPr>
            </w:pPr>
          </w:p>
        </w:tc>
        <w:tc>
          <w:tcPr>
            <w:tcW w:w="20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0.37</w:t>
            </w:r>
          </w:p>
        </w:tc>
        <w:tc>
          <w:tcPr>
            <w:tcW w:w="20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0.25</w:t>
            </w:r>
          </w:p>
        </w:tc>
        <w:tc>
          <w:tcPr>
            <w:tcW w:w="14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40" w:type="dxa"/>
            <w:vAlign w:val="bottom"/>
          </w:tcPr>
          <w:p>
            <w:pPr>
              <w:ind w:left="14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0.03</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(0.21)</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E4E4E4"/>
          </w:tcPr>
          <w:p>
            <w:pPr>
              <w:ind w:left="140"/>
              <w:spacing w:after="0"/>
              <w:rPr>
                <w:sz w:val="20"/>
                <w:szCs w:val="20"/>
                <w:color w:val="auto"/>
              </w:rPr>
            </w:pPr>
            <w:r>
              <w:rPr>
                <w:rFonts w:ascii="Arial" w:cs="Arial" w:eastAsia="Arial" w:hAnsi="Arial"/>
                <w:sz w:val="16"/>
                <w:szCs w:val="16"/>
                <w:color w:val="auto"/>
              </w:rPr>
              <w:t>Less: Tariff refunds</w:t>
            </w:r>
            <w:r>
              <w:rPr>
                <w:rFonts w:ascii="Arial" w:cs="Arial" w:eastAsia="Arial" w:hAnsi="Arial"/>
                <w:sz w:val="21"/>
                <w:szCs w:val="21"/>
                <w:color w:val="auto"/>
                <w:vertAlign w:val="superscript"/>
              </w:rPr>
              <w:t>(6)</w:t>
            </w:r>
          </w:p>
        </w:tc>
        <w:tc>
          <w:tcPr>
            <w:tcW w:w="220" w:type="dxa"/>
            <w:vAlign w:val="bottom"/>
            <w:shd w:val="clear" w:color="auto" w:fill="E4E4E4"/>
          </w:tcPr>
          <w:p>
            <w:pPr>
              <w:spacing w:after="0"/>
              <w:rPr>
                <w:sz w:val="22"/>
                <w:szCs w:val="22"/>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0.02</w:t>
            </w:r>
          </w:p>
        </w:tc>
        <w:tc>
          <w:tcPr>
            <w:tcW w:w="20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4E4E4"/>
          </w:tcPr>
          <w:p>
            <w:pPr>
              <w:spacing w:after="0"/>
              <w:rPr>
                <w:sz w:val="22"/>
                <w:szCs w:val="22"/>
                <w:color w:val="auto"/>
              </w:rPr>
            </w:pPr>
          </w:p>
        </w:tc>
        <w:tc>
          <w:tcPr>
            <w:tcW w:w="84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0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0.25</w:t>
            </w:r>
          </w:p>
        </w:tc>
        <w:tc>
          <w:tcPr>
            <w:tcW w:w="20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4E4E4"/>
          </w:tcPr>
          <w:p>
            <w:pPr>
              <w:spacing w:after="0"/>
              <w:rPr>
                <w:sz w:val="22"/>
                <w:szCs w:val="22"/>
                <w:color w:val="auto"/>
              </w:rPr>
            </w:pPr>
          </w:p>
        </w:tc>
        <w:tc>
          <w:tcPr>
            <w:tcW w:w="84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40" w:type="dxa"/>
            <w:vAlign w:val="bottom"/>
          </w:tcPr>
          <w:p>
            <w:pPr>
              <w:ind w:left="14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(7)</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(0.02)</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(0.03)</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340" w:type="dxa"/>
            <w:vAlign w:val="bottom"/>
            <w:tcBorders>
              <w:bottom w:val="single" w:sz="8" w:color="auto"/>
            </w:tcBorders>
            <w:shd w:val="clear" w:color="auto" w:fill="E4E4E4"/>
          </w:tcPr>
          <w:p>
            <w:pPr>
              <w:ind w:left="14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(8)</w:t>
            </w:r>
          </w:p>
        </w:tc>
        <w:tc>
          <w:tcPr>
            <w:tcW w:w="220" w:type="dxa"/>
            <w:vAlign w:val="bottom"/>
            <w:tcBorders>
              <w:bottom w:val="single" w:sz="8" w:color="auto"/>
            </w:tcBorders>
            <w:shd w:val="clear" w:color="auto" w:fill="E4E4E4"/>
          </w:tcPr>
          <w:p>
            <w:pPr>
              <w:spacing w:after="0"/>
              <w:rPr>
                <w:sz w:val="24"/>
                <w:szCs w:val="24"/>
                <w:color w:val="auto"/>
              </w:rPr>
            </w:pPr>
          </w:p>
        </w:tc>
        <w:tc>
          <w:tcPr>
            <w:tcW w:w="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(0.08)</w:t>
            </w:r>
          </w:p>
        </w:tc>
        <w:tc>
          <w:tcPr>
            <w:tcW w:w="200" w:type="dxa"/>
            <w:vAlign w:val="bottom"/>
            <w:tcBorders>
              <w:bottom w:val="single" w:sz="8" w:color="auto"/>
            </w:tcBorders>
            <w:shd w:val="clear" w:color="auto" w:fill="E4E4E4"/>
          </w:tcPr>
          <w:p>
            <w:pPr>
              <w:spacing w:after="0"/>
              <w:rPr>
                <w:sz w:val="24"/>
                <w:szCs w:val="24"/>
                <w:color w:val="auto"/>
              </w:rPr>
            </w:pPr>
          </w:p>
        </w:tc>
        <w:tc>
          <w:tcPr>
            <w:tcW w:w="7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auto"/>
            </w:tcBorders>
            <w:shd w:val="clear" w:color="auto" w:fill="E4E4E4"/>
          </w:tcPr>
          <w:p>
            <w:pPr>
              <w:spacing w:after="0"/>
              <w:rPr>
                <w:sz w:val="24"/>
                <w:szCs w:val="24"/>
                <w:color w:val="auto"/>
              </w:rPr>
            </w:pPr>
          </w:p>
        </w:tc>
        <w:tc>
          <w:tcPr>
            <w:tcW w:w="840" w:type="dxa"/>
            <w:vAlign w:val="bottom"/>
            <w:tcBorders>
              <w:bottom w:val="single" w:sz="8" w:color="auto"/>
            </w:tcBorders>
            <w:shd w:val="clear" w:color="auto" w:fill="E4E4E4"/>
          </w:tcPr>
          <w:p>
            <w:pPr>
              <w:spacing w:after="0"/>
              <w:rPr>
                <w:sz w:val="24"/>
                <w:szCs w:val="24"/>
                <w:color w:val="auto"/>
              </w:rPr>
            </w:pPr>
          </w:p>
        </w:tc>
        <w:tc>
          <w:tcPr>
            <w:tcW w:w="120" w:type="dxa"/>
            <w:vAlign w:val="bottom"/>
            <w:tcBorders>
              <w:bottom w:val="single" w:sz="8" w:color="auto"/>
            </w:tcBorders>
            <w:shd w:val="clear" w:color="auto" w:fill="E4E4E4"/>
          </w:tcPr>
          <w:p>
            <w:pPr>
              <w:spacing w:after="0"/>
              <w:rPr>
                <w:sz w:val="24"/>
                <w:szCs w:val="24"/>
                <w:color w:val="auto"/>
              </w:rPr>
            </w:pPr>
          </w:p>
        </w:tc>
        <w:tc>
          <w:tcPr>
            <w:tcW w:w="200" w:type="dxa"/>
            <w:vAlign w:val="bottom"/>
            <w:tcBorders>
              <w:bottom w:val="single" w:sz="8" w:color="auto"/>
            </w:tcBorders>
            <w:shd w:val="clear" w:color="auto" w:fill="E4E4E4"/>
          </w:tcPr>
          <w:p>
            <w:pPr>
              <w:spacing w:after="0"/>
              <w:rPr>
                <w:sz w:val="24"/>
                <w:szCs w:val="24"/>
                <w:color w:val="auto"/>
              </w:rPr>
            </w:pPr>
          </w:p>
        </w:tc>
        <w:tc>
          <w:tcPr>
            <w:tcW w:w="7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(0.10)</w:t>
            </w:r>
          </w:p>
        </w:tc>
        <w:tc>
          <w:tcPr>
            <w:tcW w:w="200" w:type="dxa"/>
            <w:vAlign w:val="bottom"/>
            <w:tcBorders>
              <w:bottom w:val="single" w:sz="8" w:color="auto"/>
            </w:tcBorders>
            <w:shd w:val="clear" w:color="auto" w:fill="E4E4E4"/>
          </w:tcPr>
          <w:p>
            <w:pPr>
              <w:spacing w:after="0"/>
              <w:rPr>
                <w:sz w:val="24"/>
                <w:szCs w:val="24"/>
                <w:color w:val="auto"/>
              </w:rPr>
            </w:pPr>
          </w:p>
        </w:tc>
        <w:tc>
          <w:tcPr>
            <w:tcW w:w="7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0.05</w:t>
            </w:r>
          </w:p>
        </w:tc>
        <w:tc>
          <w:tcPr>
            <w:tcW w:w="140" w:type="dxa"/>
            <w:vAlign w:val="bottom"/>
            <w:tcBorders>
              <w:bottom w:val="single" w:sz="8" w:color="auto"/>
            </w:tcBorders>
            <w:shd w:val="clear" w:color="auto" w:fill="E4E4E4"/>
          </w:tcPr>
          <w:p>
            <w:pPr>
              <w:spacing w:after="0"/>
              <w:rPr>
                <w:sz w:val="24"/>
                <w:szCs w:val="24"/>
                <w:color w:val="auto"/>
              </w:rPr>
            </w:pPr>
          </w:p>
        </w:tc>
        <w:tc>
          <w:tcPr>
            <w:tcW w:w="840" w:type="dxa"/>
            <w:vAlign w:val="bottom"/>
            <w:tcBorders>
              <w:bottom w:val="single" w:sz="8" w:color="auto"/>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Adjusted earnings per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1.34</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0.27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3.46</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3.15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0.32</w:t>
            </w:r>
          </w:p>
        </w:tc>
        <w:tc>
          <w:tcPr>
            <w:tcW w:w="0" w:type="dxa"/>
            <w:vAlign w:val="bottom"/>
          </w:tcPr>
          <w:p>
            <w:pPr>
              <w:spacing w:after="0"/>
              <w:rPr>
                <w:sz w:val="1"/>
                <w:szCs w:val="1"/>
                <w:color w:val="auto"/>
              </w:rPr>
            </w:pPr>
          </w:p>
        </w:tc>
      </w:tr>
      <w:tr>
        <w:trPr>
          <w:trHeight w:val="21"/>
        </w:trPr>
        <w:tc>
          <w:tcPr>
            <w:tcW w:w="5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Diluted weighted-average shares outstanding</w:t>
            </w:r>
          </w:p>
        </w:tc>
        <w:tc>
          <w:tcPr>
            <w:tcW w:w="22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453</w:t>
            </w:r>
          </w:p>
        </w:tc>
        <w:tc>
          <w:tcPr>
            <w:tcW w:w="20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457</w:t>
            </w:r>
          </w:p>
        </w:tc>
        <w:tc>
          <w:tcPr>
            <w:tcW w:w="12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455</w:t>
            </w:r>
          </w:p>
        </w:tc>
        <w:tc>
          <w:tcPr>
            <w:tcW w:w="20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458</w:t>
            </w:r>
          </w:p>
        </w:tc>
        <w:tc>
          <w:tcPr>
            <w:tcW w:w="1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59" w:lineRule="exact"/>
        <w:rPr>
          <w:rFonts w:ascii="Arial" w:cs="Arial" w:eastAsia="Arial" w:hAnsi="Arial"/>
          <w:sz w:val="16"/>
          <w:szCs w:val="16"/>
          <w:color w:val="auto"/>
        </w:rPr>
      </w:pPr>
    </w:p>
    <w:p>
      <w:pPr>
        <w:ind w:left="440" w:right="520" w:hanging="414"/>
        <w:spacing w:after="0" w:line="286"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7" w:lineRule="exact"/>
        <w:rPr>
          <w:rFonts w:ascii="Arial" w:cs="Arial" w:eastAsia="Arial" w:hAnsi="Arial"/>
          <w:sz w:val="16"/>
          <w:szCs w:val="16"/>
          <w:color w:val="auto"/>
        </w:rPr>
      </w:pPr>
    </w:p>
    <w:p>
      <w:pPr>
        <w:ind w:left="440" w:right="200" w:hanging="414"/>
        <w:spacing w:after="0" w:line="265"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Costs and other adjustments related to the Spin-Off and separation from GE, including system implementations, audit and advisory fees, legal entity separation, Founders Grant equity awards, separation agreements with GE, and other one-time costs. For the nine months ended September 30, 2025, an adjustment is included to eliminate the associated impact on Net (income) loss attributable to noncontrolling interests for applicable costs that impact earnings attributable to noncontrolling interests.</w:t>
      </w:r>
    </w:p>
    <w:p>
      <w:pPr>
        <w:spacing w:after="0" w:line="24" w:lineRule="exact"/>
        <w:rPr>
          <w:rFonts w:ascii="Arial" w:cs="Arial" w:eastAsia="Arial" w:hAnsi="Arial"/>
          <w:sz w:val="16"/>
          <w:szCs w:val="16"/>
          <w:color w:val="auto"/>
        </w:rPr>
      </w:pPr>
    </w:p>
    <w:p>
      <w:pPr>
        <w:ind w:left="440" w:hanging="414"/>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72" w:lineRule="exact"/>
        <w:rPr>
          <w:rFonts w:ascii="Arial" w:cs="Arial" w:eastAsia="Arial" w:hAnsi="Arial"/>
          <w:sz w:val="16"/>
          <w:szCs w:val="16"/>
          <w:color w:val="auto"/>
        </w:rPr>
      </w:pPr>
    </w:p>
    <w:p>
      <w:pPr>
        <w:ind w:left="440" w:right="360" w:hanging="414"/>
        <w:spacing w:after="0" w:line="286"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 and for the nine months ended September 30, 2025, includes the impact from the revaluation of our existing 50% interest in NMP as part of the acquisition transaction.</w:t>
      </w:r>
    </w:p>
    <w:p>
      <w:pPr>
        <w:spacing w:after="0" w:line="7" w:lineRule="exact"/>
        <w:rPr>
          <w:rFonts w:ascii="Arial" w:cs="Arial" w:eastAsia="Arial" w:hAnsi="Arial"/>
          <w:sz w:val="16"/>
          <w:szCs w:val="16"/>
          <w:color w:val="auto"/>
        </w:rPr>
      </w:pPr>
    </w:p>
    <w:p>
      <w:pPr>
        <w:ind w:left="440" w:right="360" w:hanging="414"/>
        <w:spacing w:after="0" w:line="275"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the pre-tax impact of refunds pertaining to IEEPA tariffs incurred in the year ended December 31, 2025. The associated tax effect is presented on the Tax effect of reconciling items line. The net of tax impact of tariff refunds is $0.02 and $0.19 for the three and nine months ended September 30, 2026, respectively.</w:t>
      </w:r>
    </w:p>
    <w:p>
      <w:pPr>
        <w:spacing w:after="0" w:line="2" w:lineRule="exact"/>
        <w:rPr>
          <w:rFonts w:ascii="Arial" w:cs="Arial" w:eastAsia="Arial" w:hAnsi="Arial"/>
          <w:sz w:val="16"/>
          <w:szCs w:val="16"/>
          <w:color w:val="auto"/>
        </w:rPr>
      </w:pPr>
    </w:p>
    <w:p>
      <w:pPr>
        <w:ind w:left="440" w:right="320" w:hanging="414"/>
        <w:spacing w:after="0" w:line="286"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spacing w:after="0" w:line="7" w:lineRule="exact"/>
        <w:rPr>
          <w:rFonts w:ascii="Arial" w:cs="Arial" w:eastAsia="Arial" w:hAnsi="Arial"/>
          <w:sz w:val="16"/>
          <w:szCs w:val="16"/>
          <w:color w:val="auto"/>
        </w:rPr>
      </w:pPr>
    </w:p>
    <w:p>
      <w:pPr>
        <w:ind w:left="440" w:right="180" w:hanging="414"/>
        <w:spacing w:after="0" w:line="265"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foreign income tax reserve releases and discrete tax impacts resulting from the Spin-Off and separation from GE. Additionally, includes the impact of a foreign tax audit settlement for the three and nine months ended September 30, 2026; impacts from tax law changes for the three and nine months ended September 30, 2025; and tax impacts of the NMP acquisition for the nine months ended September 30, 2025.</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292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454545"/>
              </w:rPr>
              <w:t>For the three months ended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454545"/>
              </w:rPr>
              <w:t>For the nine months ended</w:t>
            </w:r>
          </w:p>
        </w:tc>
      </w:tr>
      <w:tr>
        <w:trPr>
          <w:trHeight w:val="223"/>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Adjusted Tax Expense* and Adjusted ETR*</w:t>
            </w:r>
          </w:p>
        </w:tc>
        <w:tc>
          <w:tcPr>
            <w:tcW w:w="9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454545"/>
              </w:rPr>
              <w:t>September 30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ind w:left="660"/>
              <w:spacing w:after="0"/>
              <w:rPr>
                <w:sz w:val="20"/>
                <w:szCs w:val="20"/>
                <w:color w:val="auto"/>
              </w:rPr>
            </w:pPr>
            <w:r>
              <w:rPr>
                <w:rFonts w:ascii="Arial" w:cs="Arial" w:eastAsia="Arial" w:hAnsi="Arial"/>
                <w:sz w:val="16"/>
                <w:szCs w:val="16"/>
                <w:b w:val="1"/>
                <w:bCs w:val="1"/>
                <w:color w:val="454545"/>
                <w:w w:val="99"/>
              </w:rPr>
              <w:t>September 30</w:t>
            </w:r>
          </w:p>
        </w:tc>
        <w:tc>
          <w:tcPr>
            <w:tcW w:w="920" w:type="dxa"/>
            <w:vAlign w:val="bottom"/>
          </w:tcPr>
          <w:p>
            <w:pPr>
              <w:spacing w:after="0"/>
              <w:rPr>
                <w:sz w:val="19"/>
                <w:szCs w:val="19"/>
                <w:color w:val="auto"/>
              </w:rPr>
            </w:pPr>
          </w:p>
        </w:tc>
      </w:tr>
      <w:tr>
        <w:trPr>
          <w:trHeight w:val="21"/>
        </w:trPr>
        <w:tc>
          <w:tcPr>
            <w:tcW w:w="5300" w:type="dxa"/>
            <w:vAlign w:val="bottom"/>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43"/>
        </w:trPr>
        <w:tc>
          <w:tcPr>
            <w:tcW w:w="5300" w:type="dxa"/>
            <w:vAlign w:val="bottom"/>
            <w:tcBorders>
              <w:bottom w:val="single" w:sz="8" w:color="6022A6"/>
            </w:tcBorders>
          </w:tcPr>
          <w:p>
            <w:pPr>
              <w:spacing w:after="0"/>
              <w:rPr>
                <w:sz w:val="21"/>
                <w:szCs w:val="21"/>
                <w:color w:val="auto"/>
              </w:rPr>
            </w:pPr>
          </w:p>
        </w:tc>
        <w:tc>
          <w:tcPr>
            <w:tcW w:w="92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2026</w:t>
            </w:r>
          </w:p>
        </w:tc>
        <w:tc>
          <w:tcPr>
            <w:tcW w:w="540" w:type="dxa"/>
            <w:vAlign w:val="bottom"/>
            <w:tcBorders>
              <w:bottom w:val="single" w:sz="8" w:color="6022A6"/>
            </w:tcBorders>
          </w:tcPr>
          <w:p>
            <w:pPr>
              <w:spacing w:after="0"/>
              <w:rPr>
                <w:sz w:val="21"/>
                <w:szCs w:val="21"/>
                <w:color w:val="auto"/>
              </w:rPr>
            </w:pPr>
          </w:p>
        </w:tc>
        <w:tc>
          <w:tcPr>
            <w:tcW w:w="540" w:type="dxa"/>
            <w:vAlign w:val="bottom"/>
            <w:tcBorders>
              <w:bottom w:val="single" w:sz="8" w:color="6022A6"/>
            </w:tcBorders>
          </w:tcPr>
          <w:p>
            <w:pPr>
              <w:spacing w:after="0"/>
              <w:rPr>
                <w:sz w:val="21"/>
                <w:szCs w:val="21"/>
                <w:color w:val="auto"/>
              </w:rPr>
            </w:pPr>
          </w:p>
        </w:tc>
        <w:tc>
          <w:tcPr>
            <w:tcW w:w="920" w:type="dxa"/>
            <w:vAlign w:val="bottom"/>
            <w:tcBorders>
              <w:bottom w:val="single" w:sz="8" w:color="6022A6"/>
            </w:tcBorders>
          </w:tcPr>
          <w:p>
            <w:pPr>
              <w:jc w:val="right"/>
              <w:ind w:right="479"/>
              <w:spacing w:after="0"/>
              <w:rPr>
                <w:sz w:val="20"/>
                <w:szCs w:val="20"/>
                <w:color w:val="auto"/>
              </w:rPr>
            </w:pPr>
            <w:r>
              <w:rPr>
                <w:rFonts w:ascii="Arial" w:cs="Arial" w:eastAsia="Arial" w:hAnsi="Arial"/>
                <w:sz w:val="16"/>
                <w:szCs w:val="16"/>
                <w:b w:val="1"/>
                <w:bCs w:val="1"/>
                <w:color w:val="454545"/>
                <w:w w:val="95"/>
              </w:rPr>
              <w:t>2025</w:t>
            </w:r>
          </w:p>
        </w:tc>
        <w:tc>
          <w:tcPr>
            <w:tcW w:w="100" w:type="dxa"/>
            <w:vAlign w:val="bottom"/>
            <w:tcBorders>
              <w:bottom w:val="single" w:sz="8" w:color="6022A6"/>
            </w:tcBorders>
          </w:tcPr>
          <w:p>
            <w:pPr>
              <w:spacing w:after="0"/>
              <w:rPr>
                <w:sz w:val="21"/>
                <w:szCs w:val="21"/>
                <w:color w:val="auto"/>
              </w:rPr>
            </w:pPr>
          </w:p>
        </w:tc>
        <w:tc>
          <w:tcPr>
            <w:tcW w:w="280" w:type="dxa"/>
            <w:vAlign w:val="bottom"/>
            <w:tcBorders>
              <w:bottom w:val="single" w:sz="8" w:color="6022A6"/>
            </w:tcBorders>
          </w:tcPr>
          <w:p>
            <w:pPr>
              <w:spacing w:after="0"/>
              <w:rPr>
                <w:sz w:val="21"/>
                <w:szCs w:val="21"/>
                <w:color w:val="auto"/>
              </w:rPr>
            </w:pPr>
          </w:p>
        </w:tc>
        <w:tc>
          <w:tcPr>
            <w:tcW w:w="118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2026</w:t>
            </w:r>
          </w:p>
        </w:tc>
        <w:tc>
          <w:tcPr>
            <w:tcW w:w="540" w:type="dxa"/>
            <w:vAlign w:val="bottom"/>
            <w:tcBorders>
              <w:bottom w:val="single" w:sz="8" w:color="6022A6"/>
            </w:tcBorders>
          </w:tcPr>
          <w:p>
            <w:pPr>
              <w:spacing w:after="0"/>
              <w:rPr>
                <w:sz w:val="21"/>
                <w:szCs w:val="21"/>
                <w:color w:val="auto"/>
              </w:rPr>
            </w:pPr>
          </w:p>
        </w:tc>
        <w:tc>
          <w:tcPr>
            <w:tcW w:w="92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2025</w:t>
            </w:r>
          </w:p>
        </w:tc>
      </w:tr>
      <w:tr>
        <w:trPr>
          <w:trHeight w:val="237"/>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Benefit (provision) for income taxes</w:t>
            </w:r>
          </w:p>
        </w:tc>
        <w:tc>
          <w:tcPr>
            <w:tcW w:w="920" w:type="dxa"/>
            <w:vAlign w:val="bottom"/>
            <w:tcBorders>
              <w:bottom w:val="single" w:sz="8" w:color="E4E4E4"/>
            </w:tcBorders>
            <w:shd w:val="clear" w:color="auto" w:fill="E4E4E4"/>
          </w:tcPr>
          <w:p>
            <w:pPr>
              <w:jc w:val="right"/>
              <w:ind w:right="71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(129)</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(179)</w:t>
            </w:r>
          </w:p>
        </w:tc>
        <w:tc>
          <w:tcPr>
            <w:tcW w:w="38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(342)</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(395)</w:t>
            </w:r>
          </w:p>
        </w:tc>
      </w:tr>
      <w:tr>
        <w:trPr>
          <w:trHeight w:val="256"/>
        </w:trPr>
        <w:tc>
          <w:tcPr>
            <w:tcW w:w="5300" w:type="dxa"/>
            <w:vAlign w:val="bottom"/>
          </w:tcPr>
          <w:p>
            <w:pPr>
              <w:ind w:left="8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(1)</w:t>
            </w:r>
          </w:p>
        </w:tc>
        <w:tc>
          <w:tcPr>
            <w:tcW w:w="9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1"/>
        </w:trPr>
        <w:tc>
          <w:tcPr>
            <w:tcW w:w="530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(2)</w:t>
            </w:r>
          </w:p>
        </w:tc>
        <w:tc>
          <w:tcPr>
            <w:tcW w:w="920" w:type="dxa"/>
            <w:vAlign w:val="bottom"/>
            <w:tcBorders>
              <w:bottom w:val="single" w:sz="8" w:color="auto"/>
            </w:tcBorders>
            <w:shd w:val="clear" w:color="auto" w:fill="E4E4E4"/>
          </w:tcPr>
          <w:p>
            <w:pPr>
              <w:spacing w:after="0"/>
              <w:rPr>
                <w:sz w:val="24"/>
                <w:szCs w:val="24"/>
                <w:color w:val="auto"/>
              </w:rPr>
            </w:pPr>
          </w:p>
        </w:tc>
        <w:tc>
          <w:tcPr>
            <w:tcW w:w="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(37)</w:t>
            </w:r>
          </w:p>
        </w:tc>
        <w:tc>
          <w:tcPr>
            <w:tcW w:w="540" w:type="dxa"/>
            <w:vAlign w:val="bottom"/>
            <w:tcBorders>
              <w:bottom w:val="single" w:sz="8" w:color="auto"/>
            </w:tcBorders>
            <w:shd w:val="clear" w:color="auto" w:fill="E4E4E4"/>
          </w:tcPr>
          <w:p>
            <w:pPr>
              <w:spacing w:after="0"/>
              <w:rPr>
                <w:sz w:val="24"/>
                <w:szCs w:val="24"/>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auto"/>
            </w:tcBorders>
            <w:shd w:val="clear" w:color="auto" w:fill="E4E4E4"/>
          </w:tcPr>
          <w:p>
            <w:pPr>
              <w:spacing w:after="0"/>
              <w:rPr>
                <w:sz w:val="24"/>
                <w:szCs w:val="24"/>
                <w:color w:val="auto"/>
              </w:rPr>
            </w:pPr>
          </w:p>
        </w:tc>
        <w:tc>
          <w:tcPr>
            <w:tcW w:w="280" w:type="dxa"/>
            <w:vAlign w:val="bottom"/>
            <w:tcBorders>
              <w:bottom w:val="single" w:sz="8" w:color="auto"/>
            </w:tcBorders>
            <w:shd w:val="clear" w:color="auto" w:fill="E4E4E4"/>
          </w:tcPr>
          <w:p>
            <w:pPr>
              <w:spacing w:after="0"/>
              <w:rPr>
                <w:sz w:val="24"/>
                <w:szCs w:val="24"/>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(45)</w:t>
            </w:r>
          </w:p>
        </w:tc>
        <w:tc>
          <w:tcPr>
            <w:tcW w:w="540" w:type="dxa"/>
            <w:vAlign w:val="bottom"/>
            <w:tcBorders>
              <w:bottom w:val="single" w:sz="8" w:color="auto"/>
            </w:tcBorders>
            <w:shd w:val="clear" w:color="auto" w:fill="E4E4E4"/>
          </w:tcPr>
          <w:p>
            <w:pPr>
              <w:spacing w:after="0"/>
              <w:rPr>
                <w:sz w:val="24"/>
                <w:szCs w:val="24"/>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22</w:t>
            </w:r>
          </w:p>
        </w:tc>
      </w:tr>
      <w:tr>
        <w:trPr>
          <w:trHeight w:val="236"/>
        </w:trPr>
        <w:tc>
          <w:tcPr>
            <w:tcW w:w="5300" w:type="dxa"/>
            <w:vAlign w:val="bottom"/>
          </w:tcPr>
          <w:p>
            <w:pPr>
              <w:ind w:left="80"/>
              <w:spacing w:after="0"/>
              <w:rPr>
                <w:sz w:val="20"/>
                <w:szCs w:val="20"/>
                <w:color w:val="auto"/>
              </w:rPr>
            </w:pPr>
            <w:r>
              <w:rPr>
                <w:rFonts w:ascii="Arial" w:cs="Arial" w:eastAsia="Arial" w:hAnsi="Arial"/>
                <w:sz w:val="16"/>
                <w:szCs w:val="16"/>
                <w:b w:val="1"/>
                <w:bCs w:val="1"/>
                <w:color w:val="auto"/>
              </w:rPr>
              <w:t>Adjusted tax expense*</w:t>
            </w:r>
          </w:p>
        </w:tc>
        <w:tc>
          <w:tcPr>
            <w:tcW w:w="92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(174)</w:t>
            </w:r>
          </w:p>
        </w:tc>
        <w:tc>
          <w:tcPr>
            <w:tcW w:w="54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(142)</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(402)</w:t>
            </w:r>
          </w:p>
        </w:tc>
        <w:tc>
          <w:tcPr>
            <w:tcW w:w="54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(377)</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Effective tax rate</w:t>
            </w:r>
          </w:p>
        </w:tc>
        <w:tc>
          <w:tcPr>
            <w:tcW w:w="92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17.1%</w:t>
            </w:r>
          </w:p>
        </w:tc>
        <w:tc>
          <w:tcPr>
            <w:tcW w:w="5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27.8%</w:t>
            </w:r>
          </w:p>
        </w:tc>
        <w:tc>
          <w:tcPr>
            <w:tcW w:w="10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ind w:left="660"/>
              <w:spacing w:after="0"/>
              <w:rPr>
                <w:sz w:val="20"/>
                <w:szCs w:val="20"/>
                <w:color w:val="auto"/>
              </w:rPr>
            </w:pPr>
            <w:r>
              <w:rPr>
                <w:rFonts w:ascii="Arial" w:cs="Arial" w:eastAsia="Arial" w:hAnsi="Arial"/>
                <w:sz w:val="16"/>
                <w:szCs w:val="16"/>
                <w:b w:val="1"/>
                <w:bCs w:val="1"/>
                <w:color w:val="auto"/>
              </w:rPr>
              <w:t>17.5%</w:t>
            </w:r>
          </w:p>
        </w:tc>
        <w:tc>
          <w:tcPr>
            <w:tcW w:w="5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20.3%</w:t>
            </w:r>
          </w:p>
        </w:tc>
      </w:tr>
      <w:tr>
        <w:trPr>
          <w:trHeight w:val="250"/>
        </w:trPr>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Adjusted effective tax rate*</w:t>
            </w: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22.0%</w:t>
            </w: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19.9%</w:t>
            </w: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w:t>
            </w:r>
          </w:p>
        </w:tc>
      </w:tr>
    </w:tbl>
    <w:p>
      <w:pPr>
        <w:spacing w:after="0" w:line="121" w:lineRule="exact"/>
        <w:rPr>
          <w:sz w:val="20"/>
          <w:szCs w:val="20"/>
          <w:color w:val="auto"/>
        </w:rPr>
      </w:pPr>
    </w:p>
    <w:p>
      <w:pPr>
        <w:ind w:left="440" w:right="320" w:hanging="414"/>
        <w:spacing w:after="0" w:line="290"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ind w:left="440" w:right="180" w:hanging="414"/>
        <w:spacing w:after="0" w:line="265"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foreign income tax reserve releases and discrete tax impacts resulting from the Spin-Off and separation from GE. Additionally, includes the impact of a foreign tax audit settlement for the three and nine months ended September 30, 2026; impacts from tax law changes for the three and nine months ended September 30, 2025; and tax impacts of the NMP acquisition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39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Free Cash Flow*</w:t>
            </w:r>
          </w:p>
        </w:tc>
        <w:tc>
          <w:tcPr>
            <w:tcW w:w="340" w:type="dxa"/>
            <w:vAlign w:val="bottom"/>
          </w:tcPr>
          <w:p>
            <w:pPr>
              <w:spacing w:after="0"/>
              <w:rPr>
                <w:sz w:val="19"/>
                <w:szCs w:val="19"/>
                <w:color w:val="auto"/>
              </w:rPr>
            </w:pPr>
          </w:p>
        </w:tc>
        <w:tc>
          <w:tcPr>
            <w:tcW w:w="406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6840" w:type="dxa"/>
            <w:vAlign w:val="bottom"/>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r>
      <w:tr>
        <w:trPr>
          <w:trHeight w:val="229"/>
        </w:trPr>
        <w:tc>
          <w:tcPr>
            <w:tcW w:w="6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2026</w:t>
            </w:r>
          </w:p>
        </w:tc>
        <w:tc>
          <w:tcPr>
            <w:tcW w:w="320" w:type="dxa"/>
            <w:vAlign w:val="bottom"/>
          </w:tcPr>
          <w:p>
            <w:pPr>
              <w:spacing w:after="0"/>
              <w:rPr>
                <w:sz w:val="19"/>
                <w:szCs w:val="19"/>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2025</w:t>
            </w:r>
          </w:p>
        </w:tc>
        <w:tc>
          <w:tcPr>
            <w:tcW w:w="1460" w:type="dxa"/>
            <w:vAlign w:val="bottom"/>
          </w:tcPr>
          <w:p>
            <w:pPr>
              <w:jc w:val="right"/>
              <w:ind w:right="23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84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r>
      <w:tr>
        <w:trPr>
          <w:trHeight w:val="257"/>
        </w:trPr>
        <w:tc>
          <w:tcPr>
            <w:tcW w:w="68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Cash from (used for) operating activities</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1,365</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937</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45.6%</w:t>
            </w:r>
          </w:p>
        </w:tc>
      </w:tr>
      <w:tr>
        <w:trPr>
          <w:trHeight w:val="254"/>
        </w:trPr>
        <w:tc>
          <w:tcPr>
            <w:tcW w:w="6840" w:type="dxa"/>
            <w:vAlign w:val="bottom"/>
          </w:tcPr>
          <w:p>
            <w:pPr>
              <w:ind w:left="80"/>
              <w:spacing w:after="0"/>
              <w:rPr>
                <w:sz w:val="20"/>
                <w:szCs w:val="20"/>
                <w:color w:val="auto"/>
              </w:rPr>
            </w:pPr>
            <w:r>
              <w:rPr>
                <w:rFonts w:ascii="Arial" w:cs="Arial" w:eastAsia="Arial" w:hAnsi="Arial"/>
                <w:sz w:val="16"/>
                <w:szCs w:val="16"/>
                <w:color w:val="auto"/>
              </w:rPr>
              <w:t>Add: Additions to PP&amp;E and internal-use software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(392)</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(348)</w:t>
            </w:r>
          </w:p>
        </w:tc>
        <w:tc>
          <w:tcPr>
            <w:tcW w:w="1460" w:type="dxa"/>
            <w:vAlign w:val="bottom"/>
          </w:tcPr>
          <w:p>
            <w:pPr>
              <w:spacing w:after="0"/>
              <w:rPr>
                <w:sz w:val="22"/>
                <w:szCs w:val="22"/>
                <w:color w:val="auto"/>
              </w:rPr>
            </w:pPr>
          </w:p>
        </w:tc>
      </w:tr>
      <w:tr>
        <w:trPr>
          <w:trHeight w:val="29"/>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90"/>
        </w:trPr>
        <w:tc>
          <w:tcPr>
            <w:tcW w:w="68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Dispositions of PP&amp;E</w:t>
            </w:r>
          </w:p>
        </w:tc>
        <w:tc>
          <w:tcPr>
            <w:tcW w:w="340" w:type="dxa"/>
            <w:vAlign w:val="bottom"/>
            <w:tcBorders>
              <w:bottom w:val="single" w:sz="8" w:color="E4E4E4"/>
            </w:tcBorders>
            <w:shd w:val="clear" w:color="auto" w:fill="E4E4E4"/>
          </w:tcPr>
          <w:p>
            <w:pPr>
              <w:spacing w:after="0"/>
              <w:rPr>
                <w:sz w:val="24"/>
                <w:szCs w:val="24"/>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4"/>
                <w:szCs w:val="24"/>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E4E4E4"/>
          </w:tcPr>
          <w:p>
            <w:pPr>
              <w:spacing w:after="0"/>
              <w:rPr>
                <w:sz w:val="24"/>
                <w:szCs w:val="24"/>
                <w:color w:val="auto"/>
              </w:rPr>
            </w:pPr>
          </w:p>
        </w:tc>
      </w:tr>
      <w:tr>
        <w:trPr>
          <w:trHeight w:val="250"/>
        </w:trPr>
        <w:tc>
          <w:tcPr>
            <w:tcW w:w="68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Free cash flow*</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973</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589</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65.2%</w:t>
            </w:r>
          </w:p>
        </w:tc>
      </w:tr>
      <w:tr>
        <w:trPr>
          <w:trHeight w:val="21"/>
        </w:trPr>
        <w:tc>
          <w:tcPr>
            <w:tcW w:w="6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7"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As of September 30, 2026, our Cash, cash equivalents, and restricted cash balance in the Condensed Consolidated Statements of Financial Position was $2,854 million. We have historically generated positive cash flows from operating activities. Additionally, we have access to revolving credit facilities of $3,500 million in aggregate, described in detail in Note 8, “Borrowings.”</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believe that our existing balance of Cash, cash equivalents, and restricted cash, future cash generated from operating activities, access to capital markets, and existing credit facilities will be sufficient to meet the needs of our current and ongoing operations, pay taxes due, service our existing debt, and fund investments in our business for at least the next 12 months.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20"/>
                <w:szCs w:val="20"/>
                <w:color w:val="auto"/>
              </w:rPr>
            </w:pPr>
            <w:r>
              <w:rPr>
                <w:rFonts w:ascii="Arial" w:cs="Arial" w:eastAsia="Arial" w:hAnsi="Arial"/>
                <w:sz w:val="16"/>
                <w:szCs w:val="16"/>
                <w:color w:val="auto"/>
              </w:rPr>
              <w:t>The following table summarizes our cash flows for the periods presented.</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508"/>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Cash Flows</w:t>
            </w:r>
          </w:p>
        </w:tc>
        <w:tc>
          <w:tcPr>
            <w:tcW w:w="3380" w:type="dxa"/>
            <w:vAlign w:val="bottom"/>
            <w:gridSpan w:val="4"/>
          </w:tcPr>
          <w:p>
            <w:pPr>
              <w:jc w:val="right"/>
              <w:ind w:right="1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7860" w:type="dxa"/>
            <w:vAlign w:val="bottom"/>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r>
      <w:tr>
        <w:trPr>
          <w:trHeight w:val="229"/>
        </w:trPr>
        <w:tc>
          <w:tcPr>
            <w:tcW w:w="7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454545"/>
              </w:rPr>
              <w:t>2026</w:t>
            </w:r>
          </w:p>
        </w:tc>
        <w:tc>
          <w:tcPr>
            <w:tcW w:w="380" w:type="dxa"/>
            <w:vAlign w:val="bottom"/>
          </w:tcPr>
          <w:p>
            <w:pPr>
              <w:spacing w:after="0"/>
              <w:rPr>
                <w:sz w:val="19"/>
                <w:szCs w:val="19"/>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2025</w:t>
            </w:r>
          </w:p>
        </w:tc>
      </w:tr>
      <w:tr>
        <w:trPr>
          <w:trHeight w:val="21"/>
        </w:trPr>
        <w:tc>
          <w:tcPr>
            <w:tcW w:w="78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r>
      <w:tr>
        <w:trPr>
          <w:trHeight w:val="230"/>
        </w:trPr>
        <w:tc>
          <w:tcPr>
            <w:tcW w:w="7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from (used for) operating activities</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1,365</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jc w:val="center"/>
              <w:ind w:left="799"/>
              <w:spacing w:after="0"/>
              <w:rPr>
                <w:sz w:val="20"/>
                <w:szCs w:val="20"/>
                <w:color w:val="auto"/>
              </w:rPr>
            </w:pPr>
            <w:r>
              <w:rPr>
                <w:rFonts w:ascii="Arial" w:cs="Arial" w:eastAsia="Arial" w:hAnsi="Arial"/>
                <w:sz w:val="16"/>
                <w:szCs w:val="16"/>
                <w:color w:val="auto"/>
                <w:w w:val="97"/>
              </w:rPr>
              <w:t>937</w:t>
            </w:r>
          </w:p>
        </w:tc>
      </w:tr>
      <w:tr>
        <w:trPr>
          <w:trHeight w:val="228"/>
        </w:trPr>
        <w:tc>
          <w:tcPr>
            <w:tcW w:w="7860" w:type="dxa"/>
            <w:vAlign w:val="bottom"/>
          </w:tcPr>
          <w:p>
            <w:pPr>
              <w:ind w:left="20"/>
              <w:spacing w:after="0"/>
              <w:rPr>
                <w:sz w:val="20"/>
                <w:szCs w:val="20"/>
                <w:color w:val="auto"/>
              </w:rPr>
            </w:pPr>
            <w:r>
              <w:rPr>
                <w:rFonts w:ascii="Arial" w:cs="Arial" w:eastAsia="Arial" w:hAnsi="Arial"/>
                <w:sz w:val="16"/>
                <w:szCs w:val="16"/>
                <w:color w:val="auto"/>
              </w:rPr>
              <w:t>Cash from (used for) investing activities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(2,726)</w:t>
            </w:r>
          </w:p>
        </w:tc>
        <w:tc>
          <w:tcPr>
            <w:tcW w:w="380" w:type="dxa"/>
            <w:vAlign w:val="bottom"/>
          </w:tcPr>
          <w:p>
            <w:pPr>
              <w:spacing w:after="0"/>
              <w:rPr>
                <w:sz w:val="19"/>
                <w:szCs w:val="19"/>
                <w:color w:val="auto"/>
              </w:rPr>
            </w:pPr>
          </w:p>
        </w:tc>
        <w:tc>
          <w:tcPr>
            <w:tcW w:w="1300" w:type="dxa"/>
            <w:vAlign w:val="bottom"/>
          </w:tcPr>
          <w:p>
            <w:pPr>
              <w:jc w:val="center"/>
              <w:ind w:left="799"/>
              <w:spacing w:after="0"/>
              <w:rPr>
                <w:sz w:val="20"/>
                <w:szCs w:val="20"/>
                <w:color w:val="auto"/>
              </w:rPr>
            </w:pPr>
            <w:r>
              <w:rPr>
                <w:rFonts w:ascii="Arial" w:cs="Arial" w:eastAsia="Arial" w:hAnsi="Arial"/>
                <w:sz w:val="16"/>
                <w:szCs w:val="16"/>
                <w:color w:val="auto"/>
              </w:rPr>
              <w:t>(778)</w:t>
            </w:r>
          </w:p>
        </w:tc>
      </w:tr>
      <w:tr>
        <w:trPr>
          <w:trHeight w:val="29"/>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from (used for) financing activities</w:t>
            </w: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(255)</w:t>
            </w:r>
          </w:p>
        </w:tc>
        <w:tc>
          <w:tcPr>
            <w:tcW w:w="38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center"/>
              <w:ind w:left="799"/>
              <w:spacing w:after="0"/>
              <w:rPr>
                <w:sz w:val="20"/>
                <w:szCs w:val="20"/>
                <w:color w:val="auto"/>
              </w:rPr>
            </w:pPr>
            <w:r>
              <w:rPr>
                <w:rFonts w:ascii="Arial" w:cs="Arial" w:eastAsia="Arial" w:hAnsi="Arial"/>
                <w:sz w:val="16"/>
                <w:szCs w:val="16"/>
                <w:color w:val="auto"/>
                <w:w w:val="97"/>
              </w:rPr>
              <w:t>910</w:t>
            </w:r>
          </w:p>
        </w:tc>
      </w:tr>
      <w:tr>
        <w:trPr>
          <w:trHeight w:val="228"/>
        </w:trPr>
        <w:tc>
          <w:tcPr>
            <w:tcW w:w="786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973</w:t>
            </w:r>
          </w:p>
        </w:tc>
        <w:tc>
          <w:tcPr>
            <w:tcW w:w="380" w:type="dxa"/>
            <w:vAlign w:val="bottom"/>
          </w:tcPr>
          <w:p>
            <w:pPr>
              <w:spacing w:after="0"/>
              <w:rPr>
                <w:sz w:val="19"/>
                <w:szCs w:val="19"/>
                <w:color w:val="auto"/>
              </w:rPr>
            </w:pPr>
          </w:p>
        </w:tc>
        <w:tc>
          <w:tcPr>
            <w:tcW w:w="1300" w:type="dxa"/>
            <w:vAlign w:val="bottom"/>
          </w:tcPr>
          <w:p>
            <w:pPr>
              <w:jc w:val="center"/>
              <w:ind w:left="799"/>
              <w:spacing w:after="0"/>
              <w:rPr>
                <w:sz w:val="20"/>
                <w:szCs w:val="20"/>
                <w:color w:val="auto"/>
              </w:rPr>
            </w:pPr>
            <w:r>
              <w:rPr>
                <w:rFonts w:ascii="Arial" w:cs="Arial" w:eastAsia="Arial" w:hAnsi="Arial"/>
                <w:sz w:val="16"/>
                <w:szCs w:val="16"/>
                <w:color w:val="auto"/>
                <w:w w:val="97"/>
              </w:rPr>
              <w:t>589</w:t>
            </w:r>
          </w:p>
        </w:tc>
      </w:tr>
      <w:tr>
        <w:trPr>
          <w:trHeight w:val="29"/>
        </w:trPr>
        <w:tc>
          <w:tcPr>
            <w:tcW w:w="7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Operating Activities</w:t>
      </w:r>
    </w:p>
    <w:p>
      <w:pPr>
        <w:spacing w:after="0" w:line="2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Cash generated from operating activities in the nine months ended September 30, 2026 was $1,365 million and included Net income of $1,608 million, non-cash charges for depreciation and amortization expense of $476 million, and $719 million in net outflows from changes in assets and liabilities. The changes in assets and liabilities are primarily driven by an increase in inventories to meet business demand, an increase in contract and other deferred costs, and company-funded payments for postretirement benefit plans. Cash generated from operating activities includes a negative impact, net of refunds received, of $45 million from incremental tariffs.</w:t>
      </w:r>
    </w:p>
    <w:p>
      <w:pPr>
        <w:spacing w:after="0" w:line="222"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Cash generated from operating activities in the nine months ended September 30, 2025 was $937 million and included Net income of $1,552 million, adjusted for non-cash items including depreciation and amortization expense of $432 million, the gain on remeasurement of NMP equity method investment of $97 million, and $949 million in net outflows from changes in assets and liabilities. The changes in assets and liabilities are primarily driven by company-funded benefit payments for postretirement benefit plans, an increase in inventories to meet business demand in the current trade environment, a decrease in accounts payable, and compensation and benefit payments.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Investing Activities</w:t>
      </w:r>
    </w:p>
    <w:p>
      <w:pPr>
        <w:spacing w:after="0" w:line="19"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Cash used for investing activities in the nine months ended September 30, 2026 was $2,726 million and primarily included purchases of businesses, net of cash acquired, of $2,293 million related to the acquisition of Intelerad and Additions to PP&amp;E and internal-use software of $392 million related mostly to investments in facilities, including manufacturing capacity expansion, and new product introductions. Refer to Note 7, “Acquisitions, Goodwill, and Other Intangible Assets” for additional information on the Intelerad acquisition.</w:t>
      </w:r>
    </w:p>
    <w:p>
      <w:pPr>
        <w:spacing w:after="0" w:line="21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Cash used for investing activities in the nine months ended September 30, 2025 was $778 million and primarily included Additions to PP&amp;E and internal-use software of $348 million related mostly to investments in facilities, including manufacturing capacity expansion, and new product introductions, purchases of businesses, net of cash acquired, of $279 million largely related to the acquisition of the remaining 50% interest in NMP, and a payment of $178 million for settlement of cross-currency swaps that were designated in net investment hedges. Refer to Note 7, “Acquisitions, Goodwill, and Other Intangible Assets” for additional information on the NMP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Cash used for financing activities in the nine months ended September 30, 2026 was $255 million and primarily included $300 million for repurchases of common stock, partially offset by net proceeds from borrowings of $150 million. The net proceeds from borrowings were primarily driven by $1,150 million of net proceeds from borrowings of $650 million under our Delayed Draw Term Loan and $500 million under our 364-day senior unsecured revolving credit facility, partially offset by $1,000 million from repayments of $500 million of our Term Loan Facility upon maturity and $500 million under our 364-day senior unsecured revolving credit facility. Refer to Note 8, “Borrowings” and Note 11, “Stockholders' Equity” for further information.</w:t>
      </w:r>
    </w:p>
    <w:p>
      <w:pPr>
        <w:spacing w:after="0" w:line="202"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Cash generated from financing activities in the nine months ended September 30, 2025 was $910 million and primarily included $1,487 million of net proceeds from the issuance of $650 million aggregate principal amount of senior unsecured notes due in 2031 and $850 million aggregate principal amount of senior unsecured notes due in 2035, partially offset by repayment of $250 million of our outstanding Term Loan Facility, and repurchase of common stock for total consideration of $200 million.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Material Cash Requirements</w:t>
      </w:r>
    </w:p>
    <w:p>
      <w:pPr>
        <w:spacing w:after="0" w:line="1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In the normal course of business, we enter into contracts and commitments that obligate us to make payments in the future. Information regarding our obligations under lease and other commitments is provided in Note 7, “Leases” and Note 14, “Commitments, Guarantees, Product Warranties, and Other Loss Contingencies” to the consolidated financial statements contained in our Annual Report on Form 10-K for the fiscal year ended December 31, 2025. We also have material cash requirements related to our debt commitments as described in Note 8, “Borrowings” and our pension obligations as described in Note 9, “Postretirement Benefit Plans.”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Debt and Credit Facilities</w:t>
      </w:r>
    </w:p>
    <w:p>
      <w:pPr>
        <w:spacing w:after="0" w:line="2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As part of our capital structure, we have incurred debt. The servicing of this debt is supported by cash flows from our operations. As of September 30, 2026, we had $9,973 million of total debt compared to $10,003 million as of December 31, 2025. The net decrease in debt was due primarily to the $500 million repayment of the Term Loan Facility upon maturity, and a $175 million change in cumulative basis adjustment resulting from the changes in the fair value on interest rate swaps designated as fair value hedges of specific cash flows of senior unsecured notes. This was largely offset by the $650 million drawdown of the Delayed Draw Term Loan Facility.</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addition to the Delayed Draw Term Loan Facility, our Credit Facilities include a five-year senior unsecured revolving facility that provides borrowings of up to $3,000 million expiring in March 2030 and a 364-day senior unsecured revolving facility that provides borrowings of up to $500 million expiring in February 2027. As of September 30, 2026, there were no outstanding borrowings on either of the senior unsecured revolving credit facilities and $650 million outstanding on the Delayed Draw Term Loan Facility. Additional information on our debt and Credit Facilities, including definitions of the terms used above, is included in Note 8, “Borrowings.”</w:t>
      </w:r>
    </w:p>
    <w:p>
      <w:pPr>
        <w:spacing w:after="0" w:line="218"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The Credit Facilities include various customary covenants that limit, among other things, the incurrence of liens securing debt, the entry into certain fundamental change transactions by GE HealthCare, and the maximum permitted consolidated net leverage ratio. As of September 30, 2026, we were in compliance with the covenant requirements, including the maximum permitted consolidated net leverage ratio.</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Access to Capital and Credit Ratings</w:t>
      </w:r>
    </w:p>
    <w:p>
      <w:pPr>
        <w:spacing w:after="0" w:line="19" w:lineRule="exact"/>
        <w:rPr>
          <w:sz w:val="20"/>
          <w:szCs w:val="20"/>
          <w:color w:val="auto"/>
        </w:rPr>
      </w:pPr>
    </w:p>
    <w:p>
      <w:pPr>
        <w:ind w:right="460"/>
        <w:spacing w:after="0" w:line="283" w:lineRule="auto"/>
        <w:rPr>
          <w:sz w:val="20"/>
          <w:szCs w:val="20"/>
          <w:color w:val="auto"/>
        </w:rPr>
      </w:pPr>
      <w:r>
        <w:rPr>
          <w:rFonts w:ascii="Arial" w:cs="Arial" w:eastAsia="Arial" w:hAnsi="Arial"/>
          <w:sz w:val="16"/>
          <w:szCs w:val="16"/>
          <w:color w:val="auto"/>
        </w:rPr>
        <w:t>We plan to continue to rely on capital markets, and we expect to have access to credit facilities to fund our operations. The cost and availability of debt financing will be influenced by our credit ratings and market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recently issued accounting standards, see Note 1, “Organization and Basis of Presentation.”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There have been no material changes to the critical accounting estimates disclosed in our Annual Report on Form 10-K for the fiscal year ended December 31, 2025.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7"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We are exposed to market risk primarily from changes in foreign currency exchange rates, interest rates, commodity prices, and equity prices, which may impact future income, cash flows, and fair value of our business. There have been no material changes in our exposure to market risk from those disclosed in Item 7A, “Quantitative and Qualitative Disclosures About Market Risk” in our Annual Report on Form 10-K for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Under the supervision and with the participation of the Company’s management, including the Chief Executive Officer and Chief Financial Officer, the Company evaluated its disclosure controls and procedures as defined in Rules 13a-15(e) and 15d-15(e) under the Exchange Act. Based on this evaluation, the Chief Executive Officer and Chief Financial Officer concluded that the Company’s disclosure controls and procedures were effective as of September 30, 2026, and that the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48"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During the quarter ended September 30, 2026, there were no changes in the Company’s internal control over financial reporting that materially affected or are reasonably likely to materially affect the Company’s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INHERENT LIMITATIONS ON EFFECTIVENESS OF CONTROLS.</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All internal control systems have inherent limitations; as such, they may not prevent or detect all misstatements or all fraud. Therefore, even those internal control systems determined to be effective can provide only reasonable assurance with respect to financial statement preparation and reporting. Additionally, projections of any evaluation of effectiveness to future periods are subject to the risk that the current control structure may become inadequate for changes in conditions or the degree of compliance with the policies may deteriorate.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0"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Information on material pending legal proceedings is incorporated herein by reference to the information set forth in Note 13, “Commitments, Guarantees, Product Warranties, and Other Loss Contingencies” to the financial statements included elsewhere in this Quarterly Report on Form 10-Q.</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disclosed in our Annual Report on Form 10-K for the fiscal year ended December 31, 2025.</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4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On April 30, 2025, our Board of Directors authorized a share repurchase program (the “repurchase program”) pursuant to which GE HealthCare may repurchase up to $1,000 million of its common stock. The repurchase program does not have an expiration date. We did not repurchase any of our common stock during the three months ended September 30, 2026 and had $500 million available under the authorization as of the end of the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AND OFFICER TRADING ARRANGEMENTS.</w:t>
      </w:r>
    </w:p>
    <w:p>
      <w:pPr>
        <w:spacing w:after="0" w:line="26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None of our directors or executive officers adopted or terminated a Rule 10b5-1 trading arrangement or a non-Rule 10b5-1 trading arrangement (as defined in Item 408(c) of Regulation S-K) during the quarterly period covered by this report.</w:t>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6"/>
          <w:szCs w:val="16"/>
          <w:b w:val="1"/>
          <w:bCs w:val="1"/>
          <w:color w:val="454545"/>
        </w:rPr>
        <w:t>Number</w:t>
      </w:r>
      <w:r>
        <w:rPr>
          <w:sz w:val="20"/>
          <w:szCs w:val="20"/>
          <w:color w:val="auto"/>
        </w:rPr>
        <w:tab/>
      </w:r>
      <w:r>
        <w:rPr>
          <w:rFonts w:ascii="Arial" w:cs="Arial" w:eastAsia="Arial" w:hAnsi="Arial"/>
          <w:sz w:val="16"/>
          <w:szCs w:val="16"/>
          <w:b w:val="1"/>
          <w:bCs w:val="1"/>
          <w:color w:val="454545"/>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3003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66" w:lineRule="exact"/>
        <w:rPr>
          <w:sz w:val="20"/>
          <w:szCs w:val="20"/>
          <w:color w:val="auto"/>
        </w:rPr>
      </w:pPr>
    </w:p>
    <w:p>
      <w:pPr>
        <w:ind w:left="1180" w:right="220" w:hanging="710"/>
        <w:spacing w:after="0" w:line="299" w:lineRule="auto"/>
        <w:tabs>
          <w:tab w:leader="none" w:pos="116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3.1</w:t>
      </w:r>
      <w:r>
        <w:rPr>
          <w:sz w:val="20"/>
          <w:szCs w:val="20"/>
          <w:color w:val="auto"/>
        </w:rPr>
        <w:tab/>
      </w:r>
      <w:hyperlink r:id="rId72">
        <w:r>
          <w:rPr>
            <w:rFonts w:ascii="Arial" w:cs="Arial" w:eastAsia="Arial" w:hAnsi="Arial"/>
            <w:sz w:val="16"/>
            <w:szCs w:val="16"/>
            <w:u w:val="single" w:color="auto"/>
            <w:color w:val="0E32E1"/>
          </w:rPr>
          <w:t>Certificate of Incorporation of the Registrant (incorporated by reference to Exhibit 3.1 to the Registrant’s Current Report on Form 8-K filed</w:t>
        </w:r>
      </w:hyperlink>
      <w:r>
        <w:rPr>
          <w:rFonts w:ascii="Arial" w:cs="Arial" w:eastAsia="Arial" w:hAnsi="Arial"/>
          <w:sz w:val="16"/>
          <w:szCs w:val="16"/>
          <w:u w:val="single" w:color="auto"/>
          <w:color w:val="0E32E1"/>
        </w:rPr>
        <w:t xml:space="preserve"> </w:t>
      </w:r>
      <w:hyperlink r:id="rId72">
        <w:r>
          <w:rPr>
            <w:rFonts w:ascii="Arial" w:cs="Arial" w:eastAsia="Arial" w:hAnsi="Arial"/>
            <w:sz w:val="16"/>
            <w:szCs w:val="16"/>
            <w:u w:val="single" w:color="auto"/>
            <w:color w:val="0E32E1"/>
          </w:rPr>
          <w:t>with the SEC on December 29, 2022).</w:t>
        </w:r>
      </w:hyperlink>
    </w:p>
    <w:p>
      <w:pPr>
        <w:spacing w:after="0" w:line="1" w:lineRule="exact"/>
        <w:rPr>
          <w:sz w:val="20"/>
          <w:szCs w:val="20"/>
          <w:color w:val="auto"/>
        </w:rPr>
      </w:pPr>
    </w:p>
    <w:p>
      <w:pPr>
        <w:ind w:left="1180" w:right="400" w:hanging="710"/>
        <w:spacing w:after="0" w:line="299" w:lineRule="auto"/>
        <w:tabs>
          <w:tab w:leader="none" w:pos="116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3.2</w:t>
      </w:r>
      <w:r>
        <w:rPr>
          <w:sz w:val="20"/>
          <w:szCs w:val="20"/>
          <w:color w:val="auto"/>
        </w:rPr>
        <w:tab/>
      </w:r>
      <w:hyperlink r:id="rId73">
        <w:r>
          <w:rPr>
            <w:rFonts w:ascii="Arial" w:cs="Arial" w:eastAsia="Arial" w:hAnsi="Arial"/>
            <w:sz w:val="16"/>
            <w:szCs w:val="16"/>
            <w:u w:val="single" w:color="auto"/>
            <w:color w:val="0E32E1"/>
          </w:rPr>
          <w:t>Bylaws of the Registrant (incorporated by reference to Exhibit 3.2 to the Registrant’s Current Report on Form 8-K filed with the SEC on</w:t>
        </w:r>
      </w:hyperlink>
      <w:r>
        <w:rPr>
          <w:rFonts w:ascii="Arial" w:cs="Arial" w:eastAsia="Arial" w:hAnsi="Arial"/>
          <w:sz w:val="16"/>
          <w:szCs w:val="16"/>
          <w:u w:val="single" w:color="auto"/>
          <w:color w:val="0E32E1"/>
        </w:rPr>
        <w:t xml:space="preserve"> </w:t>
      </w:r>
      <w:hyperlink r:id="rId73">
        <w:r>
          <w:rPr>
            <w:rFonts w:ascii="Arial" w:cs="Arial" w:eastAsia="Arial" w:hAnsi="Arial"/>
            <w:sz w:val="16"/>
            <w:szCs w:val="16"/>
            <w:u w:val="single" w:color="auto"/>
            <w:color w:val="0E32E1"/>
          </w:rPr>
          <w:t>December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440"/>
        <w:spacing w:after="0"/>
        <w:tabs>
          <w:tab w:leader="none" w:pos="1160" w:val="left"/>
        </w:tabs>
        <w:rPr>
          <w:sz w:val="20"/>
          <w:szCs w:val="20"/>
          <w:color w:val="auto"/>
        </w:rPr>
      </w:pPr>
      <w:r>
        <w:rPr>
          <w:rFonts w:ascii="Arial" w:cs="Arial" w:eastAsia="Arial" w:hAnsi="Arial"/>
          <w:sz w:val="16"/>
          <w:szCs w:val="16"/>
          <w:b w:val="1"/>
          <w:bCs w:val="1"/>
          <w:color w:val="auto"/>
        </w:rPr>
        <w:t>10.1</w:t>
      </w:r>
      <w:r>
        <w:rPr>
          <w:sz w:val="20"/>
          <w:szCs w:val="20"/>
          <w:color w:val="auto"/>
        </w:rPr>
        <w:tab/>
      </w:r>
      <w:r>
        <w:rPr>
          <w:rFonts w:ascii="Arial" w:cs="Arial" w:eastAsia="Arial" w:hAnsi="Arial"/>
          <w:sz w:val="16"/>
          <w:szCs w:val="16"/>
          <w:u w:val="single" w:color="auto"/>
          <w:color w:val="0E32E1"/>
        </w:rPr>
        <w:t>Offer Letter with William K. Grogan, dated August 13, 2026.</w:t>
      </w:r>
      <w:r>
        <w:rPr>
          <w:rFonts w:ascii="Arial" w:cs="Arial" w:eastAsia="Arial" w:hAnsi="Arial"/>
          <w:sz w:val="21"/>
          <w:szCs w:val="21"/>
          <w:u w:val="single" w:color="auto"/>
          <w:color w:val="0E32E1"/>
          <w:vertAlign w:val="superscript"/>
        </w:rPr>
        <w:t>†</w:t>
      </w:r>
    </w:p>
    <w:p>
      <w:pPr>
        <w:spacing w:after="0" w:line="31" w:lineRule="exact"/>
        <w:rPr>
          <w:sz w:val="20"/>
          <w:szCs w:val="20"/>
          <w:color w:val="auto"/>
        </w:rPr>
      </w:pPr>
    </w:p>
    <w:p>
      <w:pPr>
        <w:ind w:left="1180" w:right="320" w:hanging="755"/>
        <w:spacing w:after="0" w:line="283" w:lineRule="auto"/>
        <w:tabs>
          <w:tab w:leader="none" w:pos="1160" w:val="left"/>
        </w:tabs>
        <w:rPr>
          <w:sz w:val="20"/>
          <w:szCs w:val="20"/>
          <w:color w:val="auto"/>
        </w:rPr>
      </w:pPr>
      <w:r>
        <w:rPr>
          <w:rFonts w:ascii="Arial" w:cs="Arial" w:eastAsia="Arial" w:hAnsi="Arial"/>
          <w:sz w:val="16"/>
          <w:szCs w:val="16"/>
          <w:b w:val="1"/>
          <w:bCs w:val="1"/>
          <w:color w:val="auto"/>
        </w:rPr>
        <w:t>31.1</w:t>
      </w:r>
      <w:r>
        <w:rPr>
          <w:sz w:val="20"/>
          <w:szCs w:val="20"/>
          <w:color w:val="auto"/>
        </w:rPr>
        <w:tab/>
      </w:r>
      <w:r>
        <w:rPr>
          <w:rFonts w:ascii="Arial" w:cs="Arial" w:eastAsia="Arial" w:hAnsi="Arial"/>
          <w:sz w:val="16"/>
          <w:szCs w:val="16"/>
          <w:u w:val="single" w:color="auto"/>
          <w:color w:val="0E32E1"/>
        </w:rPr>
        <w:t>Certification of the Registrant’s Chief Executive Officer pursuant to Rule 13a-14(a)/15d-14(a)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91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1180" w:right="360" w:hanging="755"/>
        <w:spacing w:after="0" w:line="299" w:lineRule="auto"/>
        <w:tabs>
          <w:tab w:leader="none" w:pos="1160" w:val="left"/>
        </w:tabs>
        <w:rPr>
          <w:sz w:val="20"/>
          <w:szCs w:val="20"/>
          <w:color w:val="auto"/>
        </w:rPr>
      </w:pPr>
      <w:r>
        <w:rPr>
          <w:rFonts w:ascii="Arial" w:cs="Arial" w:eastAsia="Arial" w:hAnsi="Arial"/>
          <w:sz w:val="16"/>
          <w:szCs w:val="16"/>
          <w:b w:val="1"/>
          <w:bCs w:val="1"/>
          <w:color w:val="auto"/>
        </w:rPr>
        <w:t>31.2</w:t>
      </w:r>
      <w:r>
        <w:rPr>
          <w:sz w:val="20"/>
          <w:szCs w:val="20"/>
          <w:color w:val="auto"/>
        </w:rPr>
        <w:tab/>
      </w:r>
      <w:r>
        <w:rPr>
          <w:rFonts w:ascii="Arial" w:cs="Arial" w:eastAsia="Arial" w:hAnsi="Arial"/>
          <w:sz w:val="16"/>
          <w:szCs w:val="16"/>
          <w:u w:val="single" w:color="auto"/>
          <w:color w:val="0E32E1"/>
        </w:rPr>
        <w:t>Certification of the Registrant’s Chief Financial Officer pursuant to Rule 13a-14(a)/15d-14(a) of the Securities Exchange Act of 1934, as amended.</w:t>
      </w:r>
    </w:p>
    <w:p>
      <w:pPr>
        <w:spacing w:after="0" w:line="1"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6"/>
          <w:szCs w:val="16"/>
          <w:b w:val="1"/>
          <w:bCs w:val="1"/>
          <w:color w:val="auto"/>
        </w:rPr>
        <w:t>32.1</w:t>
      </w:r>
      <w:r>
        <w:rPr>
          <w:sz w:val="20"/>
          <w:szCs w:val="20"/>
          <w:color w:val="auto"/>
        </w:rPr>
        <w:tab/>
      </w:r>
      <w:r>
        <w:rPr>
          <w:rFonts w:ascii="Arial" w:cs="Arial" w:eastAsia="Arial" w:hAnsi="Arial"/>
          <w:sz w:val="16"/>
          <w:szCs w:val="16"/>
          <w:u w:val="single" w:color="auto"/>
          <w:color w:val="0E32E1"/>
        </w:rPr>
        <w:t>Certifications of the Registrant’s Chief Executive Officer and Chief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9347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934720"/>
                    </a:xfrm>
                    <a:prstGeom prst="rect">
                      <a:avLst/>
                    </a:prstGeom>
                    <a:noFill/>
                  </pic:spPr>
                </pic:pic>
              </a:graphicData>
            </a:graphic>
          </wp:anchor>
        </w:drawing>
      </w:r>
    </w:p>
    <w:p>
      <w:pPr>
        <w:spacing w:after="0" w:line="53" w:lineRule="exact"/>
        <w:rPr>
          <w:sz w:val="20"/>
          <w:szCs w:val="20"/>
          <w:color w:val="auto"/>
        </w:rPr>
      </w:pPr>
    </w:p>
    <w:p>
      <w:pPr>
        <w:ind w:left="1180" w:hanging="727"/>
        <w:spacing w:after="0" w:line="270" w:lineRule="auto"/>
        <w:tabs>
          <w:tab w:leader="none" w:pos="1180"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The following materials from GE HealthCare Technologies Inc.’s Quarterly Report on Form 10-Q for the quarter ended September 30, 2026, formatted in inline XBRL (eXtensible Business Reporting Language); (1) Condensed Consolidated Statements of Income for the three and nine months ended September 30, 2026 and 2025; (2) Condensed Consolidated Statements of Comprehensive Income (Loss) for the three and nine months ended September 30, 2026 and 2025; (3) Condensed Consolidated Statements of Financial Position as of September 30, 2026 and December 31, 2025; (4) Condensed Consolidated Statements of Changes in Equity for the three and nine months ended September 30, 2026 and 2025; (5) Condensed Consolidated Statements of Cash Flows for the nine months ended September 30, 2026 and 2025; and (6) Notes to the Condensed Consolidated Financial Statements.</w:t>
      </w:r>
    </w:p>
    <w:p>
      <w:pPr>
        <w:spacing w:after="0" w:line="23" w:lineRule="exact"/>
        <w:rPr>
          <w:sz w:val="20"/>
          <w:szCs w:val="20"/>
          <w:color w:val="auto"/>
        </w:rPr>
      </w:pPr>
    </w:p>
    <w:p>
      <w:pPr>
        <w:ind w:left="1180" w:hanging="727"/>
        <w:spacing w:after="0"/>
        <w:tabs>
          <w:tab w:leader="none" w:pos="1180"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428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66" w:lineRule="exact"/>
        <w:rPr>
          <w:sz w:val="20"/>
          <w:szCs w:val="20"/>
          <w:color w:val="auto"/>
        </w:rPr>
      </w:pPr>
    </w:p>
    <w:p>
      <w:pPr>
        <w:ind w:left="1180" w:right="220" w:hanging="637"/>
        <w:spacing w:after="0" w:line="284" w:lineRule="auto"/>
        <w:tabs>
          <w:tab w:leader="none" w:pos="118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Certain portions of this exhibit have been redacted pursuant to Item 601(b)(2)(ii) and Item 601(b)(10)(iv) of Regulation S-K, as applicable. The Company agrees to furnish supplementally an unredacted copy of the exhibit to the Securities and Exchange Commission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GE HealthCare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38100</wp:posOffset>
            </wp:positionV>
            <wp:extent cx="4886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1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(Registrant)</w:t>
      </w:r>
    </w:p>
    <w:p>
      <w:pPr>
        <w:spacing w:after="0" w:line="329" w:lineRule="exact"/>
        <w:rPr>
          <w:sz w:val="20"/>
          <w:szCs w:val="20"/>
          <w:color w:val="auto"/>
        </w:rPr>
      </w:pPr>
    </w:p>
    <w:p>
      <w:pPr>
        <w:ind w:left="340"/>
        <w:spacing w:after="0"/>
        <w:tabs>
          <w:tab w:leader="none" w:pos="2040" w:val="left"/>
        </w:tabs>
        <w:rPr>
          <w:sz w:val="20"/>
          <w:szCs w:val="20"/>
          <w:color w:val="auto"/>
        </w:rPr>
      </w:pPr>
      <w:r>
        <w:rPr>
          <w:rFonts w:ascii="Arial" w:cs="Arial" w:eastAsia="Arial" w:hAnsi="Arial"/>
          <w:sz w:val="16"/>
          <w:szCs w:val="16"/>
          <w:color w:val="auto"/>
        </w:rPr>
        <w:t>October 28, 2026</w:t>
      </w:r>
      <w:r>
        <w:rPr>
          <w:sz w:val="20"/>
          <w:szCs w:val="20"/>
          <w:color w:val="auto"/>
        </w:rPr>
        <w:tab/>
      </w:r>
      <w:r>
        <w:rPr>
          <w:rFonts w:ascii="Arial" w:cs="Arial" w:eastAsia="Arial" w:hAnsi="Arial"/>
          <w:sz w:val="16"/>
          <w:szCs w:val="16"/>
          <w:color w:val="auto"/>
        </w:rPr>
        <w:t>/s/ George A. Newcomb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1804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66" w:lineRule="exact"/>
        <w:rPr>
          <w:sz w:val="20"/>
          <w:szCs w:val="20"/>
          <w:color w:val="auto"/>
        </w:rPr>
      </w:pPr>
    </w:p>
    <w:p>
      <w:pPr>
        <w:ind w:left="800"/>
        <w:spacing w:after="0"/>
        <w:tabs>
          <w:tab w:leader="none" w:pos="20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George A. Newcomb, Controller and Chief Accounting Officer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0340"/>
          </w:cols>
          <w:pgMar w:left="320" w:top="130" w:right="1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10.1</w:t>
      </w:r>
    </w:p>
    <w:p>
      <w:pPr>
        <w:spacing w:after="0" w:line="293" w:lineRule="exact"/>
        <w:rPr>
          <w:sz w:val="20"/>
          <w:szCs w:val="20"/>
          <w:color w:val="auto"/>
        </w:rPr>
      </w:pPr>
    </w:p>
    <w:p>
      <w:pPr>
        <w:jc w:val="both"/>
        <w:ind w:right="300"/>
        <w:spacing w:after="0" w:line="299" w:lineRule="auto"/>
        <w:rPr>
          <w:sz w:val="20"/>
          <w:szCs w:val="20"/>
          <w:color w:val="auto"/>
        </w:rPr>
      </w:pPr>
      <w:r>
        <w:rPr>
          <w:rFonts w:ascii="Arial" w:cs="Arial" w:eastAsia="Arial" w:hAnsi="Arial"/>
          <w:sz w:val="13"/>
          <w:szCs w:val="13"/>
          <w:b w:val="1"/>
          <w:bCs w:val="1"/>
          <w:color w:val="auto"/>
        </w:rPr>
        <w:t>CERTAIN CONFIDENTIAL INFORMATION CONTAINED IN THIS DOCUMENT HAS BEEN OMITTED BY MEANS OF REDACTING A PORTION OF THE TEXT AND REPLACING IT WITH [***], PURSUANT TO REGULATION S-K ITEM 601(B) OF THE SECURITIES ACT OF 1933, AS AMENDED. CERTAIN CONFIDENTIAL INFORMATION HAS BEEN EXCLUDED FROM THE EXHIBIT BECAUSE IT IS: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5134610" cy="548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513461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August 13,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Dear Bill,</w:t>
      </w:r>
    </w:p>
    <w:p>
      <w:pPr>
        <w:spacing w:after="0" w:line="158"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We are pleased to offer you the position of Chief Financial Officer in GE Precision Healthcare LLC (together, with its affiliates, including GE HealthCare Technologies Inc., “GE HealthCare” or the “Company”) beginning on September 14, 2026 (your “start date”). This position will be based in Chicago, and you will report to Peter J. Arduini, President and Chief Executive Officer. Your management level will be Group Vice President. The details of our offer are noted below:</w:t>
      </w:r>
    </w:p>
    <w:p>
      <w:pPr>
        <w:sectPr>
          <w:pgSz w:w="11900" w:h="16838" w:orient="portrait"/>
          <w:cols w:equalWidth="0" w:num="1">
            <w:col w:w="11240"/>
          </w:cols>
          <w:pgMar w:left="320" w:top="134" w:right="339" w:bottom="1440" w:gutter="0" w:footer="0" w:header="0"/>
        </w:sectPr>
      </w:pPr>
    </w:p>
    <w:p>
      <w:pPr>
        <w:spacing w:after="0" w:line="220" w:lineRule="exact"/>
        <w:rPr>
          <w:sz w:val="20"/>
          <w:szCs w:val="20"/>
          <w:color w:val="auto"/>
        </w:rPr>
      </w:pPr>
    </w:p>
    <w:p>
      <w:pPr>
        <w:ind w:left="80"/>
        <w:spacing w:after="0"/>
        <w:rPr>
          <w:sz w:val="20"/>
          <w:szCs w:val="20"/>
          <w:color w:val="auto"/>
        </w:rPr>
      </w:pPr>
      <w:r>
        <w:rPr>
          <w:rFonts w:ascii="Arial" w:cs="Arial" w:eastAsia="Arial" w:hAnsi="Arial"/>
          <w:sz w:val="17"/>
          <w:szCs w:val="17"/>
          <w:color w:val="auto"/>
        </w:rPr>
        <w:t>Base 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$900,000 (US dollars) paid bi-weekly.</w:t>
      </w:r>
    </w:p>
    <w:p>
      <w:pPr>
        <w:spacing w:after="0" w:line="200" w:lineRule="exact"/>
        <w:rPr>
          <w:sz w:val="20"/>
          <w:szCs w:val="20"/>
          <w:color w:val="auto"/>
        </w:rPr>
      </w:pPr>
    </w:p>
    <w:p>
      <w:pPr>
        <w:sectPr>
          <w:pgSz w:w="11900" w:h="16838" w:orient="portrait"/>
          <w:cols w:equalWidth="0" w:num="2">
            <w:col w:w="2360" w:space="720"/>
            <w:col w:w="8160"/>
          </w:cols>
          <w:pgMar w:left="320" w:top="134" w:right="339" w:bottom="1440" w:gutter="0" w:footer="0" w:header="0"/>
          <w:type w:val="continuous"/>
        </w:sectPr>
      </w:pPr>
    </w:p>
    <w:p>
      <w:pPr>
        <w:spacing w:after="0" w:line="131" w:lineRule="exact"/>
        <w:rPr>
          <w:sz w:val="20"/>
          <w:szCs w:val="20"/>
          <w:color w:val="auto"/>
        </w:rPr>
      </w:pPr>
    </w:p>
    <w:p>
      <w:pPr>
        <w:ind w:left="80"/>
        <w:spacing w:after="0" w:line="368" w:lineRule="auto"/>
        <w:rPr>
          <w:sz w:val="20"/>
          <w:szCs w:val="20"/>
          <w:color w:val="auto"/>
        </w:rPr>
      </w:pPr>
      <w:r>
        <w:rPr>
          <w:rFonts w:ascii="Arial" w:cs="Arial" w:eastAsia="Arial" w:hAnsi="Arial"/>
          <w:sz w:val="17"/>
          <w:szCs w:val="17"/>
          <w:color w:val="auto"/>
        </w:rPr>
        <w:t>One GE HealthCare Annual Bonus Plan (the “Bonus Plan”):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both"/>
        <w:ind w:right="60"/>
        <w:spacing w:after="0" w:line="306" w:lineRule="auto"/>
        <w:rPr>
          <w:sz w:val="20"/>
          <w:szCs w:val="20"/>
          <w:color w:val="auto"/>
        </w:rPr>
      </w:pPr>
      <w:r>
        <w:rPr>
          <w:rFonts w:ascii="Arial" w:cs="Arial" w:eastAsia="Arial" w:hAnsi="Arial"/>
          <w:sz w:val="18"/>
          <w:szCs w:val="18"/>
          <w:color w:val="auto"/>
        </w:rPr>
        <w:t>Your annual bonus target under the Bonus Plan is 100% of your base salary as of December 31</w:t>
      </w:r>
      <w:r>
        <w:rPr>
          <w:rFonts w:ascii="Arial" w:cs="Arial" w:eastAsia="Arial" w:hAnsi="Arial"/>
          <w:sz w:val="11"/>
          <w:szCs w:val="11"/>
          <w:color w:val="auto"/>
        </w:rPr>
        <w:t>st</w:t>
      </w:r>
      <w:r>
        <w:rPr>
          <w:rFonts w:ascii="Arial" w:cs="Arial" w:eastAsia="Arial" w:hAnsi="Arial"/>
          <w:sz w:val="18"/>
          <w:szCs w:val="18"/>
          <w:color w:val="auto"/>
        </w:rPr>
        <w:t xml:space="preserve"> of each plan year. Payments are made in the Company’s discretion and are typically based on GE HealthCare performance, business segment performance, and individual performance. For the performance year 2026, any bonus you receive will be pro-rated based on your start date. The Bonus Plan requires you to be actively employed at the time of payment.</w:t>
      </w:r>
    </w:p>
    <w:p>
      <w:pPr>
        <w:spacing w:after="0" w:line="200" w:lineRule="exact"/>
        <w:rPr>
          <w:sz w:val="20"/>
          <w:szCs w:val="20"/>
          <w:color w:val="auto"/>
        </w:rPr>
      </w:pPr>
    </w:p>
    <w:p>
      <w:pPr>
        <w:sectPr>
          <w:pgSz w:w="11900" w:h="16838" w:orient="portrait"/>
          <w:cols w:equalWidth="0" w:num="2">
            <w:col w:w="2560" w:space="520"/>
            <w:col w:w="8160"/>
          </w:cols>
          <w:pgMar w:left="320" w:top="134" w:right="339" w:bottom="1440" w:gutter="0" w:footer="0" w:header="0"/>
          <w:type w:val="continuous"/>
        </w:sectPr>
      </w:pPr>
    </w:p>
    <w:p>
      <w:pPr>
        <w:spacing w:after="0" w:line="19" w:lineRule="exact"/>
        <w:rPr>
          <w:sz w:val="20"/>
          <w:szCs w:val="20"/>
          <w:color w:val="auto"/>
        </w:rPr>
      </w:pPr>
    </w:p>
    <w:p>
      <w:pPr>
        <w:ind w:left="80" w:right="240"/>
        <w:spacing w:after="0" w:line="334" w:lineRule="auto"/>
        <w:rPr>
          <w:sz w:val="20"/>
          <w:szCs w:val="20"/>
          <w:color w:val="auto"/>
        </w:rPr>
      </w:pPr>
      <w:r>
        <w:rPr>
          <w:rFonts w:ascii="Arial" w:cs="Arial" w:eastAsia="Arial" w:hAnsi="Arial"/>
          <w:sz w:val="18"/>
          <w:szCs w:val="18"/>
          <w:color w:val="auto"/>
        </w:rPr>
        <w:t>Long-Term Incentive Plan (“LTIP”):</w:t>
      </w:r>
    </w:p>
    <w:p>
      <w:pPr>
        <w:spacing w:after="0" w:line="20" w:lineRule="exact"/>
        <w:rPr>
          <w:sz w:val="20"/>
          <w:szCs w:val="20"/>
          <w:color w:val="auto"/>
        </w:rPr>
      </w:pPr>
      <w:r>
        <w:rPr>
          <w:sz w:val="20"/>
          <w:szCs w:val="20"/>
          <w:color w:val="auto"/>
        </w:rPr>
        <w:br w:type="column"/>
      </w:r>
    </w:p>
    <w:p>
      <w:pPr>
        <w:jc w:val="both"/>
        <w:ind w:right="60"/>
        <w:spacing w:after="0" w:line="301" w:lineRule="auto"/>
        <w:rPr>
          <w:sz w:val="20"/>
          <w:szCs w:val="20"/>
          <w:color w:val="auto"/>
        </w:rPr>
      </w:pPr>
      <w:r>
        <w:rPr>
          <w:rFonts w:ascii="Arial" w:cs="Arial" w:eastAsia="Arial" w:hAnsi="Arial"/>
          <w:sz w:val="18"/>
          <w:szCs w:val="18"/>
          <w:color w:val="auto"/>
        </w:rPr>
        <w:t>Your target annual equity award grant value will be $3,300,000 (US dollars). Actual grant values may be higher or lower than target based on individual performance, leadership, and other factors, in the Company’s discretion. Annual equity awards are typically granted in March each year, with the award type and terms determined by the Talent, Culture, and Compensation Committee of the Board of Directors (the “Committee”). The award will consist of 50% performance stock units (“PSUs”), 25% restricted stock units (“RSUs”) and 25% stock options, or as otherwise determined by the Committee.</w:t>
      </w:r>
    </w:p>
    <w:p>
      <w:pPr>
        <w:spacing w:after="0" w:line="62" w:lineRule="exact"/>
        <w:rPr>
          <w:sz w:val="20"/>
          <w:szCs w:val="20"/>
          <w:color w:val="auto"/>
        </w:rPr>
      </w:pPr>
    </w:p>
    <w:p>
      <w:pPr>
        <w:sectPr>
          <w:pgSz w:w="11900" w:h="16838" w:orient="portrait"/>
          <w:cols w:equalWidth="0" w:num="2">
            <w:col w:w="2360" w:space="720"/>
            <w:col w:w="8160"/>
          </w:cols>
          <w:pgMar w:left="320" w:top="134" w:right="339" w:bottom="1440" w:gutter="0" w:footer="0" w:header="0"/>
          <w:type w:val="continuous"/>
        </w:sectPr>
      </w:pPr>
    </w:p>
    <w:p>
      <w:pPr>
        <w:jc w:val="both"/>
        <w:ind w:left="3080" w:right="60"/>
        <w:spacing w:after="0" w:line="304" w:lineRule="auto"/>
        <w:rPr>
          <w:sz w:val="20"/>
          <w:szCs w:val="20"/>
          <w:color w:val="auto"/>
        </w:rPr>
      </w:pPr>
      <w:r>
        <w:rPr>
          <w:rFonts w:ascii="Arial" w:cs="Arial" w:eastAsia="Arial" w:hAnsi="Arial"/>
          <w:sz w:val="18"/>
          <w:szCs w:val="18"/>
          <w:color w:val="auto"/>
        </w:rPr>
        <w:t>For 2026, your annual LTIP grant will be made on your start date. PSUs will be earned based on GE HealthCare performance from January 1, 2026 to December 31, 2028 and vest on the date in the first quarter of 2029 on which the Committee certifies PSU performance results. RSUs and stock options vest 33% on September 2, 2027, 33% on September 2, 2028, and 34% on September 2, 2029.</w:t>
      </w:r>
    </w:p>
    <w:p>
      <w:pPr>
        <w:spacing w:after="0" w:line="72"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All vesting is subject to your continued employment through the vesting dates.</w:t>
      </w:r>
    </w:p>
    <w:p>
      <w:pPr>
        <w:sectPr>
          <w:pgSz w:w="11900" w:h="16838" w:orient="portrait"/>
          <w:cols w:equalWidth="0" w:num="1">
            <w:col w:w="11240"/>
          </w:cols>
          <w:pgMar w:left="320" w:top="134" w:right="339" w:bottom="1440" w:gutter="0" w:footer="0" w:header="0"/>
          <w:type w:val="continuous"/>
        </w:sectPr>
      </w:pPr>
    </w:p>
    <w:p>
      <w:pPr>
        <w:spacing w:after="0" w:line="306" w:lineRule="exact"/>
        <w:rPr>
          <w:sz w:val="20"/>
          <w:szCs w:val="20"/>
          <w:color w:val="auto"/>
        </w:rPr>
      </w:pPr>
    </w:p>
    <w:p>
      <w:pPr>
        <w:ind w:left="80"/>
        <w:spacing w:after="0"/>
        <w:tabs>
          <w:tab w:leader="none" w:pos="3060" w:val="left"/>
        </w:tabs>
        <w:rPr>
          <w:sz w:val="20"/>
          <w:szCs w:val="20"/>
          <w:color w:val="auto"/>
        </w:rPr>
      </w:pPr>
      <w:r>
        <w:rPr>
          <w:rFonts w:ascii="Arial" w:cs="Arial" w:eastAsia="Arial" w:hAnsi="Arial"/>
          <w:sz w:val="18"/>
          <w:szCs w:val="18"/>
          <w:color w:val="auto"/>
        </w:rPr>
        <w:t>Benefits:</w:t>
      </w:r>
      <w:r>
        <w:rPr>
          <w:sz w:val="20"/>
          <w:szCs w:val="20"/>
          <w:color w:val="auto"/>
        </w:rPr>
        <w:tab/>
      </w:r>
      <w:r>
        <w:rPr>
          <w:rFonts w:ascii="Arial" w:cs="Arial" w:eastAsia="Arial" w:hAnsi="Arial"/>
          <w:sz w:val="18"/>
          <w:szCs w:val="18"/>
          <w:color w:val="auto"/>
        </w:rPr>
        <w:t>You will also be eligible to participate in the Company’s benefit plans, including:</w:t>
      </w:r>
    </w:p>
    <w:p>
      <w:pPr>
        <w:spacing w:after="0" w:line="171" w:lineRule="exact"/>
        <w:rPr>
          <w:sz w:val="20"/>
          <w:szCs w:val="20"/>
          <w:color w:val="auto"/>
        </w:rPr>
      </w:pPr>
    </w:p>
    <w:p>
      <w:pPr>
        <w:ind w:left="3740" w:right="100" w:hanging="330"/>
        <w:spacing w:after="0" w:line="304" w:lineRule="auto"/>
        <w:tabs>
          <w:tab w:leader="none" w:pos="37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Participation in the Company’s Retirement Savings Program (the “RSP”), under which the Company will match 50% of the first 8% of eligible pay you save and contribute 3% of eligible pay each year (the “CRC”). The Company match and CRC vest after you earn three years of RSP service.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160"/>
        <w:spacing w:after="0"/>
        <w:rPr>
          <w:sz w:val="20"/>
          <w:szCs w:val="20"/>
          <w:color w:val="auto"/>
        </w:rPr>
      </w:pPr>
      <w:r>
        <w:rPr>
          <w:rFonts w:ascii="Arial" w:cs="Arial" w:eastAsia="Arial" w:hAnsi="Arial"/>
          <w:sz w:val="13"/>
          <w:szCs w:val="13"/>
          <w:color w:val="auto"/>
        </w:rPr>
        <w:t>Page 1 of 3</w:t>
      </w:r>
    </w:p>
    <w:p>
      <w:pPr>
        <w:sectPr>
          <w:pgSz w:w="11900" w:h="16838" w:orient="portrait"/>
          <w:cols w:equalWidth="0" w:num="1">
            <w:col w:w="11240"/>
          </w:cols>
          <w:pgMar w:left="320" w:top="134" w:right="339" w:bottom="1440" w:gutter="0" w:footer="0" w:header="0"/>
          <w:type w:val="continuous"/>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New Hire Equity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Cash Sign-on Payment: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right="100" w:hanging="330"/>
        <w:spacing w:after="0" w:line="29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Participation in the Restoration Plan. Under the Plan, 7% of your pay above the IRS pay limit that applies to 401(k) plans is credited each year and notionally invested as you choose. These amounts vest after 3 years of service.</w:t>
      </w:r>
    </w:p>
    <w:p>
      <w:pPr>
        <w:jc w:val="both"/>
        <w:ind w:left="660" w:right="40" w:hanging="330"/>
        <w:spacing w:after="0" w:line="27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Participation in the GE HealthCare Severance and Change in Control Plan for CEO and Leadership Team (the “Severance Plan”) under which protections and benefits are provided in the event of certain terminations, including, in some cases following a change in control of the Company.</w:t>
      </w:r>
    </w:p>
    <w:p>
      <w:pPr>
        <w:spacing w:after="0" w:line="232" w:lineRule="exact"/>
        <w:rPr>
          <w:rFonts w:ascii="Arial" w:cs="Arial" w:eastAsia="Arial" w:hAnsi="Arial"/>
          <w:sz w:val="18"/>
          <w:szCs w:val="18"/>
          <w:color w:val="auto"/>
        </w:rPr>
      </w:pPr>
    </w:p>
    <w:p>
      <w:pPr>
        <w:ind w:left="660" w:right="120" w:hanging="330"/>
        <w:spacing w:after="0" w:line="29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Executive Physical Program which provides reimbursement of up to $7,500 (US dollars) annually for physical health examinations.</w:t>
      </w:r>
    </w:p>
    <w:p>
      <w:pPr>
        <w:ind w:left="660" w:right="180" w:hanging="330"/>
        <w:spacing w:after="0" w:line="334"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Executive Financial Planning Program, which provides reimbursement of up to $15,000 (US dollars) annually for financial planning services.</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All aspects of these and other benefits, including the Bonus Plan, will be governed by the terms of the applicable plan or program, and the Company reserves the right to amend such plans and programs at any time.</w:t>
      </w:r>
    </w:p>
    <w:p>
      <w:pPr>
        <w:spacing w:after="0" w:line="121"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auto"/>
        </w:rPr>
        <w:t>We will provide you with a New Hire Equity Grant valued at $4,000,000 (US dollars), which will be granted in RSUs on your start date. Half of the grant will vest on the first anniversary of the grant date and the other half will vest on the second anniversary of the grant date, subject to your continued employment through the applicable vesting dates. If the Company terminates you without Cause or you have a Non-Change in Control Good Reason termination, both as defined in the Severance Plan, any unvested RSUs shall vest pro-rata as of the end of your employment. Pro rata vesting is calculated as an amount equal to (a)(i) the number of RSUs granted, multiplied by (ii) a fraction where the numerator is the number of complete calendar months from the grant date through the Termination of Employment and the denominator is the number of calendar months from the grant date through the final vesting date, minus (b) any RSUs that vested prior to your Termination of Employment.</w:t>
      </w:r>
    </w:p>
    <w:p>
      <w:pPr>
        <w:spacing w:after="0" w:line="138"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We will provide you with a cash payment of $550,000 (US Dollars) to be paid within 30 days from your start date. Similar to your annual salary and other payments, this amount is subject to applicable tax and other withholding. This cash payment must be repaid to the Company if: (i) you resign on or before the two-year anniversary of its payment; and/or (ii) you are found, in the Company’s sole discretion, to have engaged in conduct that would give rise to a termination for Cause, as defined in the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080"/>
        <w:spacing w:after="0"/>
        <w:rPr>
          <w:sz w:val="20"/>
          <w:szCs w:val="20"/>
          <w:color w:val="auto"/>
        </w:rPr>
      </w:pPr>
      <w:r>
        <w:rPr>
          <w:rFonts w:ascii="Arial" w:cs="Arial" w:eastAsia="Arial" w:hAnsi="Arial"/>
          <w:sz w:val="13"/>
          <w:szCs w:val="13"/>
          <w:color w:val="auto"/>
        </w:rPr>
        <w:t>Page 2 of 3</w:t>
      </w:r>
    </w:p>
    <w:p>
      <w:pPr>
        <w:sectPr>
          <w:pgSz w:w="11900" w:h="16838" w:orient="portrait"/>
          <w:cols w:equalWidth="0" w:num="2">
            <w:col w:w="2280" w:space="720"/>
            <w:col w:w="8120"/>
          </w:cols>
          <w:pgMar w:left="400" w:top="1440" w:right="37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right="80"/>
        <w:spacing w:after="0" w:line="308" w:lineRule="auto"/>
        <w:rPr>
          <w:sz w:val="20"/>
          <w:szCs w:val="20"/>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As a condition of your employment, and the payments and benefits detailed above, you agree to sign and abide by</w:t>
      </w:r>
      <w:r>
        <w:rPr>
          <w:rFonts w:ascii="Arial" w:cs="Arial" w:eastAsia="Arial" w:hAnsi="Arial"/>
          <w:sz w:val="18"/>
          <w:szCs w:val="18"/>
          <w:b w:val="1"/>
          <w:bCs w:val="1"/>
          <w:color w:val="auto"/>
        </w:rPr>
        <w:t xml:space="preserve"> </w:t>
      </w:r>
      <w:r>
        <w:rPr>
          <w:rFonts w:ascii="Arial" w:cs="Arial" w:eastAsia="Arial" w:hAnsi="Arial"/>
          <w:sz w:val="18"/>
          <w:szCs w:val="18"/>
          <w:color w:val="auto"/>
        </w:rPr>
        <w:t>the enclosed Protective Covenants Agreement. You have 14 days in which to sign this agreement and we advise you to consult with an attorney before doing so.</w:t>
      </w:r>
    </w:p>
    <w:p>
      <w:pPr>
        <w:spacing w:after="0" w:line="67" w:lineRule="exact"/>
        <w:rPr>
          <w:sz w:val="20"/>
          <w:szCs w:val="20"/>
          <w:color w:val="auto"/>
        </w:rPr>
      </w:pPr>
    </w:p>
    <w:p>
      <w:pPr>
        <w:jc w:val="both"/>
        <w:ind w:right="80"/>
        <w:spacing w:after="0" w:line="298" w:lineRule="auto"/>
        <w:rPr>
          <w:sz w:val="20"/>
          <w:szCs w:val="20"/>
          <w:color w:val="auto"/>
        </w:rPr>
      </w:pP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You acknowledge that you will have access to and become acquainted with proprietary and confidential information,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may include trade secrets, regarding the Company, its affiliates and its customers that constitutes a valuable asset of the Company and that is not available to the public. You agree that you will not use or disclose that confidential information, either during or after the termination of your employment, for any reason other than in the performance of your job and for the benefit of the Company and its affiliates. You further agree that you will sign the Company’s Employee Innovation and Proprietary Information Agreement as part of the on-boarding process and will abide by the terms of that Agreement.</w:t>
      </w:r>
    </w:p>
    <w:p>
      <w:pPr>
        <w:spacing w:after="0" w:line="78" w:lineRule="exact"/>
        <w:rPr>
          <w:sz w:val="20"/>
          <w:szCs w:val="20"/>
          <w:color w:val="auto"/>
        </w:rPr>
      </w:pPr>
    </w:p>
    <w:p>
      <w:pPr>
        <w:jc w:val="both"/>
        <w:ind w:right="80"/>
        <w:spacing w:after="0" w:line="304" w:lineRule="auto"/>
        <w:rPr>
          <w:sz w:val="20"/>
          <w:szCs w:val="20"/>
          <w:color w:val="auto"/>
        </w:rPr>
      </w:pPr>
      <w:r>
        <w:rPr>
          <w:rFonts w:ascii="Arial" w:cs="Arial" w:eastAsia="Arial" w:hAnsi="Arial"/>
          <w:sz w:val="18"/>
          <w:szCs w:val="18"/>
          <w:color w:val="auto"/>
        </w:rPr>
        <w:t>Please note, this offer is contingent upon your agreement to the conditions of employment described in the Company's "Acknowledgement of Conditions of Employment". Your acknowledgment of this document and all required documentation will be collected electronically through the onboarding tool. More information on how to access this tool will be provided shortly. Nothing in this letter is a guarantee of employment for any fixed period or changes your at-will employment status with the Company or its affiliate.</w:t>
      </w:r>
    </w:p>
    <w:p>
      <w:pPr>
        <w:spacing w:after="0" w:line="58"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You agree that you will never use or disclose confidential information of your current or prior employers during your employment by GE HealthCare, that upon your separation from your current employer you will ensure the full return of all of your current employer’s documents/electronic files in your custody or control, if any, and that you have done the same for all prior employers.</w:t>
      </w:r>
    </w:p>
    <w:p>
      <w:pPr>
        <w:spacing w:after="0" w:line="49" w:lineRule="exact"/>
        <w:rPr>
          <w:sz w:val="20"/>
          <w:szCs w:val="20"/>
          <w:color w:val="auto"/>
        </w:rPr>
      </w:pPr>
    </w:p>
    <w:p>
      <w:pPr>
        <w:ind w:right="80"/>
        <w:spacing w:after="0" w:line="334" w:lineRule="auto"/>
        <w:rPr>
          <w:sz w:val="20"/>
          <w:szCs w:val="20"/>
          <w:color w:val="auto"/>
        </w:rPr>
      </w:pPr>
      <w:r>
        <w:rPr>
          <w:rFonts w:ascii="Arial" w:cs="Arial" w:eastAsia="Arial" w:hAnsi="Arial"/>
          <w:sz w:val="18"/>
          <w:szCs w:val="18"/>
          <w:color w:val="auto"/>
        </w:rPr>
        <w:t>Bill, I am incredibly excited about the prospect of your joining our team. We look forward to your acceptance of this offer and response by email within 72 hours.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contact me at [***]</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Adam Holton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People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 HealthCare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cc. Pete Arduini</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Please sign below to agree to and accept this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 William K. Grogan</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8-13-26</w:t>
            </w:r>
          </w:p>
        </w:tc>
      </w:tr>
    </w:tbl>
    <w:p>
      <w:pPr>
        <w:spacing w:after="0" w:line="15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160"/>
        <w:spacing w:after="0"/>
        <w:rPr>
          <w:sz w:val="20"/>
          <w:szCs w:val="20"/>
          <w:color w:val="auto"/>
        </w:rPr>
      </w:pPr>
      <w:r>
        <w:rPr>
          <w:rFonts w:ascii="Arial" w:cs="Arial" w:eastAsia="Arial" w:hAnsi="Arial"/>
          <w:sz w:val="13"/>
          <w:szCs w:val="13"/>
          <w:color w:val="auto"/>
        </w:rPr>
        <w:t>Page 3 of 3</w:t>
      </w:r>
    </w:p>
    <w:p>
      <w:pPr>
        <w:sectPr>
          <w:pgSz w:w="11900" w:h="16838" w:orient="portrait"/>
          <w:cols w:equalWidth="0" w:num="1">
            <w:col w:w="11240"/>
          </w:cols>
          <w:pgMar w:left="320" w:top="1440"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Peter J. Arduini, certify that:</w:t>
      </w:r>
    </w:p>
    <w:p>
      <w:pPr>
        <w:spacing w:after="0" w:line="248"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October 28, 2026</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William K. Grogan, certify that:</w:t>
      </w:r>
    </w:p>
    <w:p>
      <w:pPr>
        <w:spacing w:after="0" w:line="248"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October 28, 2026</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William K. Grogan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William K. Grogan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700"/>
        <w:spacing w:after="0"/>
        <w:rPr>
          <w:sz w:val="20"/>
          <w:szCs w:val="20"/>
          <w:color w:val="auto"/>
        </w:rPr>
      </w:pPr>
      <w:r>
        <w:rPr>
          <w:rFonts w:ascii="Arial" w:cs="Arial" w:eastAsia="Arial" w:hAnsi="Arial"/>
          <w:sz w:val="16"/>
          <w:szCs w:val="16"/>
          <w:b w:val="1"/>
          <w:bCs w:val="1"/>
          <w:color w:val="auto"/>
        </w:rPr>
        <w:t>Certification Pursuant to</w:t>
      </w:r>
    </w:p>
    <w:p>
      <w:pPr>
        <w:spacing w:after="0" w:line="35" w:lineRule="exact"/>
        <w:rPr>
          <w:sz w:val="20"/>
          <w:szCs w:val="20"/>
          <w:color w:val="auto"/>
        </w:rPr>
      </w:pPr>
    </w:p>
    <w:p>
      <w:pPr>
        <w:jc w:val="right"/>
        <w:ind w:right="4740"/>
        <w:spacing w:after="0"/>
        <w:rPr>
          <w:sz w:val="20"/>
          <w:szCs w:val="20"/>
          <w:color w:val="auto"/>
        </w:rPr>
      </w:pPr>
      <w:r>
        <w:rPr>
          <w:rFonts w:ascii="Arial" w:cs="Arial" w:eastAsia="Arial" w:hAnsi="Arial"/>
          <w:sz w:val="16"/>
          <w:szCs w:val="16"/>
          <w:b w:val="1"/>
          <w:bCs w:val="1"/>
          <w:color w:val="auto"/>
        </w:rPr>
        <w:t>18 U.S.C. Section 1350</w:t>
      </w:r>
    </w:p>
    <w:p>
      <w:pPr>
        <w:spacing w:after="0" w:line="200" w:lineRule="exact"/>
        <w:rPr>
          <w:sz w:val="20"/>
          <w:szCs w:val="20"/>
          <w:color w:val="auto"/>
        </w:rPr>
      </w:pPr>
    </w:p>
    <w:p>
      <w:pPr>
        <w:spacing w:after="0" w:line="316"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In connection with the Quarterly Report of GE HealthCare Technologies Inc. (the “registrant”) on Form 10-Q for the period ended September 30, 2026, as filed with the Securities and Exchange Commission on the date hereof (the “report”), we, Peter J. Arduini and William K. Grogan, President and Chief Executive Officer and Chief Financial Officer, respectively, of the registrant, certify, pursuant to 18 U.S.C. § 1350, that to our knowledge:</w:t>
      </w:r>
    </w:p>
    <w:p>
      <w:pPr>
        <w:spacing w:after="0" w:line="178"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October 28, 2026</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and Chief Executive Officer</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William K. Grogan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William K. Grogan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525"/>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01"/>
    </w:lvl>
  </w:abstractNum>
  <w:abstractNum w:abstractNumId="34">
    <w:nsid w:val="5C482A97"/>
    <w:multiLevelType w:val="hybridMultilevel"/>
    <w:lvl w:ilvl="0">
      <w:lvlJc w:val="left"/>
      <w:lvlText w:val="%1"/>
      <w:numFmt w:val="decimal"/>
      <w:start w:val="104"/>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jpe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72" Type="http://schemas.openxmlformats.org/officeDocument/2006/relationships/hyperlink" Target="https://www.sec.gov/Archives/edgar/data/1932393/000119312522314166/d439598dex31.htm" TargetMode="External"/><Relationship Id="rId73" Type="http://schemas.openxmlformats.org/officeDocument/2006/relationships/hyperlink" Target="https://www.sec.gov/Archives/edgar/data/1932393/000119312522314166/d439598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2026-10-28T05:30:32Z</dcterms:created>
  <dcterms:modified xsi:type="dcterms:W3CDTF">2026-10-28T05:30:32Z</dcterms:modified>
</cp:coreProperties>
</file>