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3"/>
          <w:szCs w:val="23"/>
          <w:b w:val="1"/>
          <w:bCs w:val="1"/>
          <w:color w:val="auto"/>
        </w:rPr>
        <w:t>UNITED STATES SECURITIES AND EXCHANGE COMMISSION</w:t>
      </w:r>
    </w:p>
    <w:p>
      <w:pPr>
        <w:spacing w:after="0" w:line="42"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819"/>
        <w:spacing w:after="0"/>
        <w:rPr>
          <w:sz w:val="20"/>
          <w:szCs w:val="20"/>
          <w:color w:val="auto"/>
        </w:rPr>
      </w:pPr>
      <w:r>
        <w:rPr>
          <w:rFonts w:ascii="Arial" w:cs="Arial" w:eastAsia="Arial" w:hAnsi="Arial"/>
          <w:sz w:val="25"/>
          <w:szCs w:val="25"/>
          <w:b w:val="1"/>
          <w:bCs w:val="1"/>
          <w:color w:val="auto"/>
        </w:rPr>
        <w:t>FORM SD</w:t>
      </w:r>
    </w:p>
    <w:p>
      <w:pPr>
        <w:spacing w:after="0" w:line="42"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165100</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3220"/>
        <w:spacing w:after="0"/>
        <w:rPr>
          <w:sz w:val="20"/>
          <w:szCs w:val="20"/>
          <w:color w:val="auto"/>
        </w:rPr>
      </w:pPr>
      <w:r>
        <w:rPr>
          <w:rFonts w:ascii="Arial" w:cs="Arial" w:eastAsia="Arial" w:hAnsi="Arial"/>
          <w:sz w:val="25"/>
          <w:szCs w:val="25"/>
          <w:b w:val="1"/>
          <w:bCs w:val="1"/>
          <w:u w:val="single" w:color="auto"/>
          <w:color w:val="auto"/>
        </w:rPr>
        <w:t>GE HEALTHCARE TECHNOLOGIES INC.</w:t>
      </w:r>
    </w:p>
    <w:p>
      <w:pPr>
        <w:spacing w:after="0" w:line="286"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(Exact name of registrant as specified in its charter)</w:t>
      </w:r>
    </w:p>
    <w:p>
      <w:pPr>
        <w:spacing w:after="0" w:line="348"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460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rPr>
              <w:t>Delaware</w:t>
            </w:r>
          </w:p>
        </w:tc>
        <w:tc>
          <w:tcPr>
            <w:tcW w:w="1500" w:type="dxa"/>
            <w:vAlign w:val="bottom"/>
          </w:tcPr>
          <w:p>
            <w:pPr>
              <w:jc w:val="center"/>
              <w:ind w:right="459"/>
              <w:spacing w:after="0"/>
              <w:rPr>
                <w:sz w:val="20"/>
                <w:szCs w:val="20"/>
                <w:color w:val="auto"/>
              </w:rPr>
            </w:pPr>
            <w:r>
              <w:rPr>
                <w:rFonts w:ascii="Arial" w:cs="Arial" w:eastAsia="Arial" w:hAnsi="Arial"/>
                <w:sz w:val="16"/>
                <w:szCs w:val="16"/>
                <w:b w:val="1"/>
                <w:bCs w:val="1"/>
                <w:color w:val="auto"/>
                <w:w w:val="99"/>
              </w:rPr>
              <w:t>001-41528</w:t>
            </w:r>
          </w:p>
        </w:tc>
        <w:tc>
          <w:tcPr>
            <w:tcW w:w="40" w:type="dxa"/>
            <w:vAlign w:val="bottom"/>
          </w:tcPr>
          <w:p>
            <w:pPr>
              <w:spacing w:after="0"/>
              <w:rPr>
                <w:sz w:val="19"/>
                <w:szCs w:val="19"/>
                <w:color w:val="auto"/>
              </w:rPr>
            </w:pPr>
          </w:p>
        </w:tc>
        <w:tc>
          <w:tcPr>
            <w:tcW w:w="344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3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r>
        <w:trPr>
          <w:trHeight w:val="159"/>
        </w:trPr>
        <w:tc>
          <w:tcPr>
            <w:tcW w:w="4600" w:type="dxa"/>
            <w:vAlign w:val="bottom"/>
            <w:gridSpan w:val="4"/>
          </w:tcPr>
          <w:p>
            <w:pPr>
              <w:jc w:val="center"/>
              <w:ind w:right="720"/>
              <w:spacing w:after="0" w:line="159" w:lineRule="exact"/>
              <w:rPr>
                <w:sz w:val="20"/>
                <w:szCs w:val="20"/>
                <w:color w:val="auto"/>
              </w:rPr>
            </w:pPr>
            <w:r>
              <w:rPr>
                <w:rFonts w:ascii="Arial" w:cs="Arial" w:eastAsia="Arial" w:hAnsi="Arial"/>
                <w:sz w:val="16"/>
                <w:szCs w:val="16"/>
                <w:color w:val="auto"/>
              </w:rPr>
              <w:t>(State or other jurisdiction</w:t>
            </w:r>
          </w:p>
        </w:tc>
        <w:tc>
          <w:tcPr>
            <w:tcW w:w="1540" w:type="dxa"/>
            <w:vAlign w:val="bottom"/>
            <w:gridSpan w:val="2"/>
          </w:tcPr>
          <w:p>
            <w:pPr>
              <w:jc w:val="center"/>
              <w:ind w:right="580"/>
              <w:spacing w:after="0" w:line="159" w:lineRule="exact"/>
              <w:rPr>
                <w:sz w:val="20"/>
                <w:szCs w:val="20"/>
                <w:color w:val="auto"/>
              </w:rPr>
            </w:pPr>
            <w:r>
              <w:rPr>
                <w:rFonts w:ascii="Arial" w:cs="Arial" w:eastAsia="Arial" w:hAnsi="Arial"/>
                <w:sz w:val="16"/>
                <w:szCs w:val="16"/>
                <w:color w:val="auto"/>
              </w:rPr>
              <w:t>(Commission</w:t>
            </w:r>
          </w:p>
        </w:tc>
        <w:tc>
          <w:tcPr>
            <w:tcW w:w="140" w:type="dxa"/>
            <w:vAlign w:val="bottom"/>
          </w:tcPr>
          <w:p>
            <w:pPr>
              <w:spacing w:after="0"/>
              <w:rPr>
                <w:sz w:val="13"/>
                <w:szCs w:val="13"/>
                <w:color w:val="auto"/>
              </w:rPr>
            </w:pPr>
          </w:p>
        </w:tc>
        <w:tc>
          <w:tcPr>
            <w:tcW w:w="3300" w:type="dxa"/>
            <w:vAlign w:val="bottom"/>
          </w:tcPr>
          <w:p>
            <w:pPr>
              <w:jc w:val="center"/>
              <w:spacing w:after="0" w:line="159" w:lineRule="exact"/>
              <w:rPr>
                <w:sz w:val="20"/>
                <w:szCs w:val="20"/>
                <w:color w:val="auto"/>
              </w:rPr>
            </w:pPr>
            <w:r>
              <w:rPr>
                <w:rFonts w:ascii="Arial" w:cs="Arial" w:eastAsia="Arial" w:hAnsi="Arial"/>
                <w:sz w:val="16"/>
                <w:szCs w:val="16"/>
                <w:color w:val="auto"/>
              </w:rPr>
              <w:t>(IRS Employer</w:t>
            </w:r>
          </w:p>
        </w:tc>
      </w:tr>
      <w:tr>
        <w:trPr>
          <w:trHeight w:val="207"/>
        </w:trPr>
        <w:tc>
          <w:tcPr>
            <w:tcW w:w="4600" w:type="dxa"/>
            <w:vAlign w:val="bottom"/>
            <w:gridSpan w:val="4"/>
          </w:tcPr>
          <w:p>
            <w:pPr>
              <w:jc w:val="center"/>
              <w:ind w:right="740"/>
              <w:spacing w:after="0"/>
              <w:rPr>
                <w:sz w:val="20"/>
                <w:szCs w:val="20"/>
                <w:color w:val="auto"/>
              </w:rPr>
            </w:pPr>
            <w:r>
              <w:rPr>
                <w:rFonts w:ascii="Arial" w:cs="Arial" w:eastAsia="Arial" w:hAnsi="Arial"/>
                <w:sz w:val="16"/>
                <w:szCs w:val="16"/>
                <w:color w:val="auto"/>
              </w:rPr>
              <w:t>of incorporation)</w:t>
            </w:r>
          </w:p>
        </w:tc>
        <w:tc>
          <w:tcPr>
            <w:tcW w:w="1540" w:type="dxa"/>
            <w:vAlign w:val="bottom"/>
            <w:gridSpan w:val="2"/>
          </w:tcPr>
          <w:p>
            <w:pPr>
              <w:jc w:val="center"/>
              <w:ind w:right="540"/>
              <w:spacing w:after="0"/>
              <w:rPr>
                <w:sz w:val="20"/>
                <w:szCs w:val="20"/>
                <w:color w:val="auto"/>
              </w:rPr>
            </w:pPr>
            <w:r>
              <w:rPr>
                <w:rFonts w:ascii="Arial" w:cs="Arial" w:eastAsia="Arial" w:hAnsi="Arial"/>
                <w:sz w:val="16"/>
                <w:szCs w:val="16"/>
                <w:color w:val="auto"/>
                <w:w w:val="99"/>
              </w:rPr>
              <w:t>File Number)</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505"/>
        </w:trPr>
        <w:tc>
          <w:tcPr>
            <w:tcW w:w="388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500 W. Monroe Street Chicago,   IL</w:t>
            </w:r>
          </w:p>
        </w:tc>
        <w:tc>
          <w:tcPr>
            <w:tcW w:w="7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rPr>
              <w:t>60661</w:t>
            </w:r>
          </w:p>
        </w:tc>
      </w:tr>
      <w:tr>
        <w:trPr>
          <w:trHeight w:val="204"/>
        </w:trPr>
        <w:tc>
          <w:tcPr>
            <w:tcW w:w="4600" w:type="dxa"/>
            <w:vAlign w:val="bottom"/>
            <w:gridSpan w:val="4"/>
          </w:tcPr>
          <w:p>
            <w:pPr>
              <w:jc w:val="center"/>
              <w:ind w:right="740"/>
              <w:spacing w:after="0"/>
              <w:rPr>
                <w:sz w:val="20"/>
                <w:szCs w:val="20"/>
                <w:color w:val="auto"/>
              </w:rPr>
            </w:pPr>
            <w:r>
              <w:rPr>
                <w:rFonts w:ascii="Arial" w:cs="Arial" w:eastAsia="Arial" w:hAnsi="Arial"/>
                <w:sz w:val="16"/>
                <w:szCs w:val="16"/>
                <w:color w:val="auto"/>
              </w:rPr>
              <w:t>(Address of principal executive offices)</w:t>
            </w: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775"/>
        </w:trPr>
        <w:tc>
          <w:tcPr>
            <w:tcW w:w="346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Frank Jimenez</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 735-1139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1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w:t>
      </w:r>
    </w:p>
    <w:p>
      <w:pPr>
        <w:spacing w:after="0" w:line="221" w:lineRule="exact"/>
        <w:rPr>
          <w:sz w:val="24"/>
          <w:szCs w:val="24"/>
          <w:color w:val="auto"/>
        </w:rPr>
      </w:pPr>
    </w:p>
    <w:p>
      <w:pPr>
        <w:ind w:right="920" w:firstLine="8"/>
        <w:spacing w:after="0" w:line="217" w:lineRule="exact"/>
        <w:tabs>
          <w:tab w:leader="none" w:pos="19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13p-1 under the Securities Exchange Act (17 CFR 240.13p-1) for the reporting period from January 1 to December 31, 2022.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13q-1 under the Securities Exchange Act (17 CFR 240.13q-1) for the fiscal year ended _______.</w:t>
      </w:r>
    </w:p>
    <w:p>
      <w:pPr>
        <w:sectPr>
          <w:pgSz w:w="11900" w:h="16838" w:orient="portrait"/>
          <w:cols w:equalWidth="0" w:num="1">
            <w:col w:w="10420"/>
          </w:cols>
          <w:pgMar w:left="320" w:top="993" w:right="11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GE HealthCare Technologies Inc., a Delaware corporation ("GE HealthCare"), completed its spin-off from General Electric Company on January 3, 2023. On January 4, 2023, GE HealthCare's common stock began regular-way trading on The Nasdaq Stock Market LLC under the ticker symbol “GEHC." Since GE HealthCare was part of General Electric Company for the entirety of 2022, the required information for GE HealthCare is included in the General Electric Company 2022 Conflict Minerals Report (the "Conflict Minerals Report").</w:t>
      </w:r>
    </w:p>
    <w:p>
      <w:pPr>
        <w:spacing w:after="0" w:line="203" w:lineRule="exact"/>
        <w:rPr>
          <w:sz w:val="20"/>
          <w:szCs w:val="20"/>
          <w:color w:val="auto"/>
        </w:rPr>
      </w:pPr>
    </w:p>
    <w:p>
      <w:pPr>
        <w:ind w:right="760"/>
        <w:spacing w:after="0" w:line="247" w:lineRule="auto"/>
        <w:rPr>
          <w:sz w:val="20"/>
          <w:szCs w:val="20"/>
          <w:color w:val="auto"/>
        </w:rPr>
      </w:pPr>
      <w:r>
        <w:rPr>
          <w:rFonts w:ascii="Arial" w:cs="Arial" w:eastAsia="Arial" w:hAnsi="Arial"/>
          <w:sz w:val="18"/>
          <w:szCs w:val="18"/>
          <w:color w:val="auto"/>
        </w:rPr>
        <w:t>A copy of the Conflict Minerals Report is filed as Exhibit 1.01 hereto and is publicly available at https://www.gehealthcare.com/about/sustainability/reports. Information contained on the GE HealthCare website is not part of, nor incorporated by reference into, this Form SD or the Conflict Minerals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General Electric Company 2022 Conflict Minerals Report described in Item 1.01 is filed as Exhibit 1.01 to this Form SD.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b w:val="1"/>
                <w:bCs w:val="1"/>
                <w:color w:val="auto"/>
                <w:w w:val="96"/>
              </w:rPr>
              <w:t>Exhibit</w:t>
            </w:r>
          </w:p>
        </w:tc>
        <w:tc>
          <w:tcPr>
            <w:tcW w:w="940" w:type="dxa"/>
            <w:vAlign w:val="bottom"/>
          </w:tcPr>
          <w:p>
            <w:pPr>
              <w:spacing w:after="0"/>
              <w:rPr>
                <w:sz w:val="17"/>
                <w:szCs w:val="17"/>
                <w:color w:val="auto"/>
              </w:rPr>
            </w:pPr>
          </w:p>
        </w:tc>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94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0000FF"/>
                <w:w w:val="99"/>
              </w:rPr>
              <w:t>General Electric Company 2022 Conflict Minerals Report</w:t>
            </w:r>
            <w:r>
              <w:rPr>
                <w:rFonts w:ascii="Arial" w:cs="Arial" w:eastAsia="Arial" w:hAnsi="Arial"/>
                <w:sz w:val="18"/>
                <w:szCs w:val="18"/>
                <w:color w:val="000000"/>
                <w:w w:val="99"/>
              </w:rPr>
              <w:t>, as required by items 1.01 and 1.02 of this Form.</w:t>
            </w: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ectPr>
          <w:pgSz w:w="11900" w:h="16838" w:orient="portrait"/>
          <w:cols w:equalWidth="0" w:num="1">
            <w:col w:w="11060"/>
          </w:cols>
          <w:pgMar w:left="320" w:top="886" w:right="5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9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13970</wp:posOffset>
            </wp:positionV>
            <wp:extent cx="4903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70"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350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8"/>
          <w:szCs w:val="18"/>
          <w:color w:val="auto"/>
        </w:rPr>
        <w:t>/s/ Frank R.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13970</wp:posOffset>
            </wp:positionV>
            <wp:extent cx="4903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Frank R. Jimenez, General Counsel and Corporate Secretary (authorized signatory)</w:t>
      </w:r>
    </w:p>
    <w:p>
      <w:pPr>
        <w:sectPr>
          <w:pgSz w:w="11900" w:h="16838" w:orient="portrait"/>
          <w:cols w:equalWidth="0" w:num="1">
            <w:col w:w="11120"/>
          </w:cols>
          <w:pgMar w:left="320" w:top="886"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060"/>
        </w:rPr>
        <w:t>General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154305</wp:posOffset>
            </wp:positionV>
            <wp:extent cx="685800"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060"/>
        </w:rPr>
        <w:t>2022 Conflict Minerals Report</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Introduction</w:t>
      </w:r>
    </w:p>
    <w:p>
      <w:pPr>
        <w:spacing w:after="0" w:line="203"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General Electric Company (“GE” or the “Company”) has prepared this Conflict Minerals Report (“Report”) for the year ended December 31, 2022, as provided for in Rule 13p-1 of the Securities Exchange Act of 1934, as amended, and Form SD (collectively, the</w:t>
      </w:r>
    </w:p>
    <w:p>
      <w:pPr>
        <w:spacing w:after="0" w:line="236" w:lineRule="auto"/>
        <w:rPr>
          <w:sz w:val="20"/>
          <w:szCs w:val="20"/>
          <w:color w:val="auto"/>
        </w:rPr>
      </w:pPr>
      <w:r>
        <w:rPr>
          <w:rFonts w:ascii="Arial" w:cs="Arial" w:eastAsia="Arial" w:hAnsi="Arial"/>
          <w:sz w:val="18"/>
          <w:szCs w:val="18"/>
          <w:color w:val="auto"/>
        </w:rPr>
        <w:t>“Conflict Minerals Rule”). GE manufactures a wide range of products that contain tin, tantalum, tungsten or gold (“3TG”) but GE does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purchase ore or unrefined 3TG from mines and generally is many steps removed in the supply chain from the mining of these minerals. We purchase materials from a wide network of suppliers and rely on them to assist with our reasonable country of origin inquiry regarding the</w:t>
      </w:r>
    </w:p>
    <w:p>
      <w:pPr>
        <w:spacing w:after="0" w:line="236" w:lineRule="auto"/>
        <w:rPr>
          <w:sz w:val="20"/>
          <w:szCs w:val="20"/>
          <w:color w:val="auto"/>
        </w:rPr>
      </w:pPr>
      <w:r>
        <w:rPr>
          <w:rFonts w:ascii="Arial" w:cs="Arial" w:eastAsia="Arial" w:hAnsi="Arial"/>
          <w:sz w:val="18"/>
          <w:szCs w:val="18"/>
          <w:color w:val="auto"/>
        </w:rPr>
        <w:t>3TG that are necessary to the functionality or production of products we manufacture. After performing our reasonable country of origin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inquiry and due diligence for 2022, we have reason to believe that a portion of the 3TG used in our products may have originated in the Democratic Republic of the Congo or an adjoining country (collectively, the “Covered Countries”) and may not be solely from recycled or</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scrap sources and we are therefore submitting this Report, which describes the due diligence we have performed pursuant to the Conflict Minerals Rule and our related processes and procedures.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describes:</w:t>
      </w:r>
    </w:p>
    <w:p>
      <w:pPr>
        <w:spacing w:after="0" w:line="212" w:lineRule="exact"/>
        <w:rPr>
          <w:sz w:val="20"/>
          <w:szCs w:val="20"/>
          <w:color w:val="auto"/>
        </w:rPr>
      </w:pPr>
    </w:p>
    <w:p>
      <w:pPr>
        <w:ind w:left="1300" w:right="360" w:hanging="320"/>
        <w:spacing w:after="0" w:line="23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due diligence we performed for 2022, including the steps we took to mitigate the risk that 3TG in our products benefit armed groups;</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products that we have reason to believe might contain 3TG originating from the Covered Countries; and</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about the processing facilities and countries of origin of 3TG used in those products.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Reasonable Country of Origin Inquiry and Due Diligence Process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 of GE’s due diligence measures</w:t>
      </w:r>
    </w:p>
    <w:p>
      <w:pPr>
        <w:spacing w:after="0" w:line="203"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GE has adopted Conflict Minerals Guidelines (the “Guidelines”) outlining the design of our 3TG due diligence process, based on our broader ethical supply chain program. The Guidelines describe procedures that each GE business is expected to use to perform due</w:t>
      </w:r>
    </w:p>
    <w:p>
      <w:pPr>
        <w:spacing w:after="0" w:line="236" w:lineRule="auto"/>
        <w:rPr>
          <w:sz w:val="20"/>
          <w:szCs w:val="20"/>
          <w:color w:val="auto"/>
        </w:rPr>
      </w:pPr>
      <w:r>
        <w:rPr>
          <w:rFonts w:ascii="Arial" w:cs="Arial" w:eastAsia="Arial" w:hAnsi="Arial"/>
          <w:sz w:val="18"/>
          <w:szCs w:val="18"/>
          <w:color w:val="auto"/>
        </w:rPr>
        <w:t>diligence on the origin and sourcing of 3TG contained in products we manufacture. The Guidelines conform in material respects to the OECD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Due Diligence Guidance for Responsible Supply Chains of Minerals from Conflict-Affected and High-Risk Areas including, the Supplement on Tin, Tantalum, and Tungsten and the Supplement on Gold (Third Edition) (the “OECD Guidance”), and the Guidelines are periodically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reviewed and updated with enhancements to the due diligence program.</w:t>
      </w:r>
    </w:p>
    <w:p>
      <w:pPr>
        <w:spacing w:after="0" w:line="200"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This description of due diligence measures refers to measures performed by GE Corporate and by the GE businesses. On January 3, 2023, we completed the separation of the HealthCare business from GE through the spin-off of GE HealthCare Technologies Inc. (GE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HealthCare). This </w:t>
      </w:r>
      <w:r>
        <w:rPr>
          <w:rFonts w:ascii="Arial" w:cs="Arial" w:eastAsia="Arial" w:hAnsi="Arial"/>
          <w:sz w:val="18"/>
          <w:szCs w:val="18"/>
          <w:color w:val="212529"/>
        </w:rPr>
        <w:t>Report includes due diligence measures related to GE HealthCare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4" w:name="page5"/>
    <w:bookmarkEnd w:id="4"/>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 xml:space="preserve">Although </w:t>
      </w:r>
      <w:r>
        <w:rPr>
          <w:rFonts w:ascii="Arial" w:cs="Arial" w:eastAsia="Arial" w:hAnsi="Arial"/>
          <w:sz w:val="18"/>
          <w:szCs w:val="18"/>
          <w:color w:val="000000"/>
        </w:rPr>
        <w:t>GE does not purchase ore or unrefined 3TG from mines and generally is many steps removed in the supply chain from the</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mining of these minerals, GE businesses took proactive steps to comply with </w:t>
      </w:r>
      <w:r>
        <w:rPr>
          <w:rFonts w:ascii="Arial" w:cs="Arial" w:eastAsia="Arial" w:hAnsi="Arial"/>
          <w:sz w:val="18"/>
          <w:szCs w:val="18"/>
          <w:color w:val="212529"/>
        </w:rPr>
        <w:t>sanctions imposed on Russian entities in March 2022. GE</w:t>
      </w:r>
      <w:r>
        <w:rPr>
          <w:rFonts w:ascii="Arial" w:cs="Arial" w:eastAsia="Arial" w:hAnsi="Arial"/>
          <w:sz w:val="18"/>
          <w:szCs w:val="18"/>
          <w:color w:val="auto"/>
        </w:rPr>
        <w:t xml:space="preserve"> </w:t>
      </w:r>
      <w:r>
        <w:rPr>
          <w:rFonts w:ascii="Arial" w:cs="Arial" w:eastAsia="Arial" w:hAnsi="Arial"/>
          <w:sz w:val="18"/>
          <w:szCs w:val="18"/>
          <w:color w:val="212529"/>
        </w:rPr>
        <w:t>businesses reached out to suppliers with known Russian smelters in their supply chain to issue warnings on compliance with sanctions and</w:t>
      </w:r>
    </w:p>
    <w:p>
      <w:pPr>
        <w:spacing w:after="0" w:line="236" w:lineRule="auto"/>
        <w:rPr>
          <w:sz w:val="20"/>
          <w:szCs w:val="20"/>
          <w:color w:val="auto"/>
        </w:rPr>
      </w:pPr>
      <w:r>
        <w:rPr>
          <w:rFonts w:ascii="Arial" w:cs="Arial" w:eastAsia="Arial" w:hAnsi="Arial"/>
          <w:sz w:val="18"/>
          <w:szCs w:val="18"/>
          <w:color w:val="212529"/>
        </w:rPr>
        <w:t>regulatory requirements, as detailed in their supplier agreements. GE required suppliers to use alternative smelters to comply with the newly</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212529"/>
        </w:rPr>
        <w:t>imposed sanctions. Coupled with proactive outreach, GE seeks to maintain a robust international trade compliance program where suppliers are watchlist screened on a regular basis for compliance with trade sanctions.</w:t>
      </w:r>
    </w:p>
    <w:p>
      <w:pPr>
        <w:spacing w:after="0" w:line="82"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This description is presented pursuant to the organizational structure of the Five-Step Framework for Risk-Based Due Diligence in the Mineral Supply Chain contained in the OECD Guidance</w:t>
      </w:r>
      <w:r>
        <w:rPr>
          <w:rFonts w:ascii="Arial" w:cs="Arial" w:eastAsia="Arial" w:hAnsi="Arial"/>
          <w:sz w:val="16"/>
          <w:szCs w:val="16"/>
          <w:i w:val="1"/>
          <w:i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Step 1: Establish strong company management systems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Adopt and commit to a supply chain policy for minerals originating from conflict-affected and high-risk areas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Guidelines contain the operative provisions of GE’s Responsible Mineral Sourcing Principles, which can be found on GE’s</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website, as well as the process for confirming that risks are adequately managed. The Guidelines were created and disseminated by the Company’s 3TG Working Group (described below) and provide details for the execution of GE’s 3TG due diligence process, including</w:t>
      </w:r>
    </w:p>
    <w:p>
      <w:pPr>
        <w:spacing w:after="0" w:line="236" w:lineRule="auto"/>
        <w:rPr>
          <w:sz w:val="20"/>
          <w:szCs w:val="20"/>
          <w:color w:val="auto"/>
        </w:rPr>
      </w:pPr>
      <w:r>
        <w:rPr>
          <w:rFonts w:ascii="Arial" w:cs="Arial" w:eastAsia="Arial" w:hAnsi="Arial"/>
          <w:sz w:val="18"/>
          <w:szCs w:val="18"/>
          <w:color w:val="auto"/>
        </w:rPr>
        <w:t>guidance for situational decision making and escalation processes regarding supplier behavior. Additional GE policies that relate to the due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diligence measures contained in the OECD Guidance are incorporated into GE’s code of conduct, </w:t>
      </w:r>
      <w:r>
        <w:rPr>
          <w:rFonts w:ascii="Arial" w:cs="Arial" w:eastAsia="Arial" w:hAnsi="Arial"/>
          <w:sz w:val="18"/>
          <w:szCs w:val="18"/>
          <w:i w:val="1"/>
          <w:iCs w:val="1"/>
          <w:color w:val="auto"/>
        </w:rPr>
        <w:t>The Spirit &amp; The Letter</w:t>
      </w:r>
      <w:r>
        <w:rPr>
          <w:rFonts w:ascii="Arial" w:cs="Arial" w:eastAsia="Arial" w:hAnsi="Arial"/>
          <w:sz w:val="18"/>
          <w:szCs w:val="18"/>
          <w:color w:val="auto"/>
        </w:rPr>
        <w:t>, which can be found on GE’s website (for each of these materials, see “Where You Can Find Additional Information” below).</w:t>
      </w:r>
    </w:p>
    <w:p>
      <w:pPr>
        <w:spacing w:after="0" w:line="82" w:lineRule="exact"/>
        <w:rPr>
          <w:sz w:val="20"/>
          <w:szCs w:val="20"/>
          <w:color w:val="auto"/>
        </w:rPr>
      </w:pPr>
    </w:p>
    <w:p>
      <w:pPr>
        <w:ind w:right="140" w:firstLine="648"/>
        <w:spacing w:after="0" w:line="260" w:lineRule="auto"/>
        <w:rPr>
          <w:sz w:val="20"/>
          <w:szCs w:val="20"/>
          <w:color w:val="auto"/>
        </w:rPr>
      </w:pPr>
      <w:r>
        <w:rPr>
          <w:rFonts w:ascii="Arial" w:cs="Arial" w:eastAsia="Arial" w:hAnsi="Arial"/>
          <w:sz w:val="18"/>
          <w:szCs w:val="18"/>
          <w:color w:val="auto"/>
        </w:rPr>
        <w:t>We do not seek to embargo the responsible sourcing of 3TG or other minerals from the Covered Countries or other conflict-affected and high-risk areas.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Structure internal management systems to support supply chain due diligence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3TG Working Group</w:t>
      </w:r>
      <w:r>
        <w:rPr>
          <w:rFonts w:ascii="Arial" w:cs="Arial" w:eastAsia="Arial" w:hAnsi="Arial"/>
          <w:sz w:val="18"/>
          <w:szCs w:val="18"/>
          <w:color w:val="auto"/>
        </w:rPr>
        <w:t>. The Company has established a 3TG Working Group, which includes representatives from GE Corporate and</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each of the GE businesses, with representation from functions such as engineering, supply chain management and legal. The 3TG Working Group meets regularly throughout the year to discuss design and modification of the 3TG due diligence process (including potential</w:t>
      </w:r>
    </w:p>
    <w:p>
      <w:pPr>
        <w:spacing w:after="0" w:line="236" w:lineRule="auto"/>
        <w:rPr>
          <w:sz w:val="20"/>
          <w:szCs w:val="20"/>
          <w:color w:val="auto"/>
        </w:rPr>
      </w:pPr>
      <w:r>
        <w:rPr>
          <w:rFonts w:ascii="Arial" w:cs="Arial" w:eastAsia="Arial" w:hAnsi="Arial"/>
          <w:sz w:val="18"/>
          <w:szCs w:val="18"/>
          <w:color w:val="auto"/>
        </w:rPr>
        <w:t>enhancements to the due diligence program), share best practices among the businesses, and monitor progress of the suppliers annual</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Conflict Minerals Reporting Template (“CMRT”) outreach campaign and the 3TG due diligence process. The 3TG Working Group is also responsible for reviewing and implementing the Guidelines annually.</w:t>
      </w:r>
    </w:p>
    <w:p>
      <w:pPr>
        <w:spacing w:after="0" w:line="7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b w:val="1"/>
          <w:bCs w:val="1"/>
          <w:color w:val="auto"/>
        </w:rPr>
        <w:t>GE Corporate</w:t>
      </w:r>
      <w:r>
        <w:rPr>
          <w:rFonts w:ascii="Arial" w:cs="Arial" w:eastAsia="Arial" w:hAnsi="Arial"/>
          <w:sz w:val="18"/>
          <w:szCs w:val="18"/>
          <w:color w:val="auto"/>
        </w:rPr>
        <w:t>. GE’s Global Law &amp; Policy organization has oversight responsibility for GE’s Responsible Mineral Sourcing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establishment of processes and procedures to carry out this statement.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 businesses</w:t>
      </w:r>
      <w:r>
        <w:rPr>
          <w:rFonts w:ascii="Arial" w:cs="Arial" w:eastAsia="Arial" w:hAnsi="Arial"/>
          <w:sz w:val="18"/>
          <w:szCs w:val="18"/>
          <w:color w:val="auto"/>
        </w:rPr>
        <w:t>. Each GE business has:</w:t>
      </w:r>
    </w:p>
    <w:p>
      <w:pPr>
        <w:spacing w:after="0" w:line="76"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established a process to support 3TG due diligence of its supply chain;</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documented that process in a written business program; and</w:t>
      </w:r>
    </w:p>
    <w:p>
      <w:pPr>
        <w:spacing w:after="0" w:line="10" w:lineRule="exact"/>
        <w:rPr>
          <w:rFonts w:ascii="Arial" w:cs="Arial" w:eastAsia="Arial" w:hAnsi="Arial"/>
          <w:sz w:val="22"/>
          <w:szCs w:val="22"/>
          <w:color w:val="auto"/>
        </w:rPr>
      </w:pPr>
    </w:p>
    <w:p>
      <w:pPr>
        <w:ind w:left="1300" w:hanging="320"/>
        <w:spacing w:after="0" w:line="208"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assigned responsibility for the execution of the business program to specific personnel.</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reporting</w:t>
      </w:r>
      <w:r>
        <w:rPr>
          <w:rFonts w:ascii="Arial" w:cs="Arial" w:eastAsia="Arial" w:hAnsi="Arial"/>
          <w:sz w:val="18"/>
          <w:szCs w:val="18"/>
          <w:color w:val="auto"/>
        </w:rPr>
        <w:t>. For 2022, GE Corporate used the following 3TG due diligence reporting mechanisms:</w:t>
      </w:r>
    </w:p>
    <w:p>
      <w:pPr>
        <w:spacing w:after="0" w:line="131" w:lineRule="exact"/>
        <w:rPr>
          <w:sz w:val="20"/>
          <w:szCs w:val="20"/>
          <w:color w:val="auto"/>
        </w:rPr>
      </w:pPr>
    </w:p>
    <w:p>
      <w:pPr>
        <w:jc w:val="both"/>
        <w:ind w:left="1300" w:hanging="320"/>
        <w:spacing w:after="0" w:line="221"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Reporting within GE businesses to leadership</w:t>
      </w:r>
      <w:r>
        <w:rPr>
          <w:rFonts w:ascii="Arial" w:cs="Arial" w:eastAsia="Arial" w:hAnsi="Arial"/>
          <w:sz w:val="18"/>
          <w:szCs w:val="18"/>
          <w:color w:val="auto"/>
        </w:rPr>
        <w:t>: Each GE business conducted one or more reviews of its 3TG due</w:t>
      </w:r>
      <w:r>
        <w:rPr>
          <w:rFonts w:ascii="Arial" w:cs="Arial" w:eastAsia="Arial" w:hAnsi="Arial"/>
          <w:sz w:val="18"/>
          <w:szCs w:val="18"/>
          <w:b w:val="1"/>
          <w:bCs w:val="1"/>
          <w:color w:val="auto"/>
        </w:rPr>
        <w:t xml:space="preserve"> </w:t>
      </w:r>
      <w:r>
        <w:rPr>
          <w:rFonts w:ascii="Arial" w:cs="Arial" w:eastAsia="Arial" w:hAnsi="Arial"/>
          <w:sz w:val="18"/>
          <w:szCs w:val="18"/>
          <w:color w:val="auto"/>
        </w:rPr>
        <w:t>diligence program with senior management within its organization, covering supply chain risks and efforts to achieve supply chain transparency; and</w:t>
      </w:r>
    </w:p>
    <w:p>
      <w:pPr>
        <w:spacing w:after="0" w:line="1" w:lineRule="exact"/>
        <w:rPr>
          <w:rFonts w:ascii="Arial" w:cs="Arial" w:eastAsia="Arial" w:hAnsi="Arial"/>
          <w:sz w:val="22"/>
          <w:szCs w:val="22"/>
          <w:color w:val="auto"/>
        </w:rPr>
      </w:pPr>
    </w:p>
    <w:p>
      <w:pPr>
        <w:ind w:left="1300" w:hanging="320"/>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Communicating across GE businesses: </w:t>
      </w:r>
      <w:r>
        <w:rPr>
          <w:rFonts w:ascii="Arial" w:cs="Arial" w:eastAsia="Arial" w:hAnsi="Arial"/>
          <w:sz w:val="18"/>
          <w:szCs w:val="18"/>
          <w:color w:val="auto"/>
        </w:rPr>
        <w:t>The Company’s 3TG Working Group held regularly scheduled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year, with representation from functions such as engineering, supply chain management and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color w:val="auto"/>
        </w:rPr>
        <w:t>C. Establish a system of controls and transparency over the 3TG supply chain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Identifying suppliers</w:t>
      </w:r>
      <w:r>
        <w:rPr>
          <w:rFonts w:ascii="Arial" w:cs="Arial" w:eastAsia="Arial" w:hAnsi="Arial"/>
          <w:sz w:val="18"/>
          <w:szCs w:val="18"/>
          <w:color w:val="auto"/>
        </w:rPr>
        <w:t>. Each GE business identified:</w:t>
      </w:r>
    </w:p>
    <w:p>
      <w:pPr>
        <w:spacing w:after="0" w:line="144" w:lineRule="exact"/>
        <w:rPr>
          <w:sz w:val="20"/>
          <w:szCs w:val="20"/>
          <w:color w:val="auto"/>
        </w:rPr>
      </w:pPr>
    </w:p>
    <w:p>
      <w:pPr>
        <w:jc w:val="both"/>
        <w:ind w:left="1300" w:hanging="320"/>
        <w:spacing w:after="0" w:line="23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Relevant Suppliers: </w:t>
      </w:r>
      <w:r>
        <w:rPr>
          <w:rFonts w:ascii="Arial" w:cs="Arial" w:eastAsia="Arial" w:hAnsi="Arial"/>
          <w:sz w:val="18"/>
          <w:szCs w:val="18"/>
          <w:color w:val="auto"/>
        </w:rPr>
        <w:t>suppliers that provide inputs to GE products that are known or are likely to contain 3TG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that is based on an examination of internal records such as bills of material or other product specifications, a qualitative review of sourcing records, or information provided by the supplier; and</w:t>
      </w:r>
    </w:p>
    <w:p>
      <w:pPr>
        <w:ind w:left="1300" w:hanging="320"/>
        <w:spacing w:after="0" w:line="246"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Significant Suppliers: </w:t>
      </w:r>
      <w:r>
        <w:rPr>
          <w:rFonts w:ascii="Arial" w:cs="Arial" w:eastAsia="Arial" w:hAnsi="Arial"/>
          <w:sz w:val="18"/>
          <w:szCs w:val="18"/>
          <w:color w:val="auto"/>
        </w:rPr>
        <w:t>those suppliers within the universe of Relevant Suppliers that are most significant to GE’s 3TG due</w:t>
      </w:r>
      <w:r>
        <w:rPr>
          <w:rFonts w:ascii="Arial" w:cs="Arial" w:eastAsia="Arial" w:hAnsi="Arial"/>
          <w:sz w:val="18"/>
          <w:szCs w:val="18"/>
          <w:b w:val="1"/>
          <w:bCs w:val="1"/>
          <w:color w:val="auto"/>
        </w:rPr>
        <w:t xml:space="preserve"> </w:t>
      </w:r>
      <w:r>
        <w:rPr>
          <w:rFonts w:ascii="Arial" w:cs="Arial" w:eastAsia="Arial" w:hAnsi="Arial"/>
          <w:sz w:val="18"/>
          <w:szCs w:val="18"/>
          <w:color w:val="auto"/>
        </w:rPr>
        <w:t>diligence program, using criteria developed by each business, such as the amount of sourcing spend with the supplier.</w:t>
      </w:r>
    </w:p>
    <w:p>
      <w:pPr>
        <w:spacing w:after="0" w:line="12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Identifying smelters and refiners in the supply chain</w:t>
      </w:r>
      <w:r>
        <w:rPr>
          <w:rFonts w:ascii="Arial" w:cs="Arial" w:eastAsia="Arial" w:hAnsi="Arial"/>
          <w:sz w:val="18"/>
          <w:szCs w:val="18"/>
          <w:color w:val="auto"/>
        </w:rPr>
        <w:t>. Each GE business identified smelters and refiners of 3TG that are first-tier</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to GE and used its best efforts to identify additional smelters and refiners by surveying Significant Suppliers, either directly or</w:t>
      </w:r>
    </w:p>
    <w:p>
      <w:pPr>
        <w:spacing w:after="0" w:line="236" w:lineRule="auto"/>
        <w:rPr>
          <w:sz w:val="20"/>
          <w:szCs w:val="20"/>
          <w:color w:val="auto"/>
        </w:rPr>
      </w:pPr>
      <w:r>
        <w:rPr>
          <w:rFonts w:ascii="Arial" w:cs="Arial" w:eastAsia="Arial" w:hAnsi="Arial"/>
          <w:sz w:val="18"/>
          <w:szCs w:val="18"/>
          <w:color w:val="auto"/>
        </w:rPr>
        <w:t>indirectly through an independent third-party supply chain expert, using the Responsible Minerals Initiative’s (“RMI”) CMRT. The survey tools</w:t>
      </w:r>
    </w:p>
    <w:p>
      <w:pPr>
        <w:spacing w:after="0" w:line="226" w:lineRule="auto"/>
        <w:rPr>
          <w:sz w:val="20"/>
          <w:szCs w:val="20"/>
          <w:color w:val="auto"/>
        </w:rPr>
      </w:pPr>
      <w:r>
        <w:rPr>
          <w:rFonts w:ascii="Arial" w:cs="Arial" w:eastAsia="Arial" w:hAnsi="Arial"/>
          <w:sz w:val="18"/>
          <w:szCs w:val="18"/>
          <w:color w:val="auto"/>
        </w:rPr>
        <w:t>are designed to collect, manage and archive supplier information relevant for 3TG due diligence including, among other things, the identity of smelters or refiners (“SORs”) of 3TG in each supplier’s supply chain, as well as information concerning their related compliance efforts. Each</w:t>
      </w:r>
    </w:p>
    <w:p>
      <w:pPr>
        <w:spacing w:after="0" w:line="236" w:lineRule="auto"/>
        <w:rPr>
          <w:sz w:val="20"/>
          <w:szCs w:val="20"/>
          <w:color w:val="auto"/>
        </w:rPr>
      </w:pPr>
      <w:r>
        <w:rPr>
          <w:rFonts w:ascii="Arial" w:cs="Arial" w:eastAsia="Arial" w:hAnsi="Arial"/>
          <w:sz w:val="18"/>
          <w:szCs w:val="18"/>
          <w:color w:val="auto"/>
        </w:rPr>
        <w:t>GE business reviews Significant Supplier responses for completeness, accuracy and plausibility and follows up with Significant Suppliers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whose survey responses are identified as having potentially incomplete or inaccurate information, in order to seek more complete information.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Conducting a reasonable country of origin inquiry (“RCOI”)</w:t>
      </w:r>
      <w:r>
        <w:rPr>
          <w:rFonts w:ascii="Arial" w:cs="Arial" w:eastAsia="Arial" w:hAnsi="Arial"/>
          <w:sz w:val="18"/>
          <w:szCs w:val="18"/>
          <w:color w:val="auto"/>
        </w:rPr>
        <w:t>. In connection with our due diligence, we utilize and rely on</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information made available through the Responsible Minerals Assurance Process (“RMAP”) administered by RMI, concerning independent third-party audits of smelters and refiners to assess smelter and refiner due diligence and to identify countries of origin. Where the data</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showed that ores utilized by one or more of these smelters or refiners were potentially sourced from a Covered Country, GE concluded that there is reason to believe that 3TG from the Covered Countries may be present in the products for which such smelters or refiners were</w:t>
      </w:r>
    </w:p>
    <w:p>
      <w:pPr>
        <w:spacing w:after="0" w:line="236" w:lineRule="auto"/>
        <w:rPr>
          <w:sz w:val="20"/>
          <w:szCs w:val="20"/>
          <w:color w:val="auto"/>
        </w:rPr>
      </w:pPr>
      <w:r>
        <w:rPr>
          <w:rFonts w:ascii="Arial" w:cs="Arial" w:eastAsia="Arial" w:hAnsi="Arial"/>
          <w:sz w:val="18"/>
          <w:szCs w:val="18"/>
          <w:color w:val="auto"/>
        </w:rPr>
        <w:t>reported as potentially in the supply chain. Due to business confidentiality and other competitive concerns, as recognized by the OECD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Guidance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RMI does not publish detailed information on specific mines and location of origin of ores that supply the SORs subject to verification reviews. Consequently, no such information is provided in this Report. RMI’s efforts to determine such information is described on</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RMI website (see “Where You Can Find Additional Information” below). In addition, certain Significant Suppliers provided CMRTs with mine or location of origin information, and that information was also included in our RCOI.</w:t>
      </w:r>
    </w:p>
    <w:p>
      <w:pPr>
        <w:spacing w:after="0" w:line="10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b w:val="1"/>
          <w:bCs w:val="1"/>
          <w:color w:val="auto"/>
        </w:rPr>
        <w:t>Records retention</w:t>
      </w:r>
      <w:r>
        <w:rPr>
          <w:rFonts w:ascii="Arial" w:cs="Arial" w:eastAsia="Arial" w:hAnsi="Arial"/>
          <w:sz w:val="18"/>
          <w:szCs w:val="18"/>
          <w:color w:val="auto"/>
        </w:rPr>
        <w:t>. We have a records retention policy providing for the maintenance on a computerized database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relating to 3TG due diligence, including records of due diligence processes, findings and resulting decisions, for at least five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Strengthen company engagement with suppliers</w:t>
      </w:r>
    </w:p>
    <w:p>
      <w:pPr>
        <w:spacing w:after="0" w:line="144"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Regular communications</w:t>
      </w:r>
      <w:r>
        <w:rPr>
          <w:rFonts w:ascii="Arial" w:cs="Arial" w:eastAsia="Arial" w:hAnsi="Arial"/>
          <w:sz w:val="18"/>
          <w:szCs w:val="18"/>
          <w:color w:val="auto"/>
        </w:rPr>
        <w:t>. GE regularly communicates its expectations on responsible supply chains of 3TG by transmitting</w:t>
      </w:r>
      <w:r>
        <w:rPr>
          <w:rFonts w:ascii="Arial" w:cs="Arial" w:eastAsia="Arial" w:hAnsi="Arial"/>
          <w:sz w:val="18"/>
          <w:szCs w:val="18"/>
          <w:b w:val="1"/>
          <w:bCs w:val="1"/>
          <w:color w:val="auto"/>
        </w:rPr>
        <w:t xml:space="preserve"> </w:t>
      </w:r>
      <w:r>
        <w:rPr>
          <w:rFonts w:ascii="Arial" w:cs="Arial" w:eastAsia="Arial" w:hAnsi="Arial"/>
          <w:sz w:val="18"/>
          <w:szCs w:val="18"/>
          <w:color w:val="auto"/>
        </w:rPr>
        <w:t>surveys and other communications from the sourcing organizations of the GE businesses to Significant Suppliers and other Relevant</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Suppliers. In addition, we encourage our suppliers to participate in training on GE’s 3TG due diligence program and other appropriate third-party training to enhance the accuracy and quality of the information that suppliers provide to us.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Contractual obligations</w:t>
      </w:r>
      <w:r>
        <w:rPr>
          <w:rFonts w:ascii="Arial" w:cs="Arial" w:eastAsia="Arial" w:hAnsi="Arial"/>
          <w:sz w:val="18"/>
          <w:szCs w:val="18"/>
          <w:color w:val="auto"/>
        </w:rPr>
        <w:t>. Each GE business has standard vendor terms and conditions that contractually obligate suppliers to (1)</w:t>
      </w:r>
    </w:p>
    <w:p>
      <w:pPr>
        <w:spacing w:after="0" w:line="18" w:lineRule="exact"/>
        <w:rPr>
          <w:sz w:val="20"/>
          <w:szCs w:val="20"/>
          <w:color w:val="auto"/>
        </w:rPr>
      </w:pPr>
    </w:p>
    <w:p>
      <w:pPr>
        <w:jc w:val="both"/>
        <w:ind w:left="80"/>
        <w:spacing w:after="0" w:line="226" w:lineRule="auto"/>
        <w:rPr>
          <w:sz w:val="20"/>
          <w:szCs w:val="20"/>
          <w:color w:val="auto"/>
        </w:rPr>
      </w:pPr>
      <w:r>
        <w:rPr>
          <w:rFonts w:ascii="Arial" w:cs="Arial" w:eastAsia="Arial" w:hAnsi="Arial"/>
          <w:sz w:val="18"/>
          <w:szCs w:val="18"/>
          <w:color w:val="auto"/>
        </w:rPr>
        <w:t xml:space="preserve">adopt policies and establish systems to procure 3TG from sources that have been verified as conflict free; and (2) provide supporting data on their 3TG supply chains to GE when requested, on a platform to be designated by GE. These obligations are reflected in GE’s </w:t>
      </w:r>
      <w:r>
        <w:rPr>
          <w:rFonts w:ascii="Arial" w:cs="Arial" w:eastAsia="Arial" w:hAnsi="Arial"/>
          <w:sz w:val="18"/>
          <w:szCs w:val="18"/>
          <w:i w:val="1"/>
          <w:iCs w:val="1"/>
          <w:color w:val="auto"/>
        </w:rPr>
        <w:t>Integrity</w:t>
      </w:r>
    </w:p>
    <w:p>
      <w:pPr>
        <w:spacing w:after="0" w:line="2" w:lineRule="exact"/>
        <w:rPr>
          <w:sz w:val="20"/>
          <w:szCs w:val="20"/>
          <w:color w:val="auto"/>
        </w:rPr>
      </w:pPr>
    </w:p>
    <w:p>
      <w:pPr>
        <w:jc w:val="both"/>
        <w:ind w:left="80"/>
        <w:spacing w:after="0" w:line="238" w:lineRule="auto"/>
        <w:rPr>
          <w:sz w:val="20"/>
          <w:szCs w:val="20"/>
          <w:color w:val="auto"/>
        </w:rPr>
      </w:pPr>
      <w:r>
        <w:rPr>
          <w:rFonts w:ascii="Arial" w:cs="Arial" w:eastAsia="Arial" w:hAnsi="Arial"/>
          <w:sz w:val="18"/>
          <w:szCs w:val="18"/>
          <w:i w:val="1"/>
          <w:iCs w:val="1"/>
          <w:color w:val="auto"/>
        </w:rPr>
        <w:t xml:space="preserve">Guide for Suppliers, Contractors and Consultants </w:t>
      </w:r>
      <w:r>
        <w:rPr>
          <w:rFonts w:ascii="Arial" w:cs="Arial" w:eastAsia="Arial" w:hAnsi="Arial"/>
          <w:sz w:val="18"/>
          <w:szCs w:val="18"/>
          <w:color w:val="auto"/>
        </w:rPr>
        <w:t>(“Integrity Guide”), which can be found on GE’s website (see “Where You Can Find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below). Purchase order and contract terms and conditions in use by GE businesses require suppliers to conform their behavior to the Integrity Guide (including a requirement to report suspected or confirmed violations of the guide), and generally provide GE with audit rights and the right to terminate the contract in the event of material non-compliance</w:t>
      </w:r>
      <w:r>
        <w:rPr>
          <w:rFonts w:ascii="Arial" w:cs="Arial" w:eastAsia="Arial" w:hAnsi="Arial"/>
          <w:sz w:val="18"/>
          <w:szCs w:val="18"/>
          <w:i w:val="1"/>
          <w:iCs w:val="1"/>
          <w:color w:val="auto"/>
        </w:rPr>
        <w: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Establish a company-level grievance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9" w:right="339" w:bottom="1440" w:gutter="0" w:footer="0" w:header="0"/>
        </w:sectPr>
      </w:pPr>
    </w:p>
    <w:bookmarkStart w:id="6" w:name="page7"/>
    <w:bookmarkEnd w:id="6"/>
    <w:p>
      <w:pPr>
        <w:spacing w:after="0" w:line="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b w:val="1"/>
          <w:bCs w:val="1"/>
          <w:color w:val="auto"/>
        </w:rPr>
        <w:t>Integrity Guide</w:t>
      </w:r>
      <w:r>
        <w:rPr>
          <w:rFonts w:ascii="Arial" w:cs="Arial" w:eastAsia="Arial" w:hAnsi="Arial"/>
          <w:sz w:val="18"/>
          <w:szCs w:val="18"/>
          <w:color w:val="auto"/>
        </w:rPr>
        <w:t>. The Integrity Guide provides multiple methods for suppliers and supplier personnel to raise concerns about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subject to the Integrity Guide, including GE’s expectations of suppliers regarding 3TG due diligence.</w:t>
      </w:r>
    </w:p>
    <w:p>
      <w:pPr>
        <w:spacing w:after="0" w:line="3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Open reporting system</w:t>
      </w:r>
      <w:r>
        <w:rPr>
          <w:rFonts w:ascii="Arial" w:cs="Arial" w:eastAsia="Arial" w:hAnsi="Arial"/>
          <w:sz w:val="18"/>
          <w:szCs w:val="18"/>
          <w:color w:val="auto"/>
        </w:rPr>
        <w:t>. Each GE business also has an open reporting system through which employees and third parties may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concerns about policy violations, including concerns related to our 3TG policies. Concerns can be reported anonymously or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attribution through several channels, including any compliance resource (e.g. GE legal counsel or auditor), by calling the GE Corporate Ombuds line at (800) 227-5003, or by emailing the GE Ombudsperson at ombudsperson@ge.com. As an RMI member, we also recognize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RMI Grievance Mechanism as a mechanism for third parties to submit grievances concerning the 3TG supply chain.</w:t>
      </w:r>
    </w:p>
    <w:p>
      <w:pPr>
        <w:spacing w:after="0" w:line="8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No retaliation</w:t>
      </w:r>
      <w:r>
        <w:rPr>
          <w:rFonts w:ascii="Arial" w:cs="Arial" w:eastAsia="Arial" w:hAnsi="Arial"/>
          <w:sz w:val="18"/>
          <w:szCs w:val="18"/>
          <w:color w:val="auto"/>
        </w:rPr>
        <w:t>. Both the Integrity Guide and the open reporting system forbid retaliation against any person reporting an integrity</w:t>
      </w:r>
      <w:r>
        <w:rPr>
          <w:rFonts w:ascii="Arial" w:cs="Arial" w:eastAsia="Arial" w:hAnsi="Arial"/>
          <w:sz w:val="18"/>
          <w:szCs w:val="18"/>
          <w:b w:val="1"/>
          <w:bCs w:val="1"/>
          <w:color w:val="auto"/>
        </w:rPr>
        <w:t xml:space="preserve"> </w:t>
      </w:r>
      <w:r>
        <w:rPr>
          <w:rFonts w:ascii="Arial" w:cs="Arial" w:eastAsia="Arial" w:hAnsi="Arial"/>
          <w:sz w:val="18"/>
          <w:szCs w:val="18"/>
          <w:color w:val="auto"/>
        </w:rPr>
        <w:t>concern.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Step 2: Identify and assess risks in the supply chain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Use best efforts to identify the smelters and refiners in the supply chain</w:t>
      </w:r>
    </w:p>
    <w:p>
      <w:pPr>
        <w:spacing w:after="0" w:line="168"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During 2022, using the processes described above under “Establish a system of controls and transparency over the 3TG supply chain,” GE businesses identified 1,825 Significant Suppliers (down from 2,446 in 2021). This year-over-year change is primarily the result of</w:t>
      </w:r>
    </w:p>
    <w:p>
      <w:pPr>
        <w:spacing w:after="0" w:line="236" w:lineRule="auto"/>
        <w:rPr>
          <w:sz w:val="20"/>
          <w:szCs w:val="20"/>
          <w:color w:val="auto"/>
        </w:rPr>
      </w:pPr>
      <w:r>
        <w:rPr>
          <w:rFonts w:ascii="Arial" w:cs="Arial" w:eastAsia="Arial" w:hAnsi="Arial"/>
          <w:sz w:val="18"/>
          <w:szCs w:val="18"/>
          <w:color w:val="auto"/>
        </w:rPr>
        <w:t>continued improvement efforts for supplier selection. The businesses followed up with the Significant Suppliers that did not respond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request within the specified time frame. The information was requested from each Significant Supplier multiple times by email and phone, to the extent the supplier continued to be non-responsive. Our Significant Suppliers, mostly reporting at a company level, identified 344 SORs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that were potentially in their supply chains (up from 335 in 2021). See </w:t>
      </w:r>
      <w:r>
        <w:rPr>
          <w:rFonts w:ascii="Arial" w:cs="Arial" w:eastAsia="Arial" w:hAnsi="Arial"/>
          <w:sz w:val="18"/>
          <w:szCs w:val="18"/>
          <w:u w:val="single" w:color="auto"/>
          <w:color w:val="auto"/>
        </w:rPr>
        <w:t>Table A</w:t>
      </w:r>
      <w:r>
        <w:rPr>
          <w:rFonts w:ascii="Arial" w:cs="Arial" w:eastAsia="Arial" w:hAnsi="Arial"/>
          <w:sz w:val="18"/>
          <w:szCs w:val="18"/>
          <w:color w:val="auto"/>
        </w:rPr>
        <w:t xml:space="preserve"> below for a list of these SORs and a summary of their validation status under the RMAP.</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Identify the scope of the risk assessment of the 3TG supply chain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Engaging with suppliers</w:t>
      </w:r>
      <w:r>
        <w:rPr>
          <w:rFonts w:ascii="Arial" w:cs="Arial" w:eastAsia="Arial" w:hAnsi="Arial"/>
          <w:sz w:val="18"/>
          <w:szCs w:val="18"/>
          <w:color w:val="auto"/>
        </w:rPr>
        <w:t>. GE’s 3TG supplier survey asks suppliers to identify smelters and refiners of 3TG in their supply chains.</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 Significant Suppliers that are identified as either not having a responsible 3TG sourcing policy or not implementing due diligence measures for conflict-free sourcing, we encourage those suppliers to implement such measures. We seek to engage our Significant</w:t>
      </w:r>
    </w:p>
    <w:p>
      <w:pPr>
        <w:spacing w:after="0" w:line="236" w:lineRule="auto"/>
        <w:rPr>
          <w:sz w:val="20"/>
          <w:szCs w:val="20"/>
          <w:color w:val="auto"/>
        </w:rPr>
      </w:pPr>
      <w:r>
        <w:rPr>
          <w:rFonts w:ascii="Arial" w:cs="Arial" w:eastAsia="Arial" w:hAnsi="Arial"/>
          <w:sz w:val="18"/>
          <w:szCs w:val="18"/>
          <w:color w:val="auto"/>
        </w:rPr>
        <w:t>Suppliers to encourage the smelters and refiners in their supply chains to become validated as Conformant (as defined below) by the RMAP</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or a similar program. In addition, in 2022, we conducted outreach, and through our independent third-party supply chain expert, we offered additional training to Significant Suppliers in the form of three webinar sessions, which had more than 500 attendees.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 seeks to continue to improve 3TG due diligence efforts to reduce 3TG supply chain risk by encouraging suppliers to source from</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Conformant smelters and refiners. As a result, we believe that 64% of the smelters and refiners identified by our Significant Suppliers have been verified as Conformant (up from 35% in 2013, when we started our 3TG due diligence program).</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Engaging with smelters and refiners. </w:t>
      </w:r>
      <w:r>
        <w:rPr>
          <w:rFonts w:ascii="Arial" w:cs="Arial" w:eastAsia="Arial" w:hAnsi="Arial"/>
          <w:sz w:val="18"/>
          <w:szCs w:val="18"/>
          <w:color w:val="auto"/>
        </w:rPr>
        <w:t>For SORs who were identified as not Conformant and potentially in our supply chain, our</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independent third-party supply chain expert sent letters on our behalf, first in December of 2022 and again in April of 2023, encouraging such SORs to participate in the RMAP or an equivalent cross-recognized assessment protocol. See “Devise and adopt a risk management plan”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below for additional information on our engagement efforts.</w:t>
      </w:r>
    </w:p>
    <w:p>
      <w:pPr>
        <w:spacing w:after="0" w:line="68" w:lineRule="exact"/>
        <w:rPr>
          <w:sz w:val="20"/>
          <w:szCs w:val="20"/>
          <w:color w:val="auto"/>
        </w:rPr>
      </w:pPr>
    </w:p>
    <w:p>
      <w:pPr>
        <w:ind w:left="660"/>
        <w:spacing w:after="0" w:line="285" w:lineRule="auto"/>
        <w:rPr>
          <w:sz w:val="20"/>
          <w:szCs w:val="20"/>
          <w:color w:val="auto"/>
        </w:rPr>
      </w:pPr>
      <w:r>
        <w:rPr>
          <w:rFonts w:ascii="Arial" w:cs="Arial" w:eastAsia="Arial" w:hAnsi="Arial"/>
          <w:sz w:val="18"/>
          <w:szCs w:val="18"/>
          <w:b w:val="1"/>
          <w:bCs w:val="1"/>
          <w:color w:val="auto"/>
        </w:rPr>
        <w:t>C. Assess whether the smelters/refiners have carried out all elements of due diligence for responsible supply chains of 3TG from conflict-affected and high-risk areas</w:t>
      </w:r>
    </w:p>
    <w:p>
      <w:pPr>
        <w:spacing w:after="0" w:line="85"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We review the smelter and refiner information provided by the Significant Suppliers against the Smelter Look-up tab list of the CMRT and to the extent that a SOR identified by a Significant Supplier is not on that list, we take additional steps to verify whether the listed entity is</w:t>
      </w:r>
    </w:p>
    <w:p>
      <w:pPr>
        <w:spacing w:after="0" w:line="236" w:lineRule="auto"/>
        <w:rPr>
          <w:sz w:val="20"/>
          <w:szCs w:val="20"/>
          <w:color w:val="auto"/>
        </w:rPr>
      </w:pPr>
      <w:r>
        <w:rPr>
          <w:rFonts w:ascii="Arial" w:cs="Arial" w:eastAsia="Arial" w:hAnsi="Arial"/>
          <w:sz w:val="18"/>
          <w:szCs w:val="18"/>
          <w:color w:val="auto"/>
        </w:rPr>
        <w:t>a SOR. Identified SORs were reviewed against the RMI’s list of Conformant and Active (as defined below) smelters and refiners. If a SOR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identified by a Significant Supplier is not listed as Conformant, or equivalent by another RMI cross-recognized, independent third-party audit program, we consult publicly available information or through industry associations, we attempt to contact the SOR to attempt to determine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whether that SOR has a responsible 3TG sourcing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ind w:left="660"/>
        <w:spacing w:after="0" w:line="285" w:lineRule="auto"/>
        <w:rPr>
          <w:sz w:val="20"/>
          <w:szCs w:val="20"/>
          <w:color w:val="auto"/>
        </w:rPr>
      </w:pPr>
      <w:r>
        <w:rPr>
          <w:rFonts w:ascii="Arial" w:cs="Arial" w:eastAsia="Arial" w:hAnsi="Arial"/>
          <w:sz w:val="18"/>
          <w:szCs w:val="18"/>
          <w:b w:val="1"/>
          <w:bCs w:val="1"/>
          <w:color w:val="auto"/>
        </w:rPr>
        <w:t>D. Where necessary, carry out joint spot checks at the mineral smelter or refiner’s own facilities (including through participation in industry-driven programs)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First-tier suppliers</w:t>
      </w:r>
      <w:r>
        <w:rPr>
          <w:rFonts w:ascii="Arial" w:cs="Arial" w:eastAsia="Arial" w:hAnsi="Arial"/>
          <w:sz w:val="18"/>
          <w:szCs w:val="18"/>
          <w:color w:val="auto"/>
        </w:rPr>
        <w:t>. Each GE business is responsible for confirming that each of its first-tier suppliers that are smelters and refiners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(if any):</w:t>
      </w:r>
    </w:p>
    <w:p>
      <w:pPr>
        <w:spacing w:after="0" w:line="194"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policy and procedures to eliminate sourcing of conflict-supporting 3TG;</w:t>
      </w:r>
    </w:p>
    <w:p>
      <w:pPr>
        <w:ind w:left="1300" w:hanging="320"/>
        <w:spacing w:after="0" w:line="23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been subject to an audit of the origin of their 3TG suppliers conducted in accordance with OECD Guidance or has made a firm commitment to undergo such an audit as soon as it can be scheduled; and</w:t>
      </w:r>
    </w:p>
    <w:p>
      <w:pPr>
        <w:spacing w:after="0" w:line="1" w:lineRule="exact"/>
        <w:rPr>
          <w:rFonts w:ascii="Arial" w:cs="Arial" w:eastAsia="Arial" w:hAnsi="Arial"/>
          <w:sz w:val="18"/>
          <w:szCs w:val="18"/>
          <w:color w:val="auto"/>
        </w:rPr>
      </w:pPr>
    </w:p>
    <w:p>
      <w:pPr>
        <w:ind w:left="1300" w:hanging="320"/>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passes the audit as being conflict-free or, having failed the audit, has established and put into place a plan to correct process deficiencies.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Lower-tier (upstream) suppliers</w:t>
      </w:r>
      <w:r>
        <w:rPr>
          <w:rFonts w:ascii="Arial" w:cs="Arial" w:eastAsia="Arial" w:hAnsi="Arial"/>
          <w:sz w:val="18"/>
          <w:szCs w:val="18"/>
          <w:color w:val="auto"/>
        </w:rPr>
        <w:t>. In accordance with OECD Guidance, including its audit recommendations for downstream</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companies, GE implements upstream audits by participating in and cooperating with industry organizations. GE is a member of RMI and has, periodically, supported RMI through membership on various committees and working groups. As such, GE relies on RMI to conduct risk</w:t>
      </w:r>
    </w:p>
    <w:p>
      <w:pPr>
        <w:spacing w:after="0" w:line="236" w:lineRule="auto"/>
        <w:rPr>
          <w:sz w:val="20"/>
          <w:szCs w:val="20"/>
          <w:color w:val="auto"/>
        </w:rPr>
      </w:pPr>
      <w:r>
        <w:rPr>
          <w:rFonts w:ascii="Arial" w:cs="Arial" w:eastAsia="Arial" w:hAnsi="Arial"/>
          <w:sz w:val="18"/>
          <w:szCs w:val="18"/>
          <w:color w:val="auto"/>
        </w:rPr>
        <w:t>assessment at the upstream level. For each smelter identified in its supply chain at the first or lower tiers, each GE business assesses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information available from RMI and an independent third-party supply chain expert to determine whether there are any high-risk (as defined below) smelters or refiners and, if needed, develops a corrective action plan. We encourage removing any high-risk smelters from our supply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chain.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Step 3: Design and implement a strategy to respond to identified risks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Report findings to designated senior management</w:t>
      </w:r>
    </w:p>
    <w:p>
      <w:pPr>
        <w:spacing w:after="0" w:line="208"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See “Structure internal management systems to support supply chain due diligence” above for a description of GE’s 3TG due diligence internal reporting processes.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Devise and adopt a risk management plan</w:t>
      </w:r>
    </w:p>
    <w:p>
      <w:pPr>
        <w:spacing w:after="0" w:line="154"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Each GE business compiles a report of 3TG risks identified in its supply chain for review by the GE business executive-level program owner to determine appropriate steps to mitigate risks identified during the 3TG due diligence process. In 2022, these steps focused 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encouraging Significant Suppliers who identified high-risk SORs to remove them from their supply chains. A high-risk SOR is one for which there are credible reports that such SOR sources materials in a manner that directly or indirectly finances armed conflict. In addition,</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Significant Suppliers who identified high-risk SORs were invited to attend training webinars conducted by our independent third-party supply chain expert.</w:t>
      </w:r>
    </w:p>
    <w:p>
      <w:pPr>
        <w:spacing w:after="0" w:line="117"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To the extent that identified SORs are not Conformant, we seek to exercise leverage over these SORs to become Conformant through our participation in and support of the RMI. We also utilize information provided by the RMI to its members to monitor smelter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refiner improvement. Our independent third-party supply chain expert sent letters on our behalf to SORs identified as not Conformant and potentially in our supply chain in December 2022 and again in April 2023, encouraging such SORs to participate in the RMAP or an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equivalent cross-recognized assessment protocol. In addition, in 2022, the Aerospace Industries Association (“AiA”), of which GE is a member, developed an outreach letter reiterating the AiA’s support for the RMI and RMAP process, to assist with RMI’s outreach efforts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smelters and refiners.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Step 4: Carry out independent 3rd party audit of smelter/refiner’s due diligence practices</w:t>
      </w:r>
    </w:p>
    <w:p>
      <w:pPr>
        <w:spacing w:after="0" w:line="14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See “Where necessary, carry out joint spot checks at the mineral smelter or refiner’s own facilities (including through participation in industry-driven programs)” above for a discussion of how GE conducted risk assessment at the upstream level.</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Step 5: Report annually on supply chain due diligence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file this Report annually, and a copy of it is available at https://www.ge.com/sustainability/reports-hub.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1F497D"/>
        </w:rPr>
        <w:t>RCOI and Due Diligence Results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 manufactures a wide range of products that contain 3TG. For a description of the products manufactured by GE in 2022, see the</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products description for each of our businesses on pages 8 - 15 of our 2022 Annual Report on Form 10-K, which you can find at https://www.ge.com/investor-relations/annual-report.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 purchases materials from a wide network of suppliers so we necessarily rely on them to assist with our due diligence process.</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After performing an RCOI and due diligence for 2022, based on information RMI makes available to its members, we have reason to believe that some of the necessary 3TG in our products were sourced from Covered Countries. We have no knowledge that any of the necessary</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3TG contained in our in-scope products directly or indirectly financed or benefitted armed groups in a Covered Country, but make no assertion that any of our products are “DRC conflict free.”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1F497D"/>
        </w:rPr>
        <w:t>SORs Used to Process 3TG in GE Products</w:t>
      </w:r>
    </w:p>
    <w:p>
      <w:pPr>
        <w:spacing w:after="0" w:line="217"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GE obtained information about the SORs used to process 3TG in our products through the due diligence measures described in this Report. Based on our due diligence for 2022, we believe that 64% of the smelters and refiners identified by our Significant Suppliers have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been verified as Conformant (up from 35% in 2013, when we started our 3TG due diligence program). </w:t>
      </w:r>
      <w:r>
        <w:rPr>
          <w:rFonts w:ascii="Arial" w:cs="Arial" w:eastAsia="Arial" w:hAnsi="Arial"/>
          <w:sz w:val="18"/>
          <w:szCs w:val="18"/>
          <w:u w:val="single" w:color="auto"/>
          <w:color w:val="auto"/>
        </w:rPr>
        <w:t>Table A</w:t>
      </w:r>
      <w:r>
        <w:rPr>
          <w:rFonts w:ascii="Arial" w:cs="Arial" w:eastAsia="Arial" w:hAnsi="Arial"/>
          <w:sz w:val="18"/>
          <w:szCs w:val="18"/>
          <w:color w:val="auto"/>
        </w:rPr>
        <w:t xml:space="preserve"> provides a list of SORs that GE’s Significant Suppliers identified as being present in their supply chains and that may have processed 3TG contained in in-scope 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1F497D"/>
        </w:rPr>
        <w:t>Countries of Origin of 3TG in GE Products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 relies on information RMI makes available to its members to obtain information about the country of origin and mine or location of</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origin of 3TG. </w:t>
      </w:r>
      <w:r>
        <w:rPr>
          <w:rFonts w:ascii="Arial" w:cs="Arial" w:eastAsia="Arial" w:hAnsi="Arial"/>
          <w:sz w:val="18"/>
          <w:szCs w:val="18"/>
          <w:u w:val="single" w:color="auto"/>
          <w:color w:val="auto"/>
        </w:rPr>
        <w:t>Table B</w:t>
      </w:r>
      <w:r>
        <w:rPr>
          <w:rFonts w:ascii="Arial" w:cs="Arial" w:eastAsia="Arial" w:hAnsi="Arial"/>
          <w:sz w:val="18"/>
          <w:szCs w:val="18"/>
          <w:color w:val="auto"/>
        </w:rPr>
        <w:t xml:space="preserve"> below contains a list of known countries of origin of 3TG used by SORs that GE suppliers identified as potentially being present in their supply chains.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2022, most Significant Suppliers provided company level responses, which may include country of origin information for parts not</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sold to GE. Therefore, we are unable to determine whether any 3TG in GE products was actually sourced from the countries listed in </w:t>
      </w:r>
      <w:r>
        <w:rPr>
          <w:rFonts w:ascii="Arial" w:cs="Arial" w:eastAsia="Arial" w:hAnsi="Arial"/>
          <w:sz w:val="18"/>
          <w:szCs w:val="18"/>
          <w:u w:val="single" w:color="auto"/>
          <w:color w:val="auto"/>
        </w:rPr>
        <w:t>Table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For 2022, we were not able to determine the country of origin for the 3TG processed by any of the smelters or refiners listed as “Active”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Smelter Look-up Tab List Only.”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Future Risk Mitigation Efforts</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2023 actions to improve due diligence and supplier engagement</w:t>
      </w:r>
      <w:r>
        <w:rPr>
          <w:rFonts w:ascii="Arial" w:cs="Arial" w:eastAsia="Arial" w:hAnsi="Arial"/>
          <w:sz w:val="18"/>
          <w:szCs w:val="18"/>
          <w:color w:val="auto"/>
        </w:rPr>
        <w:t>. GE intends to take the following steps in 2023 to improve 3TG</w:t>
      </w:r>
      <w:r>
        <w:rPr>
          <w:rFonts w:ascii="Arial" w:cs="Arial" w:eastAsia="Arial" w:hAnsi="Arial"/>
          <w:sz w:val="18"/>
          <w:szCs w:val="18"/>
          <w:b w:val="1"/>
          <w:bCs w:val="1"/>
          <w:color w:val="auto"/>
        </w:rPr>
        <w:t xml:space="preserve"> </w:t>
      </w:r>
      <w:r>
        <w:rPr>
          <w:rFonts w:ascii="Arial" w:cs="Arial" w:eastAsia="Arial" w:hAnsi="Arial"/>
          <w:sz w:val="18"/>
          <w:szCs w:val="18"/>
          <w:color w:val="auto"/>
        </w:rPr>
        <w:t>due diligence and thereby seek to mitigate the risk that 3TG contained in in-scope GE products may benefit armed groups:</w:t>
      </w:r>
    </w:p>
    <w:p>
      <w:pPr>
        <w:spacing w:after="0" w:line="176" w:lineRule="exact"/>
        <w:rPr>
          <w:sz w:val="20"/>
          <w:szCs w:val="20"/>
          <w:color w:val="auto"/>
        </w:rPr>
      </w:pPr>
    </w:p>
    <w:p>
      <w:pPr>
        <w:jc w:val="both"/>
        <w:ind w:left="1300" w:hanging="320"/>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communication and training for suppliers and spread best practices learned during execution of the 3TG due diligence process in 2022 across the GE businesses to continue to work to improve the percentage of Significant Suppliers responding to GE’s supply chain surveys and the quality of their responses;</w:t>
      </w:r>
    </w:p>
    <w:p>
      <w:pPr>
        <w:ind w:left="1300" w:hanging="320"/>
        <w:spacing w:after="0" w:line="22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request that certain Significant Suppliers that provided company level information for 2022 provide product level information for 2023, through ongoing outreach with these Significant Suppliers;</w:t>
      </w:r>
    </w:p>
    <w:p>
      <w:pPr>
        <w:spacing w:after="0" w:line="1" w:lineRule="exact"/>
        <w:rPr>
          <w:rFonts w:ascii="Arial" w:cs="Arial" w:eastAsia="Arial" w:hAnsi="Arial"/>
          <w:sz w:val="18"/>
          <w:szCs w:val="18"/>
          <w:color w:val="auto"/>
        </w:rPr>
      </w:pPr>
    </w:p>
    <w:p>
      <w:pPr>
        <w:jc w:val="both"/>
        <w:ind w:left="1300" w:hanging="320"/>
        <w:spacing w:after="0" w:line="22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the identification of and communication with smelters and refiners in GE’s supply chain, both directly and indirectly through GE’s Significant Suppliers and upstream distributors, in order to continue to increase the number of smelters and refiners that participate in the RMAP; and</w:t>
      </w:r>
    </w:p>
    <w:p>
      <w:pPr>
        <w:spacing w:after="0" w:line="1"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participate in industry initiatives encouraging responsible supply chains, including initiatives to add cobalt, mica and other minerals to the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ind w:left="10440"/>
        <w:spacing w:after="0"/>
        <w:rPr>
          <w:sz w:val="20"/>
          <w:szCs w:val="20"/>
          <w:color w:val="auto"/>
        </w:rPr>
      </w:pPr>
      <w:r>
        <w:rPr>
          <w:rFonts w:ascii="Arial" w:cs="Arial" w:eastAsia="Arial" w:hAnsi="Arial"/>
          <w:sz w:val="19"/>
          <w:szCs w:val="19"/>
          <w:b w:val="1"/>
          <w:bCs w:val="1"/>
          <w:color w:val="auto"/>
        </w:rPr>
        <w:t>Annex A</w:t>
      </w: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Capitalized terms used and not otherwise defined in this Annex have the meanings set forth in the Conflict Minerals Report of which this Annex is a part.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2060"/>
        </w:rPr>
        <w:t>Table A</w:t>
      </w:r>
    </w:p>
    <w:p>
      <w:pPr>
        <w:jc w:val="center"/>
        <w:spacing w:after="0"/>
        <w:rPr>
          <w:sz w:val="20"/>
          <w:szCs w:val="20"/>
          <w:color w:val="auto"/>
        </w:rPr>
      </w:pPr>
      <w:r>
        <w:rPr>
          <w:rFonts w:ascii="Arial" w:cs="Arial" w:eastAsia="Arial" w:hAnsi="Arial"/>
          <w:sz w:val="18"/>
          <w:szCs w:val="18"/>
          <w:color w:val="auto"/>
        </w:rPr>
        <w:t>(as of May 22, 2023)</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Smelters and Refiners</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180" w:type="dxa"/>
            <w:vAlign w:val="bottom"/>
            <w:tcBorders>
              <w:top w:val="single" w:sz="8" w:color="auto"/>
              <w:left w:val="single" w:sz="8" w:color="auto"/>
              <w:right w:val="single" w:sz="8" w:color="auto"/>
            </w:tcBorders>
          </w:tcPr>
          <w:p>
            <w:pPr>
              <w:spacing w:after="0"/>
              <w:rPr>
                <w:sz w:val="14"/>
                <w:szCs w:val="14"/>
                <w:color w:val="auto"/>
              </w:rPr>
            </w:pPr>
          </w:p>
        </w:tc>
        <w:tc>
          <w:tcPr>
            <w:tcW w:w="3020" w:type="dxa"/>
            <w:vAlign w:val="bottom"/>
            <w:tcBorders>
              <w:top w:val="single" w:sz="8" w:color="auto"/>
              <w:right w:val="single" w:sz="8" w:color="auto"/>
            </w:tcBorders>
            <w:gridSpan w:val="6"/>
            <w:vMerge w:val="restart"/>
          </w:tcPr>
          <w:p>
            <w:pPr>
              <w:ind w:left="140"/>
              <w:spacing w:after="0"/>
              <w:rPr>
                <w:sz w:val="20"/>
                <w:szCs w:val="20"/>
                <w:color w:val="auto"/>
              </w:rPr>
            </w:pPr>
            <w:r>
              <w:rPr>
                <w:rFonts w:ascii="Arial" w:cs="Arial" w:eastAsia="Arial" w:hAnsi="Arial"/>
                <w:sz w:val="14"/>
                <w:szCs w:val="14"/>
                <w:b w:val="1"/>
                <w:bCs w:val="1"/>
                <w:color w:val="auto"/>
              </w:rPr>
              <w:t>A. RMI Conformant Smelters &amp; Refiners</w:t>
            </w:r>
          </w:p>
        </w:tc>
        <w:tc>
          <w:tcPr>
            <w:tcW w:w="2280" w:type="dxa"/>
            <w:vAlign w:val="bottom"/>
            <w:tcBorders>
              <w:top w:val="single" w:sz="8" w:color="auto"/>
              <w:right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B. RMI Active Smelters &amp;</w:t>
            </w:r>
          </w:p>
        </w:tc>
        <w:tc>
          <w:tcPr>
            <w:tcW w:w="3440" w:type="dxa"/>
            <w:vAlign w:val="bottom"/>
            <w:tcBorders>
              <w:top w:val="single" w:sz="8" w:color="auto"/>
              <w:right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C. On Smelter Look-up Tab List Only</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right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1180" w:type="dxa"/>
            <w:vAlign w:val="bottom"/>
            <w:tcBorders>
              <w:left w:val="single" w:sz="8" w:color="auto"/>
              <w:right w:val="single" w:sz="8" w:color="auto"/>
            </w:tcBorders>
          </w:tcPr>
          <w:p>
            <w:pPr>
              <w:spacing w:after="0"/>
              <w:rPr>
                <w:sz w:val="10"/>
                <w:szCs w:val="10"/>
                <w:color w:val="auto"/>
              </w:rPr>
            </w:pPr>
          </w:p>
        </w:tc>
        <w:tc>
          <w:tcPr>
            <w:tcW w:w="3020" w:type="dxa"/>
            <w:vAlign w:val="bottom"/>
            <w:tcBorders>
              <w:right w:val="single" w:sz="8" w:color="auto"/>
            </w:tcBorders>
            <w:gridSpan w:val="6"/>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tcBorders>
              <w:right w:val="single" w:sz="8" w:color="auto"/>
            </w:tcBorders>
            <w:gridSpan w:val="4"/>
            <w:vMerge w:val="restart"/>
          </w:tcPr>
          <w:p>
            <w:pPr>
              <w:jc w:val="center"/>
              <w:ind w:right="740"/>
              <w:spacing w:after="0"/>
              <w:rPr>
                <w:sz w:val="20"/>
                <w:szCs w:val="20"/>
                <w:color w:val="auto"/>
              </w:rPr>
            </w:pPr>
            <w:r>
              <w:rPr>
                <w:rFonts w:ascii="Arial" w:cs="Arial" w:eastAsia="Arial" w:hAnsi="Arial"/>
                <w:sz w:val="14"/>
                <w:szCs w:val="14"/>
                <w:b w:val="1"/>
                <w:bCs w:val="1"/>
                <w:color w:val="auto"/>
              </w:rPr>
              <w:t>Refiners</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40" w:type="dxa"/>
            <w:vAlign w:val="bottom"/>
            <w:tcBorders>
              <w:right w:val="single" w:sz="8" w:color="auto"/>
            </w:tcBorders>
            <w:gridSpan w:val="4"/>
            <w:vMerge w:val="restart"/>
          </w:tcPr>
          <w:p>
            <w:pPr>
              <w:jc w:val="center"/>
              <w:ind w:right="1040"/>
              <w:spacing w:after="0"/>
              <w:rPr>
                <w:sz w:val="20"/>
                <w:szCs w:val="20"/>
                <w:color w:val="auto"/>
              </w:rPr>
            </w:pPr>
            <w:r>
              <w:rPr>
                <w:rFonts w:ascii="Arial" w:cs="Arial" w:eastAsia="Arial" w:hAnsi="Arial"/>
                <w:sz w:val="14"/>
                <w:szCs w:val="14"/>
                <w:b w:val="1"/>
                <w:bCs w:val="1"/>
                <w:color w:val="auto"/>
              </w:rPr>
              <w:t>Smelters &amp; Refiners</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8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gridSpan w:val="4"/>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40" w:type="dxa"/>
            <w:vAlign w:val="bottom"/>
            <w:tcBorders>
              <w:bottom w:val="single" w:sz="8" w:color="auto"/>
              <w:right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180" w:type="dxa"/>
            <w:vAlign w:val="bottom"/>
            <w:tcBorders>
              <w:left w:val="single" w:sz="8" w:color="auto"/>
              <w:right w:val="single" w:sz="8" w:color="auto"/>
            </w:tcBorders>
          </w:tcPr>
          <w:p>
            <w:pPr>
              <w:spacing w:after="0"/>
              <w:rPr>
                <w:sz w:val="13"/>
                <w:szCs w:val="13"/>
                <w:color w:val="auto"/>
              </w:rPr>
            </w:pPr>
          </w:p>
        </w:tc>
        <w:tc>
          <w:tcPr>
            <w:tcW w:w="860" w:type="dxa"/>
            <w:vAlign w:val="bottom"/>
            <w:gridSpan w:val="2"/>
          </w:tcPr>
          <w:p>
            <w:pPr>
              <w:jc w:val="center"/>
              <w:ind w:left="468"/>
              <w:spacing w:after="0" w:line="155" w:lineRule="exact"/>
              <w:rPr>
                <w:sz w:val="20"/>
                <w:szCs w:val="20"/>
                <w:color w:val="auto"/>
              </w:rPr>
            </w:pPr>
            <w:r>
              <w:rPr>
                <w:rFonts w:ascii="Arial" w:cs="Arial" w:eastAsia="Arial" w:hAnsi="Arial"/>
                <w:sz w:val="14"/>
                <w:szCs w:val="14"/>
                <w:color w:val="auto"/>
              </w:rPr>
              <w:t>2021</w:t>
            </w:r>
          </w:p>
        </w:tc>
        <w:tc>
          <w:tcPr>
            <w:tcW w:w="580" w:type="dxa"/>
            <w:vAlign w:val="bottom"/>
            <w:tcBorders>
              <w:right w:val="single" w:sz="8" w:color="auto"/>
            </w:tcBorders>
          </w:tcPr>
          <w:p>
            <w:pPr>
              <w:spacing w:after="0"/>
              <w:rPr>
                <w:sz w:val="13"/>
                <w:szCs w:val="13"/>
                <w:color w:val="auto"/>
              </w:rPr>
            </w:pPr>
          </w:p>
        </w:tc>
        <w:tc>
          <w:tcPr>
            <w:tcW w:w="940" w:type="dxa"/>
            <w:vAlign w:val="bottom"/>
            <w:gridSpan w:val="2"/>
          </w:tcPr>
          <w:p>
            <w:pPr>
              <w:jc w:val="center"/>
              <w:ind w:left="548"/>
              <w:spacing w:after="0" w:line="155" w:lineRule="exact"/>
              <w:rPr>
                <w:sz w:val="20"/>
                <w:szCs w:val="20"/>
                <w:color w:val="auto"/>
              </w:rPr>
            </w:pPr>
            <w:r>
              <w:rPr>
                <w:rFonts w:ascii="Arial" w:cs="Arial" w:eastAsia="Arial" w:hAnsi="Arial"/>
                <w:sz w:val="14"/>
                <w:szCs w:val="14"/>
                <w:color w:val="auto"/>
              </w:rPr>
              <w:t>2022</w:t>
            </w:r>
          </w:p>
        </w:tc>
        <w:tc>
          <w:tcPr>
            <w:tcW w:w="640" w:type="dxa"/>
            <w:vAlign w:val="bottom"/>
            <w:tcBorders>
              <w:right w:val="single" w:sz="8" w:color="auto"/>
            </w:tcBorders>
          </w:tcPr>
          <w:p>
            <w:pPr>
              <w:spacing w:after="0"/>
              <w:rPr>
                <w:sz w:val="13"/>
                <w:szCs w:val="13"/>
                <w:color w:val="auto"/>
              </w:rPr>
            </w:pPr>
          </w:p>
        </w:tc>
        <w:tc>
          <w:tcPr>
            <w:tcW w:w="720" w:type="dxa"/>
            <w:vAlign w:val="bottom"/>
            <w:gridSpan w:val="2"/>
          </w:tcPr>
          <w:p>
            <w:pPr>
              <w:jc w:val="center"/>
              <w:ind w:left="328"/>
              <w:spacing w:after="0" w:line="155" w:lineRule="exact"/>
              <w:rPr>
                <w:sz w:val="20"/>
                <w:szCs w:val="20"/>
                <w:color w:val="auto"/>
              </w:rPr>
            </w:pPr>
            <w:r>
              <w:rPr>
                <w:rFonts w:ascii="Arial" w:cs="Arial" w:eastAsia="Arial" w:hAnsi="Arial"/>
                <w:sz w:val="14"/>
                <w:szCs w:val="14"/>
                <w:color w:val="auto"/>
              </w:rPr>
              <w:t>2021</w:t>
            </w:r>
          </w:p>
        </w:tc>
        <w:tc>
          <w:tcPr>
            <w:tcW w:w="420" w:type="dxa"/>
            <w:vAlign w:val="bottom"/>
            <w:tcBorders>
              <w:right w:val="single" w:sz="8" w:color="auto"/>
            </w:tcBorders>
          </w:tcPr>
          <w:p>
            <w:pPr>
              <w:spacing w:after="0"/>
              <w:rPr>
                <w:sz w:val="13"/>
                <w:szCs w:val="13"/>
                <w:color w:val="auto"/>
              </w:rPr>
            </w:pPr>
          </w:p>
        </w:tc>
        <w:tc>
          <w:tcPr>
            <w:tcW w:w="720" w:type="dxa"/>
            <w:vAlign w:val="bottom"/>
            <w:gridSpan w:val="2"/>
          </w:tcPr>
          <w:p>
            <w:pPr>
              <w:jc w:val="center"/>
              <w:ind w:left="328"/>
              <w:spacing w:after="0" w:line="155" w:lineRule="exact"/>
              <w:rPr>
                <w:sz w:val="20"/>
                <w:szCs w:val="20"/>
                <w:color w:val="auto"/>
              </w:rPr>
            </w:pPr>
            <w:r>
              <w:rPr>
                <w:rFonts w:ascii="Arial" w:cs="Arial" w:eastAsia="Arial" w:hAnsi="Arial"/>
                <w:sz w:val="14"/>
                <w:szCs w:val="14"/>
                <w:color w:val="auto"/>
              </w:rPr>
              <w:t>2022</w:t>
            </w:r>
          </w:p>
        </w:tc>
        <w:tc>
          <w:tcPr>
            <w:tcW w:w="420" w:type="dxa"/>
            <w:vAlign w:val="bottom"/>
            <w:tcBorders>
              <w:right w:val="single" w:sz="8" w:color="auto"/>
            </w:tcBorders>
          </w:tcPr>
          <w:p>
            <w:pPr>
              <w:spacing w:after="0"/>
              <w:rPr>
                <w:sz w:val="13"/>
                <w:szCs w:val="13"/>
                <w:color w:val="auto"/>
              </w:rPr>
            </w:pPr>
          </w:p>
        </w:tc>
        <w:tc>
          <w:tcPr>
            <w:tcW w:w="1000" w:type="dxa"/>
            <w:vAlign w:val="bottom"/>
            <w:gridSpan w:val="2"/>
          </w:tcPr>
          <w:p>
            <w:pPr>
              <w:jc w:val="center"/>
              <w:ind w:left="608"/>
              <w:spacing w:after="0" w:line="155" w:lineRule="exact"/>
              <w:rPr>
                <w:sz w:val="20"/>
                <w:szCs w:val="20"/>
                <w:color w:val="auto"/>
              </w:rPr>
            </w:pPr>
            <w:r>
              <w:rPr>
                <w:rFonts w:ascii="Arial" w:cs="Arial" w:eastAsia="Arial" w:hAnsi="Arial"/>
                <w:sz w:val="14"/>
                <w:szCs w:val="14"/>
                <w:color w:val="auto"/>
              </w:rPr>
              <w:t>2021</w:t>
            </w:r>
          </w:p>
        </w:tc>
        <w:tc>
          <w:tcPr>
            <w:tcW w:w="720" w:type="dxa"/>
            <w:vAlign w:val="bottom"/>
            <w:tcBorders>
              <w:right w:val="single" w:sz="8" w:color="auto"/>
            </w:tcBorders>
          </w:tcPr>
          <w:p>
            <w:pPr>
              <w:spacing w:after="0"/>
              <w:rPr>
                <w:sz w:val="13"/>
                <w:szCs w:val="13"/>
                <w:color w:val="auto"/>
              </w:rPr>
            </w:pPr>
          </w:p>
        </w:tc>
        <w:tc>
          <w:tcPr>
            <w:tcW w:w="1000" w:type="dxa"/>
            <w:vAlign w:val="bottom"/>
            <w:gridSpan w:val="2"/>
          </w:tcPr>
          <w:p>
            <w:pPr>
              <w:jc w:val="center"/>
              <w:ind w:left="608"/>
              <w:spacing w:after="0" w:line="155" w:lineRule="exact"/>
              <w:rPr>
                <w:sz w:val="20"/>
                <w:szCs w:val="20"/>
                <w:color w:val="auto"/>
              </w:rPr>
            </w:pPr>
            <w:r>
              <w:rPr>
                <w:rFonts w:ascii="Arial" w:cs="Arial" w:eastAsia="Arial" w:hAnsi="Arial"/>
                <w:sz w:val="14"/>
                <w:szCs w:val="14"/>
                <w:color w:val="auto"/>
              </w:rPr>
              <w:t>2022</w:t>
            </w:r>
          </w:p>
        </w:tc>
        <w:tc>
          <w:tcPr>
            <w:tcW w:w="720" w:type="dxa"/>
            <w:vAlign w:val="bottom"/>
            <w:tcBorders>
              <w:right w:val="single" w:sz="8" w:color="auto"/>
            </w:tcBorders>
          </w:tcPr>
          <w:p>
            <w:pPr>
              <w:spacing w:after="0"/>
              <w:rPr>
                <w:sz w:val="13"/>
                <w:szCs w:val="13"/>
                <w:color w:val="auto"/>
              </w:rPr>
            </w:pPr>
          </w:p>
        </w:tc>
        <w:tc>
          <w:tcPr>
            <w:tcW w:w="480" w:type="dxa"/>
            <w:vAlign w:val="bottom"/>
            <w:gridSpan w:val="2"/>
          </w:tcPr>
          <w:p>
            <w:pPr>
              <w:jc w:val="center"/>
              <w:ind w:left="88"/>
              <w:spacing w:after="0" w:line="155" w:lineRule="exact"/>
              <w:rPr>
                <w:sz w:val="20"/>
                <w:szCs w:val="20"/>
                <w:color w:val="auto"/>
              </w:rPr>
            </w:pPr>
            <w:r>
              <w:rPr>
                <w:rFonts w:ascii="Arial" w:cs="Arial" w:eastAsia="Arial" w:hAnsi="Arial"/>
                <w:sz w:val="14"/>
                <w:szCs w:val="14"/>
                <w:color w:val="auto"/>
              </w:rPr>
              <w:t>2021</w:t>
            </w:r>
          </w:p>
        </w:tc>
        <w:tc>
          <w:tcPr>
            <w:tcW w:w="180" w:type="dxa"/>
            <w:vAlign w:val="bottom"/>
            <w:tcBorders>
              <w:right w:val="single" w:sz="8" w:color="auto"/>
            </w:tcBorders>
          </w:tcPr>
          <w:p>
            <w:pPr>
              <w:spacing w:after="0"/>
              <w:rPr>
                <w:sz w:val="13"/>
                <w:szCs w:val="13"/>
                <w:color w:val="auto"/>
              </w:rPr>
            </w:pPr>
          </w:p>
        </w:tc>
        <w:tc>
          <w:tcPr>
            <w:tcW w:w="480" w:type="dxa"/>
            <w:vAlign w:val="bottom"/>
            <w:gridSpan w:val="2"/>
          </w:tcPr>
          <w:p>
            <w:pPr>
              <w:jc w:val="center"/>
              <w:ind w:left="88"/>
              <w:spacing w:after="0" w:line="155" w:lineRule="exact"/>
              <w:rPr>
                <w:sz w:val="20"/>
                <w:szCs w:val="20"/>
                <w:color w:val="auto"/>
              </w:rPr>
            </w:pPr>
            <w:r>
              <w:rPr>
                <w:rFonts w:ascii="Arial" w:cs="Arial" w:eastAsia="Arial" w:hAnsi="Arial"/>
                <w:sz w:val="14"/>
                <w:szCs w:val="14"/>
                <w:color w:val="auto"/>
              </w:rPr>
              <w:t>2022</w:t>
            </w: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Tantalum</w:t>
            </w:r>
          </w:p>
        </w:tc>
        <w:tc>
          <w:tcPr>
            <w:tcW w:w="86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color w:val="auto"/>
              </w:rPr>
              <w:t>35</w:t>
            </w:r>
          </w:p>
        </w:tc>
        <w:tc>
          <w:tcPr>
            <w:tcW w:w="5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color w:val="auto"/>
              </w:rPr>
              <w:t>32</w:t>
            </w:r>
          </w:p>
        </w:tc>
        <w:tc>
          <w:tcPr>
            <w:tcW w:w="6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0</w:t>
            </w: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0</w:t>
            </w:r>
          </w:p>
        </w:tc>
        <w:tc>
          <w:tcPr>
            <w:tcW w:w="4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0</w:t>
            </w:r>
          </w:p>
        </w:tc>
        <w:tc>
          <w:tcPr>
            <w:tcW w:w="7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2</w:t>
            </w:r>
          </w:p>
        </w:tc>
        <w:tc>
          <w:tcPr>
            <w:tcW w:w="72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34</w:t>
            </w:r>
          </w:p>
        </w:tc>
        <w:tc>
          <w:tcPr>
            <w:tcW w:w="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86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color w:val="auto"/>
              </w:rPr>
              <w:t>54</w:t>
            </w:r>
          </w:p>
        </w:tc>
        <w:tc>
          <w:tcPr>
            <w:tcW w:w="5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color w:val="auto"/>
              </w:rPr>
              <w:t>60</w:t>
            </w:r>
          </w:p>
        </w:tc>
        <w:tc>
          <w:tcPr>
            <w:tcW w:w="6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7</w:t>
            </w: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3</w:t>
            </w:r>
          </w:p>
        </w:tc>
        <w:tc>
          <w:tcPr>
            <w:tcW w:w="4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17</w:t>
            </w:r>
          </w:p>
        </w:tc>
        <w:tc>
          <w:tcPr>
            <w:tcW w:w="7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20</w:t>
            </w:r>
          </w:p>
        </w:tc>
        <w:tc>
          <w:tcPr>
            <w:tcW w:w="72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78</w:t>
            </w:r>
          </w:p>
        </w:tc>
        <w:tc>
          <w:tcPr>
            <w:tcW w:w="1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83</w:t>
            </w:r>
          </w:p>
        </w:tc>
        <w:tc>
          <w:tcPr>
            <w:tcW w:w="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Tungsten</w:t>
            </w:r>
          </w:p>
        </w:tc>
        <w:tc>
          <w:tcPr>
            <w:tcW w:w="86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color w:val="auto"/>
              </w:rPr>
              <w:t>42</w:t>
            </w:r>
          </w:p>
        </w:tc>
        <w:tc>
          <w:tcPr>
            <w:tcW w:w="5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color w:val="auto"/>
              </w:rPr>
              <w:t>34</w:t>
            </w:r>
          </w:p>
        </w:tc>
        <w:tc>
          <w:tcPr>
            <w:tcW w:w="6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0</w:t>
            </w:r>
          </w:p>
        </w:tc>
        <w:tc>
          <w:tcPr>
            <w:tcW w:w="4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4</w:t>
            </w:r>
          </w:p>
        </w:tc>
        <w:tc>
          <w:tcPr>
            <w:tcW w:w="7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17</w:t>
            </w:r>
          </w:p>
        </w:tc>
        <w:tc>
          <w:tcPr>
            <w:tcW w:w="72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50</w:t>
            </w:r>
          </w:p>
        </w:tc>
        <w:tc>
          <w:tcPr>
            <w:tcW w:w="1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51</w:t>
            </w:r>
          </w:p>
        </w:tc>
        <w:tc>
          <w:tcPr>
            <w:tcW w:w="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Gold</w:t>
            </w:r>
          </w:p>
        </w:tc>
        <w:tc>
          <w:tcPr>
            <w:tcW w:w="86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color w:val="auto"/>
              </w:rPr>
              <w:t>99</w:t>
            </w:r>
          </w:p>
        </w:tc>
        <w:tc>
          <w:tcPr>
            <w:tcW w:w="5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color w:val="auto"/>
              </w:rPr>
              <w:t>95</w:t>
            </w:r>
          </w:p>
        </w:tc>
        <w:tc>
          <w:tcPr>
            <w:tcW w:w="6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7</w:t>
            </w:r>
          </w:p>
        </w:tc>
        <w:tc>
          <w:tcPr>
            <w:tcW w:w="4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66</w:t>
            </w:r>
          </w:p>
        </w:tc>
        <w:tc>
          <w:tcPr>
            <w:tcW w:w="7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76</w:t>
            </w:r>
          </w:p>
        </w:tc>
        <w:tc>
          <w:tcPr>
            <w:tcW w:w="72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172</w:t>
            </w:r>
          </w:p>
        </w:tc>
        <w:tc>
          <w:tcPr>
            <w:tcW w:w="1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176</w:t>
            </w:r>
          </w:p>
        </w:tc>
        <w:tc>
          <w:tcPr>
            <w:tcW w:w="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color w:val="auto"/>
              </w:rPr>
              <w:t>230</w:t>
            </w:r>
          </w:p>
        </w:tc>
        <w:tc>
          <w:tcPr>
            <w:tcW w:w="5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color w:val="auto"/>
              </w:rPr>
              <w:t>221</w:t>
            </w:r>
          </w:p>
        </w:tc>
        <w:tc>
          <w:tcPr>
            <w:tcW w:w="6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18</w:t>
            </w: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rPr>
              <w:t>8</w:t>
            </w:r>
          </w:p>
        </w:tc>
        <w:tc>
          <w:tcPr>
            <w:tcW w:w="4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87</w:t>
            </w:r>
          </w:p>
        </w:tc>
        <w:tc>
          <w:tcPr>
            <w:tcW w:w="7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color w:val="auto"/>
              </w:rPr>
              <w:t>115</w:t>
            </w:r>
          </w:p>
        </w:tc>
        <w:tc>
          <w:tcPr>
            <w:tcW w:w="72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335</w:t>
            </w:r>
          </w:p>
        </w:tc>
        <w:tc>
          <w:tcPr>
            <w:tcW w:w="1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color w:val="auto"/>
              </w:rPr>
              <w:t>344</w:t>
            </w:r>
          </w:p>
        </w:tc>
        <w:tc>
          <w:tcPr>
            <w:tcW w:w="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We note the following in connection with the information contained in the foregoing table:</w:t>
      </w:r>
    </w:p>
    <w:p>
      <w:pPr>
        <w:ind w:left="340" w:right="120" w:hanging="332"/>
        <w:spacing w:after="0" w:line="211" w:lineRule="auto"/>
        <w:tabs>
          <w:tab w:leader="none" w:pos="25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smelters and refiners reflected in the table were identified by our Significant Suppliers as potentially being part of our 2022 supply chain. However, not all of the included SORs may have processed the necessary 3TG contained in the in-scope products that we manufactured, since many Significant Suppliers reported to us at a “company level” the 3TG contained in all of their products, not just those in the products that they sold to us. Some Significant Suppliers also may have reported to us SORs that were not in our supply chain due to over-inclusiveness in the information received from their suppliers or for other reasons. In addition, the SORs reflected above may not be all of the SORs in our supply chain, since many Significant Suppliers were unable to identify all of the SORs used to process the necessary 3TG content contained in the in-scope products that we manufactured and not all of the Significant Suppliers responded to our inquiries.</w:t>
      </w:r>
    </w:p>
    <w:p>
      <w:pPr>
        <w:spacing w:after="0" w:line="1" w:lineRule="exact"/>
        <w:rPr>
          <w:rFonts w:ascii="Arial" w:cs="Arial" w:eastAsia="Arial" w:hAnsi="Arial"/>
          <w:sz w:val="16"/>
          <w:szCs w:val="16"/>
          <w:color w:val="auto"/>
        </w:rPr>
      </w:pPr>
    </w:p>
    <w:p>
      <w:pPr>
        <w:ind w:left="340" w:right="160" w:hanging="332"/>
        <w:spacing w:after="0" w:line="211"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“Conformant” means that a smelter or refiner has successfully completed an assessment against the applicable RMAP standard or an equivalent cross-recognized assessment protocol. Included smelters and refiners were not necessarily Conformant for all or part of 2022 and may not continue to be Conformant for any future period.</w:t>
      </w:r>
    </w:p>
    <w:p>
      <w:pPr>
        <w:ind w:left="340" w:right="240" w:hanging="332"/>
        <w:spacing w:after="0" w:line="211"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“Active” means that the smelter or refiner has committed to undergo an RMAP assessment, completed the relevant documents, and scheduled the on-site assessment. These may be in the pre-assessment, assessment, or corrective-action phases of the assessment.</w:t>
      </w:r>
    </w:p>
    <w:p>
      <w:pPr>
        <w:ind w:left="340" w:right="480" w:hanging="332"/>
        <w:spacing w:after="0" w:line="211" w:lineRule="auto"/>
        <w:tabs>
          <w:tab w:leader="none" w:pos="25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smelter or refiner is listed as “On Smelter Look-up Tab List Only” if it was not Conformant or Active but appears on the Smelter Look-up tab of the CMRT.</w:t>
      </w:r>
    </w:p>
    <w:p>
      <w:pPr>
        <w:ind w:left="340" w:right="240" w:hanging="332"/>
        <w:spacing w:after="0" w:line="232" w:lineRule="auto"/>
        <w:tabs>
          <w:tab w:leader="none" w:pos="25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compliance status information reflected in the table is based solely on information made available by the RMI to its members, without independent verification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240"/>
          </w:cols>
          <w:pgMar w:left="320" w:top="1394" w:right="339" w:bottom="1440" w:gutter="0" w:footer="0" w:header="0"/>
        </w:sectPr>
      </w:pPr>
    </w:p>
    <w:bookmarkStart w:id="10" w:name="page11"/>
    <w:bookmarkEnd w:id="1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643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4376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STATUS OF IDENTIFIED SMELTER AND REFINERS FOR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20" w:type="dxa"/>
            <w:vAlign w:val="bottom"/>
            <w:tcBorders>
              <w:top w:val="single" w:sz="8" w:color="808080"/>
              <w:bottom w:val="single" w:sz="8" w:color="808080"/>
              <w:right w:val="single" w:sz="8" w:color="808080"/>
            </w:tcBorders>
          </w:tcPr>
          <w:p>
            <w:pPr>
              <w:ind w:left="800"/>
              <w:spacing w:after="0"/>
              <w:rPr>
                <w:sz w:val="20"/>
                <w:szCs w:val="20"/>
                <w:color w:val="auto"/>
              </w:rPr>
            </w:pPr>
            <w:r>
              <w:rPr>
                <w:rFonts w:ascii="Arial" w:cs="Arial" w:eastAsia="Arial" w:hAnsi="Arial"/>
                <w:sz w:val="16"/>
                <w:szCs w:val="16"/>
                <w:b w:val="1"/>
                <w:bCs w:val="1"/>
                <w:color w:val="auto"/>
              </w:rPr>
              <w:t>Metal</w:t>
            </w:r>
          </w:p>
        </w:tc>
        <w:tc>
          <w:tcPr>
            <w:tcW w:w="3500" w:type="dxa"/>
            <w:vAlign w:val="bottom"/>
            <w:tcBorders>
              <w:top w:val="single" w:sz="8" w:color="808080"/>
              <w:bottom w:val="single" w:sz="8" w:color="808080"/>
              <w:right w:val="single" w:sz="8" w:color="808080"/>
            </w:tcBorders>
          </w:tcPr>
          <w:p>
            <w:pPr>
              <w:ind w:left="1200"/>
              <w:spacing w:after="0"/>
              <w:rPr>
                <w:sz w:val="20"/>
                <w:szCs w:val="20"/>
                <w:color w:val="auto"/>
              </w:rPr>
            </w:pPr>
            <w:r>
              <w:rPr>
                <w:rFonts w:ascii="Arial" w:cs="Arial" w:eastAsia="Arial" w:hAnsi="Arial"/>
                <w:sz w:val="16"/>
                <w:szCs w:val="16"/>
                <w:b w:val="1"/>
                <w:bCs w:val="1"/>
                <w:color w:val="auto"/>
              </w:rPr>
              <w:t>Smelter Name</w:t>
            </w:r>
          </w:p>
        </w:tc>
        <w:tc>
          <w:tcPr>
            <w:tcW w:w="2840" w:type="dxa"/>
            <w:vAlign w:val="bottom"/>
            <w:tcBorders>
              <w:top w:val="single" w:sz="8" w:color="808080"/>
              <w:bottom w:val="single" w:sz="8" w:color="808080"/>
              <w:right w:val="single" w:sz="8" w:color="808080"/>
            </w:tcBorders>
          </w:tcPr>
          <w:p>
            <w:pPr>
              <w:ind w:left="1100"/>
              <w:spacing w:after="0"/>
              <w:rPr>
                <w:sz w:val="20"/>
                <w:szCs w:val="20"/>
                <w:color w:val="auto"/>
              </w:rPr>
            </w:pPr>
            <w:r>
              <w:rPr>
                <w:rFonts w:ascii="Arial" w:cs="Arial" w:eastAsia="Arial" w:hAnsi="Arial"/>
                <w:sz w:val="16"/>
                <w:szCs w:val="16"/>
                <w:b w:val="1"/>
                <w:bCs w:val="1"/>
                <w:color w:val="auto"/>
              </w:rPr>
              <w:t>Country</w:t>
            </w:r>
          </w:p>
        </w:tc>
        <w:tc>
          <w:tcPr>
            <w:tcW w:w="2880" w:type="dxa"/>
            <w:vAlign w:val="bottom"/>
            <w:tcBorders>
              <w:top w:val="single" w:sz="8" w:color="808080"/>
              <w:bottom w:val="single" w:sz="8" w:color="808080"/>
            </w:tcBorders>
          </w:tcPr>
          <w:p>
            <w:pPr>
              <w:ind w:left="1180"/>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Abington Reldan Metals, LLC</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Agosi AG</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Aida Chemical Industries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Al Etihad Gold Refinery DMCC</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Arab Emirates</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Alexy Metals</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Almalyk Mining and Metallurgical Complex</w:t>
            </w:r>
          </w:p>
        </w:tc>
        <w:tc>
          <w:tcPr>
            <w:tcW w:w="284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Uzbekistan</w:t>
            </w:r>
          </w:p>
        </w:tc>
        <w:tc>
          <w:tcPr>
            <w:tcW w:w="2880" w:type="dxa"/>
            <w:vAlign w:val="bottom"/>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right w:val="single" w:sz="8" w:color="808080"/>
            </w:tcBorders>
            <w:vMerge w:val="continue"/>
          </w:tcPr>
          <w:p>
            <w:pPr>
              <w:spacing w:after="0"/>
              <w:rPr>
                <w:sz w:val="10"/>
                <w:szCs w:val="10"/>
                <w:color w:val="auto"/>
              </w:rPr>
            </w:pPr>
          </w:p>
        </w:tc>
        <w:tc>
          <w:tcPr>
            <w:tcW w:w="350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(AMMC)</w:t>
            </w:r>
          </w:p>
        </w:tc>
        <w:tc>
          <w:tcPr>
            <w:tcW w:w="2840" w:type="dxa"/>
            <w:vAlign w:val="bottom"/>
            <w:tcBorders>
              <w:right w:val="single" w:sz="8" w:color="808080"/>
            </w:tcBorders>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bottom w:val="single" w:sz="8" w:color="808080"/>
              <w:right w:val="single" w:sz="8" w:color="808080"/>
            </w:tcBorders>
          </w:tcPr>
          <w:p>
            <w:pPr>
              <w:spacing w:after="0"/>
              <w:rPr>
                <w:sz w:val="7"/>
                <w:szCs w:val="7"/>
                <w:color w:val="auto"/>
              </w:rPr>
            </w:pPr>
          </w:p>
        </w:tc>
        <w:tc>
          <w:tcPr>
            <w:tcW w:w="3500" w:type="dxa"/>
            <w:vAlign w:val="bottom"/>
            <w:tcBorders>
              <w:bottom w:val="single" w:sz="8" w:color="808080"/>
              <w:right w:val="single" w:sz="8" w:color="808080"/>
            </w:tcBorders>
            <w:vMerge w:val="continue"/>
          </w:tcPr>
          <w:p>
            <w:pPr>
              <w:spacing w:after="0"/>
              <w:rPr>
                <w:sz w:val="7"/>
                <w:szCs w:val="7"/>
                <w:color w:val="auto"/>
              </w:rPr>
            </w:pPr>
          </w:p>
        </w:tc>
        <w:tc>
          <w:tcPr>
            <w:tcW w:w="284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AngloGold Ashanti Corrego do Sitio Mineracao</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Argor-Heraeus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Switzerland</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Asahi Pretec Corp.</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Asahi Refining Canada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Canada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Asahi Refining USA Inc.</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Asaka Riken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Aurubis AG</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Bangalore Refinery</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Bangko Sentral ng Pilipinas (Central Bank of</w:t>
            </w:r>
          </w:p>
        </w:tc>
        <w:tc>
          <w:tcPr>
            <w:tcW w:w="284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Philippines</w:t>
            </w:r>
          </w:p>
        </w:tc>
        <w:tc>
          <w:tcPr>
            <w:tcW w:w="2880" w:type="dxa"/>
            <w:vAlign w:val="bottom"/>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right w:val="single" w:sz="8" w:color="808080"/>
            </w:tcBorders>
            <w:vMerge w:val="continue"/>
          </w:tcPr>
          <w:p>
            <w:pPr>
              <w:spacing w:after="0"/>
              <w:rPr>
                <w:sz w:val="10"/>
                <w:szCs w:val="10"/>
                <w:color w:val="auto"/>
              </w:rPr>
            </w:pPr>
          </w:p>
        </w:tc>
        <w:tc>
          <w:tcPr>
            <w:tcW w:w="350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the Philippines)</w:t>
            </w:r>
          </w:p>
        </w:tc>
        <w:tc>
          <w:tcPr>
            <w:tcW w:w="2840" w:type="dxa"/>
            <w:vAlign w:val="bottom"/>
            <w:tcBorders>
              <w:right w:val="single" w:sz="8" w:color="808080"/>
            </w:tcBorders>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bottom w:val="single" w:sz="8" w:color="808080"/>
              <w:right w:val="single" w:sz="8" w:color="808080"/>
            </w:tcBorders>
          </w:tcPr>
          <w:p>
            <w:pPr>
              <w:spacing w:after="0"/>
              <w:rPr>
                <w:sz w:val="7"/>
                <w:szCs w:val="7"/>
                <w:color w:val="auto"/>
              </w:rPr>
            </w:pPr>
          </w:p>
        </w:tc>
        <w:tc>
          <w:tcPr>
            <w:tcW w:w="3500" w:type="dxa"/>
            <w:vAlign w:val="bottom"/>
            <w:tcBorders>
              <w:bottom w:val="single" w:sz="8" w:color="808080"/>
              <w:right w:val="single" w:sz="8" w:color="808080"/>
            </w:tcBorders>
            <w:vMerge w:val="continue"/>
          </w:tcPr>
          <w:p>
            <w:pPr>
              <w:spacing w:after="0"/>
              <w:rPr>
                <w:sz w:val="7"/>
                <w:szCs w:val="7"/>
                <w:color w:val="auto"/>
              </w:rPr>
            </w:pPr>
          </w:p>
        </w:tc>
        <w:tc>
          <w:tcPr>
            <w:tcW w:w="284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Boliden AB</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Sweden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 Hafner GmbH + Co. KG</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CCR Refinery - Glencore Canada Corporation</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Canada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Chimet S.p.A.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Italy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Chugai Mining</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Dowa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DSC (Do Sung Corporation)</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Eco-System Recycling Co., Ltd. East Plant</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Eco-System Recycling Co., Ltd. North Plant</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Eco-System Recycling Co., Ltd. West Plant</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Emirates Gold DMCC</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Arab Emirates</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Geib Refining Corporation</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Gold by Gold Colombia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Colombia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Gold Refinery of Zijin Mining Group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Heimerle + Meule GmbH</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Heraeus Germany GmbH Co. KG</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Heraeus Metals Hong Kong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Inner Mongolia Qiankun Gold and Silver</w:t>
            </w:r>
          </w:p>
        </w:tc>
        <w:tc>
          <w:tcPr>
            <w:tcW w:w="284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right w:val="single" w:sz="8" w:color="808080"/>
            </w:tcBorders>
            <w:vMerge w:val="continue"/>
          </w:tcPr>
          <w:p>
            <w:pPr>
              <w:spacing w:after="0"/>
              <w:rPr>
                <w:sz w:val="10"/>
                <w:szCs w:val="10"/>
                <w:color w:val="auto"/>
              </w:rPr>
            </w:pPr>
          </w:p>
        </w:tc>
        <w:tc>
          <w:tcPr>
            <w:tcW w:w="350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Refinery Share Co., Ltd.</w:t>
            </w:r>
          </w:p>
        </w:tc>
        <w:tc>
          <w:tcPr>
            <w:tcW w:w="2840" w:type="dxa"/>
            <w:vAlign w:val="bottom"/>
            <w:tcBorders>
              <w:right w:val="single" w:sz="8" w:color="808080"/>
            </w:tcBorders>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bottom w:val="single" w:sz="8" w:color="808080"/>
              <w:right w:val="single" w:sz="8" w:color="808080"/>
            </w:tcBorders>
          </w:tcPr>
          <w:p>
            <w:pPr>
              <w:spacing w:after="0"/>
              <w:rPr>
                <w:sz w:val="7"/>
                <w:szCs w:val="7"/>
                <w:color w:val="auto"/>
              </w:rPr>
            </w:pPr>
          </w:p>
        </w:tc>
        <w:tc>
          <w:tcPr>
            <w:tcW w:w="3500" w:type="dxa"/>
            <w:vAlign w:val="bottom"/>
            <w:tcBorders>
              <w:bottom w:val="single" w:sz="8" w:color="808080"/>
              <w:right w:val="single" w:sz="8" w:color="808080"/>
            </w:tcBorders>
            <w:vMerge w:val="continue"/>
          </w:tcPr>
          <w:p>
            <w:pPr>
              <w:spacing w:after="0"/>
              <w:rPr>
                <w:sz w:val="7"/>
                <w:szCs w:val="7"/>
                <w:color w:val="auto"/>
              </w:rPr>
            </w:pPr>
          </w:p>
        </w:tc>
        <w:tc>
          <w:tcPr>
            <w:tcW w:w="284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Ishifuku Metal Industry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Istanbul Gold Refinery</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Turkey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Italpreziosi</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Italy</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 Mint</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Copper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JX Nippon Mining &amp; Metals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Kazzinc</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Kazakhstan</w:t>
            </w:r>
          </w:p>
        </w:tc>
        <w:tc>
          <w:tcPr>
            <w:tcW w:w="28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808080"/>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Kennecott Utah Copper LLC</w:t>
            </w:r>
          </w:p>
        </w:tc>
        <w:tc>
          <w:tcPr>
            <w:tcW w:w="284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KGHM Polska Miedz Spolka Akcyjna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Poland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Kojima Chemicals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Korea Zinc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L'Orfebre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Andorra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LS-NIKKO Copper Inc.</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LT Metal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Materion</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Matsuda Sangyo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 Concentrators SA (Pty)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South Africa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Metalor Technologies (Hong Kong)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Metalor Technologies (Singapore) Pte.,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Singapore</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Metalor Technologies (Suzhou)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Metalor Technologies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Switzerland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Metalor USA Refining Corporation</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Metalurgica Met-Mex Penoles S.A. De C.V.</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Mexico</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Mitsubishi Materials Corporation</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Mitsui Mining and Smelting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MKS PAMP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Switzerland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MMTC-PAMP India Pvt.,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Nadir Metal Rafineri San. Ve Tic. A.S.</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Turkey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Navoi Mining and Metallurgical Combinat</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Uzbekistan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NH Recytech Company</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Nihon Material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Ogussa Osterreichische Gold- und Silber-</w:t>
            </w:r>
          </w:p>
        </w:tc>
        <w:tc>
          <w:tcPr>
            <w:tcW w:w="284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Austria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0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Scheideanstalt GmbH</w:t>
            </w:r>
          </w:p>
        </w:tc>
        <w:tc>
          <w:tcPr>
            <w:tcW w:w="284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00" w:type="dxa"/>
            <w:vAlign w:val="bottom"/>
            <w:tcBorders>
              <w:bottom w:val="single" w:sz="8" w:color="808080"/>
              <w:right w:val="single" w:sz="8" w:color="808080"/>
            </w:tcBorders>
            <w:vMerge w:val="continue"/>
          </w:tcPr>
          <w:p>
            <w:pPr>
              <w:spacing w:after="0"/>
              <w:rPr>
                <w:sz w:val="7"/>
                <w:szCs w:val="7"/>
                <w:color w:val="auto"/>
              </w:rPr>
            </w:pPr>
          </w:p>
        </w:tc>
        <w:tc>
          <w:tcPr>
            <w:tcW w:w="284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Ohura Precious Metal Industry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Planta Recuperadora de Metales SpA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Chile</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Aneka Tambang (Persero) Tbk</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PX Precinox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Switzerland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auto"/>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Rand Refinery (Pty) Ltd.</w:t>
            </w:r>
          </w:p>
        </w:tc>
        <w:tc>
          <w:tcPr>
            <w:tcW w:w="284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South Africa</w:t>
            </w:r>
          </w:p>
        </w:tc>
        <w:tc>
          <w:tcPr>
            <w:tcW w:w="288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REMONDIS PMR B.V.</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Netherlands</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Royal Canadian Mint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Canada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SAAMP</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France</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SAFINA A.S.</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Czechia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Sancus ZFS (L’Orfebre,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Colombia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SEMPSA Joyeria Plateria S.A.</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Spain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Shandong Gold Smelting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Shandong Zhaojin Gold &amp; Silver Refinery Co.,</w:t>
            </w:r>
          </w:p>
        </w:tc>
        <w:tc>
          <w:tcPr>
            <w:tcW w:w="284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0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Ltd.</w:t>
            </w:r>
          </w:p>
        </w:tc>
        <w:tc>
          <w:tcPr>
            <w:tcW w:w="284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00" w:type="dxa"/>
            <w:vAlign w:val="bottom"/>
            <w:tcBorders>
              <w:bottom w:val="single" w:sz="8" w:color="808080"/>
              <w:right w:val="single" w:sz="8" w:color="808080"/>
            </w:tcBorders>
            <w:vMerge w:val="continue"/>
          </w:tcPr>
          <w:p>
            <w:pPr>
              <w:spacing w:after="0"/>
              <w:rPr>
                <w:sz w:val="7"/>
                <w:szCs w:val="7"/>
                <w:color w:val="auto"/>
              </w:rPr>
            </w:pPr>
          </w:p>
        </w:tc>
        <w:tc>
          <w:tcPr>
            <w:tcW w:w="284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Sichuan Tianze Precious Metals Co., Ltd.</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0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Solar Applied Materials Technology Corp.</w:t>
            </w:r>
          </w:p>
        </w:tc>
        <w:tc>
          <w:tcPr>
            <w:tcW w:w="28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Taiwan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808080"/>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Sumitomo Metal Mining Co., Ltd.</w:t>
            </w:r>
          </w:p>
        </w:tc>
        <w:tc>
          <w:tcPr>
            <w:tcW w:w="28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SungEel HiMetal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T.C.A S.p.A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Italy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Tanaka Kikinzoku Kogyo K.K.</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Tokuriki Honten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TOO Tau-Ken-Altyn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Kazakhstan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Torecom</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Umicore S.A. Business Unit Precious Metals</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Belgium</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Refining</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Precious Metal Refining, Inc.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Valcambi 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Switzerland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Western Australian Mint (T/a The Perth Mint)</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Australia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WIELAND Edelmetalle GmbH</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Yamakin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Yokohama Metal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Zhongyuan Gold Smelter of Zhongjin Gold</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Corporation</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AMG Brasil</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D Block Metals, LLC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F&amp;X Electro-Materials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FIR Metals &amp; Resource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Global Advanced Metals Aizu</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Global Advanced Metals Boyertown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40"/>
        </w:trPr>
        <w:tc>
          <w:tcPr>
            <w:tcW w:w="2020" w:type="dxa"/>
            <w:vAlign w:val="bottom"/>
            <w:tcBorders>
              <w:left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Hengyang King Xing Lifeng New Materials Co.,</w:t>
            </w:r>
          </w:p>
        </w:tc>
        <w:tc>
          <w:tcPr>
            <w:tcW w:w="282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35"/>
        </w:trPr>
        <w:tc>
          <w:tcPr>
            <w:tcW w:w="2020" w:type="dxa"/>
            <w:vAlign w:val="bottom"/>
            <w:tcBorders>
              <w:left w:val="single" w:sz="8" w:color="808080"/>
              <w:bottom w:val="single" w:sz="8" w:color="808080"/>
              <w:right w:val="single" w:sz="8" w:color="808080"/>
            </w:tcBorders>
          </w:tcPr>
          <w:p>
            <w:pPr>
              <w:spacing w:after="0"/>
              <w:rPr>
                <w:sz w:val="11"/>
                <w:szCs w:val="11"/>
                <w:color w:val="auto"/>
              </w:rPr>
            </w:pPr>
          </w:p>
        </w:tc>
        <w:tc>
          <w:tcPr>
            <w:tcW w:w="3520" w:type="dxa"/>
            <w:vAlign w:val="bottom"/>
            <w:tcBorders>
              <w:bottom w:val="single" w:sz="8" w:color="808080"/>
              <w:right w:val="single" w:sz="8" w:color="808080"/>
            </w:tcBorders>
          </w:tcPr>
          <w:p>
            <w:pPr>
              <w:ind w:left="60"/>
              <w:spacing w:after="0" w:line="135" w:lineRule="exact"/>
              <w:rPr>
                <w:sz w:val="20"/>
                <w:szCs w:val="20"/>
                <w:color w:val="auto"/>
              </w:rPr>
            </w:pPr>
            <w:r>
              <w:rPr>
                <w:rFonts w:ascii="Arial" w:cs="Arial" w:eastAsia="Arial" w:hAnsi="Arial"/>
                <w:sz w:val="15"/>
                <w:szCs w:val="15"/>
                <w:color w:val="auto"/>
              </w:rPr>
              <w:t>Ltd.</w:t>
            </w:r>
          </w:p>
        </w:tc>
        <w:tc>
          <w:tcPr>
            <w:tcW w:w="2820" w:type="dxa"/>
            <w:vAlign w:val="bottom"/>
            <w:tcBorders>
              <w:bottom w:val="single" w:sz="8" w:color="808080"/>
              <w:right w:val="single" w:sz="8" w:color="808080"/>
            </w:tcBorders>
          </w:tcPr>
          <w:p>
            <w:pPr>
              <w:spacing w:after="0"/>
              <w:rPr>
                <w:sz w:val="11"/>
                <w:szCs w:val="11"/>
                <w:color w:val="auto"/>
              </w:rPr>
            </w:pPr>
          </w:p>
        </w:tc>
        <w:tc>
          <w:tcPr>
            <w:tcW w:w="2880" w:type="dxa"/>
            <w:vAlign w:val="bottom"/>
            <w:tcBorders>
              <w:bottom w:val="single" w:sz="8" w:color="808080"/>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Dinghai Tantalum &amp; Niobium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Tuohong New Raw Material</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JiuJiang JinXin Nonferrous Metals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auto"/>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Jiujiang Tanbre Co., Ltd.</w:t>
            </w:r>
          </w:p>
        </w:tc>
        <w:tc>
          <w:tcPr>
            <w:tcW w:w="28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Jiujiang Zhongao Tantalum &amp; Niobium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KEMET de Mexico</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Mexico</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Materion Newton Inc.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Metallurgical Products India Pvt.,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Mineracao Taboca 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Mitsui Mining and Smelting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Ningxia Orient Tantalum Industry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NPM Silmet AS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Estonia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QuantumClean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Resind Industria e Comercio Ltda.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40"/>
        </w:trPr>
        <w:tc>
          <w:tcPr>
            <w:tcW w:w="2020" w:type="dxa"/>
            <w:vAlign w:val="bottom"/>
            <w:tcBorders>
              <w:left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RFH Yancheng Jinye New Material Technology</w:t>
            </w:r>
          </w:p>
        </w:tc>
        <w:tc>
          <w:tcPr>
            <w:tcW w:w="282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35"/>
        </w:trPr>
        <w:tc>
          <w:tcPr>
            <w:tcW w:w="2020" w:type="dxa"/>
            <w:vAlign w:val="bottom"/>
            <w:tcBorders>
              <w:left w:val="single" w:sz="8" w:color="808080"/>
              <w:bottom w:val="single" w:sz="8" w:color="808080"/>
              <w:right w:val="single" w:sz="8" w:color="808080"/>
            </w:tcBorders>
          </w:tcPr>
          <w:p>
            <w:pPr>
              <w:spacing w:after="0"/>
              <w:rPr>
                <w:sz w:val="11"/>
                <w:szCs w:val="11"/>
                <w:color w:val="auto"/>
              </w:rPr>
            </w:pPr>
          </w:p>
        </w:tc>
        <w:tc>
          <w:tcPr>
            <w:tcW w:w="3520" w:type="dxa"/>
            <w:vAlign w:val="bottom"/>
            <w:tcBorders>
              <w:bottom w:val="single" w:sz="8" w:color="808080"/>
              <w:right w:val="single" w:sz="8" w:color="808080"/>
            </w:tcBorders>
          </w:tcPr>
          <w:p>
            <w:pPr>
              <w:ind w:left="60"/>
              <w:spacing w:after="0" w:line="135" w:lineRule="exact"/>
              <w:rPr>
                <w:sz w:val="20"/>
                <w:szCs w:val="20"/>
                <w:color w:val="auto"/>
              </w:rPr>
            </w:pPr>
            <w:r>
              <w:rPr>
                <w:rFonts w:ascii="Arial" w:cs="Arial" w:eastAsia="Arial" w:hAnsi="Arial"/>
                <w:sz w:val="15"/>
                <w:szCs w:val="15"/>
                <w:color w:val="auto"/>
              </w:rPr>
              <w:t>Co., Ltd.</w:t>
            </w:r>
          </w:p>
        </w:tc>
        <w:tc>
          <w:tcPr>
            <w:tcW w:w="2820" w:type="dxa"/>
            <w:vAlign w:val="bottom"/>
            <w:tcBorders>
              <w:bottom w:val="single" w:sz="8" w:color="808080"/>
              <w:right w:val="single" w:sz="8" w:color="808080"/>
            </w:tcBorders>
          </w:tcPr>
          <w:p>
            <w:pPr>
              <w:spacing w:after="0"/>
              <w:rPr>
                <w:sz w:val="11"/>
                <w:szCs w:val="11"/>
                <w:color w:val="auto"/>
              </w:rPr>
            </w:pPr>
          </w:p>
        </w:tc>
        <w:tc>
          <w:tcPr>
            <w:tcW w:w="2880" w:type="dxa"/>
            <w:vAlign w:val="bottom"/>
            <w:tcBorders>
              <w:bottom w:val="single" w:sz="8" w:color="808080"/>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Taki Chemical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TANIOBIS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Thailand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TANIOBIS GmbH</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808080"/>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TANIOBIS Japan Co., Ltd.</w:t>
            </w:r>
          </w:p>
        </w:tc>
        <w:tc>
          <w:tcPr>
            <w:tcW w:w="28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TANIOBIS Smelting GmbH &amp; Co. KG</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Telex Metals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Ulba Metallurgical Plant JSC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Kazakhstan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XIMEI RESOURCES (GUANGDONG)</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LIMITED</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XinXing HaoRong Electronic Material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Yanling Jincheng Tantalum &amp; Niobium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Alpha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Aurubis Beerse</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Belgium</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Aurubis Berango</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Spain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Chenzhou Yunxiang Mining and Metallurgy</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Co., Ltd.</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Chifeng Dajingzi Tin Industry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 Tin Group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CRM Fundicao De Metais E Comercio De</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Equipamentos Eletronicos Do Brasil Ltda</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CRM Synergies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Spain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CV Ayi Jaya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CV Venus Inti Perkasa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Dowa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DS Myanmar</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Myanmar</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EM Vinto</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Bolivia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Estanho de Rondonia 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auto"/>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Fabrica Auricchio Industria e Comercio Ltda.</w:t>
            </w:r>
          </w:p>
        </w:tc>
        <w:tc>
          <w:tcPr>
            <w:tcW w:w="28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Fenix Metals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Poland</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Gejiu Non-Ferrous Metal Processing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Guangdong Hanhe Non-Ferrous Metal Co.,</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Ltd.</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New Nanshan Technology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Luna Smelter,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Rwanda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Magnu's Minerais Metais e Ligas Ltda.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Malaysia Smelting Corporation (MSC)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Malaysia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Metallic Resources, Inc.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Mineracao Taboca 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Minsur</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Peru</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Mitsubishi Materials Corporation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O.M. Manufacturing (Thailand)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Thailand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O.M. Manufacturing Philippines, Inc.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Philippines</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Operaciones Metalurgicas 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Bolivia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Aries Kencana Sejahtera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Artha Cipta Langgeng</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ATD Makmur Mandiri Jaya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808080"/>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Babel Inti Perkasa</w:t>
            </w:r>
          </w:p>
        </w:tc>
        <w:tc>
          <w:tcPr>
            <w:tcW w:w="28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Babel Surya Alam Lestari</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Bangka Prima Tin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Bangka Serumpun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Bukit Timah</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Cipta Persada Mulia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Menara Cipta Mulia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Mitra Stania Prima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Mitra Sukses Globalindo</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Premium Tin Indonesia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Prima Timah Utama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Putera Sarana Shakti (PT PSS)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Rajawali Rimba Perkasa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Rajehan Ariq</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Refined Bangka Tin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Sariwiguna Binasentosa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Stanindo Inti Perkasa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Sukses Inti Makmur</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Timah Tbk Kundur</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Timah Tbk Mentok</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auto"/>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PT Tommy Utama</w:t>
            </w:r>
          </w:p>
        </w:tc>
        <w:tc>
          <w:tcPr>
            <w:tcW w:w="28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Resind Industria e Comercio Ltda.</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Rui Da Hung</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Taiwan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Thaisarco</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Thailand</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Tin Smelting Branch of Yunnan Tin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Tin Technology &amp; Refining</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White Solder Metalurgia e Mineracao Ltda.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Yunnan Chengfeng Non-ferrous Metals Co.,</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Ltd.</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A.L.M.T. Corp.</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Asia Tungsten Products Vietnam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Vietnam</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 Molybdenum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Chongyi Zhangyuan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Cronimet Brasil Ltda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Fujian Xinlu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Ganzhou Haichuang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Ganzhou Huaxing Tungsten Products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Ganzhou Jiangwu Ferrotungsten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Ganzhou Seadragon W &amp; Mo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Global Tungsten &amp; Powders LLC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Guangdong Xianglu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H.C. Starck Tungsten GmbH</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Hubei Green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808080"/>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Hunan Chenzhou Mining Co., Ltd.</w:t>
            </w:r>
          </w:p>
        </w:tc>
        <w:tc>
          <w:tcPr>
            <w:tcW w:w="28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40"/>
        </w:trPr>
        <w:tc>
          <w:tcPr>
            <w:tcW w:w="2020" w:type="dxa"/>
            <w:vAlign w:val="bottom"/>
            <w:tcBorders>
              <w:left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Hunan Shizhuyuan Nonferrous Metals Co., Ltd.</w:t>
            </w:r>
          </w:p>
        </w:tc>
        <w:tc>
          <w:tcPr>
            <w:tcW w:w="282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35"/>
        </w:trPr>
        <w:tc>
          <w:tcPr>
            <w:tcW w:w="2020" w:type="dxa"/>
            <w:vAlign w:val="bottom"/>
            <w:tcBorders>
              <w:left w:val="single" w:sz="8" w:color="808080"/>
              <w:bottom w:val="single" w:sz="8" w:color="808080"/>
              <w:right w:val="single" w:sz="8" w:color="808080"/>
            </w:tcBorders>
          </w:tcPr>
          <w:p>
            <w:pPr>
              <w:spacing w:after="0"/>
              <w:rPr>
                <w:sz w:val="11"/>
                <w:szCs w:val="11"/>
                <w:color w:val="auto"/>
              </w:rPr>
            </w:pPr>
          </w:p>
        </w:tc>
        <w:tc>
          <w:tcPr>
            <w:tcW w:w="3520" w:type="dxa"/>
            <w:vAlign w:val="bottom"/>
            <w:tcBorders>
              <w:bottom w:val="single" w:sz="8" w:color="808080"/>
              <w:right w:val="single" w:sz="8" w:color="808080"/>
            </w:tcBorders>
          </w:tcPr>
          <w:p>
            <w:pPr>
              <w:ind w:left="60"/>
              <w:spacing w:after="0" w:line="135" w:lineRule="exact"/>
              <w:rPr>
                <w:sz w:val="20"/>
                <w:szCs w:val="20"/>
                <w:color w:val="auto"/>
              </w:rPr>
            </w:pPr>
            <w:r>
              <w:rPr>
                <w:rFonts w:ascii="Arial" w:cs="Arial" w:eastAsia="Arial" w:hAnsi="Arial"/>
                <w:sz w:val="15"/>
                <w:szCs w:val="15"/>
                <w:color w:val="auto"/>
              </w:rPr>
              <w:t>Chenzhou Tungsten Products Branch</w:t>
            </w:r>
          </w:p>
        </w:tc>
        <w:tc>
          <w:tcPr>
            <w:tcW w:w="2820" w:type="dxa"/>
            <w:vAlign w:val="bottom"/>
            <w:tcBorders>
              <w:bottom w:val="single" w:sz="8" w:color="808080"/>
              <w:right w:val="single" w:sz="8" w:color="808080"/>
            </w:tcBorders>
          </w:tcPr>
          <w:p>
            <w:pPr>
              <w:spacing w:after="0"/>
              <w:rPr>
                <w:sz w:val="11"/>
                <w:szCs w:val="11"/>
                <w:color w:val="auto"/>
              </w:rPr>
            </w:pPr>
          </w:p>
        </w:tc>
        <w:tc>
          <w:tcPr>
            <w:tcW w:w="2880" w:type="dxa"/>
            <w:vAlign w:val="bottom"/>
            <w:tcBorders>
              <w:bottom w:val="single" w:sz="8" w:color="808080"/>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 New Metals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Japan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Jiangwu H.C. Starck Tungsten Products Co.,</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Ltd.</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Gan Bei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62"/>
        </w:trPr>
        <w:tc>
          <w:tcPr>
            <w:tcW w:w="2020" w:type="dxa"/>
            <w:vAlign w:val="bottom"/>
            <w:tcBorders>
              <w:left w:val="single" w:sz="8" w:color="808080"/>
              <w:right w:val="single" w:sz="8" w:color="808080"/>
            </w:tcBorders>
            <w:vMerge w:val="restart"/>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right w:val="single" w:sz="8" w:color="808080"/>
            </w:tcBorders>
          </w:tcPr>
          <w:p>
            <w:pPr>
              <w:ind w:left="60"/>
              <w:spacing w:after="0" w:line="162" w:lineRule="exact"/>
              <w:rPr>
                <w:sz w:val="20"/>
                <w:szCs w:val="20"/>
                <w:color w:val="auto"/>
              </w:rPr>
            </w:pPr>
            <w:r>
              <w:rPr>
                <w:rFonts w:ascii="Arial" w:cs="Arial" w:eastAsia="Arial" w:hAnsi="Arial"/>
                <w:sz w:val="16"/>
                <w:szCs w:val="16"/>
                <w:color w:val="auto"/>
              </w:rPr>
              <w:t>Jiangxi Tonggu Non-ferrous Metallurgical &amp;</w:t>
            </w:r>
          </w:p>
        </w:tc>
        <w:tc>
          <w:tcPr>
            <w:tcW w:w="28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126"/>
        </w:trPr>
        <w:tc>
          <w:tcPr>
            <w:tcW w:w="2020" w:type="dxa"/>
            <w:vAlign w:val="bottom"/>
            <w:tcBorders>
              <w:left w:val="single" w:sz="8" w:color="808080"/>
              <w:right w:val="single" w:sz="8" w:color="808080"/>
            </w:tcBorders>
            <w:vMerge w:val="continue"/>
          </w:tcPr>
          <w:p>
            <w:pPr>
              <w:spacing w:after="0"/>
              <w:rPr>
                <w:sz w:val="10"/>
                <w:szCs w:val="10"/>
                <w:color w:val="auto"/>
              </w:rPr>
            </w:pPr>
          </w:p>
        </w:tc>
        <w:tc>
          <w:tcPr>
            <w:tcW w:w="3520" w:type="dxa"/>
            <w:vAlign w:val="bottom"/>
            <w:tcBorders>
              <w:right w:val="single" w:sz="8" w:color="808080"/>
            </w:tcBorders>
            <w:vMerge w:val="restart"/>
          </w:tcPr>
          <w:p>
            <w:pPr>
              <w:ind w:left="60"/>
              <w:spacing w:after="0"/>
              <w:rPr>
                <w:sz w:val="20"/>
                <w:szCs w:val="20"/>
                <w:color w:val="auto"/>
              </w:rPr>
            </w:pPr>
            <w:r>
              <w:rPr>
                <w:rFonts w:ascii="Arial" w:cs="Arial" w:eastAsia="Arial" w:hAnsi="Arial"/>
                <w:sz w:val="16"/>
                <w:szCs w:val="16"/>
                <w:color w:val="auto"/>
              </w:rPr>
              <w:t>Chemical Co., Ltd.</w:t>
            </w:r>
          </w:p>
        </w:tc>
        <w:tc>
          <w:tcPr>
            <w:tcW w:w="2820" w:type="dxa"/>
            <w:vAlign w:val="bottom"/>
            <w:tcBorders>
              <w:right w:val="single" w:sz="8" w:color="808080"/>
            </w:tcBorders>
            <w:vMerge w:val="continue"/>
          </w:tcPr>
          <w:p>
            <w:pPr>
              <w:spacing w:after="0"/>
              <w:rPr>
                <w:sz w:val="10"/>
                <w:szCs w:val="10"/>
                <w:color w:val="auto"/>
              </w:rPr>
            </w:pPr>
          </w:p>
        </w:tc>
        <w:tc>
          <w:tcPr>
            <w:tcW w:w="288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808080"/>
              <w:bottom w:val="single" w:sz="8" w:color="808080"/>
              <w:right w:val="single" w:sz="8" w:color="808080"/>
            </w:tcBorders>
          </w:tcPr>
          <w:p>
            <w:pPr>
              <w:spacing w:after="0"/>
              <w:rPr>
                <w:sz w:val="7"/>
                <w:szCs w:val="7"/>
                <w:color w:val="auto"/>
              </w:rPr>
            </w:pPr>
          </w:p>
        </w:tc>
        <w:tc>
          <w:tcPr>
            <w:tcW w:w="3520" w:type="dxa"/>
            <w:vAlign w:val="bottom"/>
            <w:tcBorders>
              <w:bottom w:val="single" w:sz="8" w:color="808080"/>
              <w:right w:val="single" w:sz="8" w:color="808080"/>
            </w:tcBorders>
            <w:vMerge w:val="continue"/>
          </w:tcPr>
          <w:p>
            <w:pPr>
              <w:spacing w:after="0"/>
              <w:rPr>
                <w:sz w:val="7"/>
                <w:szCs w:val="7"/>
                <w:color w:val="auto"/>
              </w:rPr>
            </w:pPr>
          </w:p>
        </w:tc>
        <w:tc>
          <w:tcPr>
            <w:tcW w:w="2820" w:type="dxa"/>
            <w:vAlign w:val="bottom"/>
            <w:tcBorders>
              <w:bottom w:val="single" w:sz="8" w:color="808080"/>
              <w:right w:val="single" w:sz="8" w:color="808080"/>
            </w:tcBorders>
          </w:tcPr>
          <w:p>
            <w:pPr>
              <w:spacing w:after="0"/>
              <w:rPr>
                <w:sz w:val="7"/>
                <w:szCs w:val="7"/>
                <w:color w:val="auto"/>
              </w:rPr>
            </w:pPr>
          </w:p>
        </w:tc>
        <w:tc>
          <w:tcPr>
            <w:tcW w:w="2880" w:type="dxa"/>
            <w:vAlign w:val="bottom"/>
            <w:tcBorders>
              <w:bottom w:val="single" w:sz="8" w:color="808080"/>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Xinsheng Tungsten Industry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Jiangxi Yaosheng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Kennametal Fallon</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Kennametal Huntsville</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Lianyou Metals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Taiwan</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Malipo Haiyu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Masan High-Tech Materials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Vietnam</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Niagara Refining LLC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Philippine Chuangxin Industrial Co., Inc.</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Philippines</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auto"/>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TANIOBIS Smelting GmbH &amp; Co. KG</w:t>
            </w:r>
          </w:p>
        </w:tc>
        <w:tc>
          <w:tcPr>
            <w:tcW w:w="28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Tungsten Vietnam Joint Stock Company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Vietnam</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Wolfram Bergbau und Hutten AG</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Austria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Xiamen Tungsten (H.C.)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Xiamen Tungsten Co.,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Conformant</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Augmont Enterprises Private Limited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C.I Metales Procesados Industriales SAS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Colombia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Coimpa Industrial LTDA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GGC Gujrat Gold Centre Pvt. Ltd.</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WEEEREFINING</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France</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Belitung Industri Sejahtera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PT Timah Nusantara</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Indonesia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09"/>
        </w:trPr>
        <w:tc>
          <w:tcPr>
            <w:tcW w:w="202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Super Ligas</w:t>
            </w:r>
          </w:p>
        </w:tc>
        <w:tc>
          <w:tcPr>
            <w:tcW w:w="282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RMI Active</w:t>
            </w:r>
          </w:p>
        </w:tc>
        <w:tc>
          <w:tcPr>
            <w:tcW w:w="0" w:type="dxa"/>
            <w:vAlign w:val="bottom"/>
          </w:tcPr>
          <w:p>
            <w:pPr>
              <w:spacing w:after="0"/>
              <w:rPr>
                <w:sz w:val="1"/>
                <w:szCs w:val="1"/>
                <w:color w:val="auto"/>
              </w:rPr>
            </w:pPr>
          </w:p>
        </w:tc>
      </w:tr>
      <w:tr>
        <w:trPr>
          <w:trHeight w:val="210"/>
        </w:trPr>
        <w:tc>
          <w:tcPr>
            <w:tcW w:w="2020" w:type="dxa"/>
            <w:vAlign w:val="bottom"/>
            <w:tcBorders>
              <w:left w:val="single" w:sz="8" w:color="808080"/>
              <w:bottom w:val="single" w:sz="8" w:color="auto"/>
              <w:right w:val="single" w:sz="8" w:color="808080"/>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8853 S.p.A.</w:t>
            </w:r>
          </w:p>
        </w:tc>
        <w:tc>
          <w:tcPr>
            <w:tcW w:w="282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Italy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ABC Refinery Pty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Australia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Advanced Chemical Company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9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African Gold Refinery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Uganda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Albino Mountinho Lda.</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Portugal</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Atasay Kuyumculuk Sanayi Ve Ticaret A.S.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Turkey</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AU Traders and Refiners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South Africa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Caridad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Mexico</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20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Cendres + Metaux S.A.</w:t>
            </w:r>
          </w:p>
        </w:tc>
        <w:tc>
          <w:tcPr>
            <w:tcW w:w="2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Switzerland</w:t>
            </w:r>
          </w:p>
        </w:tc>
        <w:tc>
          <w:tcPr>
            <w:tcW w:w="288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9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CGR Metalloys Pvt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Daye Non-Ferrous Metals Mining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Degussa Sonne / Mond Goldhandel GmbH</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2880" w:type="dxa"/>
            <w:vAlign w:val="bottom"/>
            <w:tcBorders>
              <w:bottom w:val="single" w:sz="8" w:color="auto"/>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2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Dijllah Gold Refinery FZC</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Arab Emirates</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Dongwu Gold Group</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9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Emerald Jewel Industry India Limited (Unit 1)</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Emerald Jewel Industry India Limited (Unit 2)</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Emerald Jewel Industry India Limited (Unit 3)</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2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Emerald Jewel Industry India Limited (Unit 4)</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Fidelity Printers and Refiners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Zimbabwe</w:t>
            </w:r>
          </w:p>
        </w:tc>
        <w:tc>
          <w:tcPr>
            <w:tcW w:w="288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90"/>
        </w:trPr>
        <w:tc>
          <w:tcPr>
            <w:tcW w:w="20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Fujairah Gold FZC</w:t>
            </w:r>
          </w:p>
        </w:tc>
        <w:tc>
          <w:tcPr>
            <w:tcW w:w="2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Arab Emirates</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Gold Coast Refinery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Ghana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Great Wall Precious Metals Co., Ltd. of CBPM</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Guangdong Jinding Gold Limited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Guoda Safina High-Tech Environmental</w:t>
            </w: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Refinery Co., Ltd.</w:t>
            </w:r>
          </w:p>
        </w:tc>
        <w:tc>
          <w:tcPr>
            <w:tcW w:w="28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Hangzhou Fuchunjiang Smelting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Hunan Chenzhou Mining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Hunan Guiyang yinxing Nonferrous Smelting</w:t>
            </w: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 Ltd.</w:t>
            </w:r>
          </w:p>
        </w:tc>
        <w:tc>
          <w:tcPr>
            <w:tcW w:w="28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HwaSeong CJ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Industrial Refining Company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Belgium</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International Precious Metal Refiners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Arab Emirates</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JALAN &amp; Company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JSC Ekaterinburg Non-Ferrous Metal</w:t>
            </w: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Processing Plant</w:t>
            </w:r>
          </w:p>
        </w:tc>
        <w:tc>
          <w:tcPr>
            <w:tcW w:w="28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JSC Novosibirsk Refinery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JSC Uralelectromed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 Rasmussen</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Norway</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Kaloti Precious Metals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Arab Emirates</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Kazakhmys Smelting LLC</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Kazakhstan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Kundan Care Products Ltd.</w:t>
            </w:r>
          </w:p>
        </w:tc>
        <w:tc>
          <w:tcPr>
            <w:tcW w:w="2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Kyrgyzaltyn JSC</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Kyrgyzstan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Kyshtym Copper-Electrolytic Plant ZAO</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L'azurde Company For Jewelry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Saudi Arabia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Lingbao Gold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Lingbao Jinyuan Tonghui Refinery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Luoyang Zijin Yinhui Gold Refinery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Marsam Metals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MD Overseas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Metallix Refining Inc.</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Modeltech Sdn Bhd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Malaysia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Morris and Watson</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New Zealand</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Moscow Special Alloys Processing Plant</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OJSC "The Gulidov Krasnoyarsk Non-Ferrous</w:t>
            </w: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Metals Plant" (OJSC Krastsvetmet)</w:t>
            </w:r>
          </w:p>
        </w:tc>
        <w:tc>
          <w:tcPr>
            <w:tcW w:w="28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Pease &amp; Curren</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Penglai Penggang Gold Industry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Prioksky Plant of Non-Ferrous Metals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QG Refining, LLC</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Refinery of Seemine Gold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Sabin Metal Corp.</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States of America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Safimet S.p.A</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Italy</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Sai Refinery</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Samduck Precious Metals</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Samwon Metals Corp.</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Republic of Korea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Sellem Industries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Mauritania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Shandong Humon Smelting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39"/>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Shandong Tiancheng Biological Gold Industrial</w:t>
            </w:r>
          </w:p>
        </w:tc>
        <w:tc>
          <w:tcPr>
            <w:tcW w:w="2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35"/>
        </w:trPr>
        <w:tc>
          <w:tcPr>
            <w:tcW w:w="2020" w:type="dxa"/>
            <w:vAlign w:val="bottom"/>
            <w:tcBorders>
              <w:left w:val="single" w:sz="8" w:color="auto"/>
              <w:bottom w:val="single" w:sz="8" w:color="auto"/>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60"/>
              <w:spacing w:after="0" w:line="135" w:lineRule="exact"/>
              <w:rPr>
                <w:sz w:val="20"/>
                <w:szCs w:val="20"/>
                <w:color w:val="auto"/>
              </w:rPr>
            </w:pPr>
            <w:r>
              <w:rPr>
                <w:rFonts w:ascii="Arial" w:cs="Arial" w:eastAsia="Arial" w:hAnsi="Arial"/>
                <w:sz w:val="15"/>
                <w:szCs w:val="15"/>
                <w:color w:val="auto"/>
              </w:rPr>
              <w:t>Co., Ltd.</w:t>
            </w:r>
          </w:p>
        </w:tc>
        <w:tc>
          <w:tcPr>
            <w:tcW w:w="2820" w:type="dxa"/>
            <w:vAlign w:val="bottom"/>
            <w:tcBorders>
              <w:bottom w:val="single" w:sz="8" w:color="auto"/>
              <w:right w:val="single" w:sz="8" w:color="auto"/>
            </w:tcBorders>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Shenzhen CuiLu Gold Co., Ltd.</w:t>
            </w:r>
          </w:p>
        </w:tc>
        <w:tc>
          <w:tcPr>
            <w:tcW w:w="2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Shenzhen Zhonghenglong Real Industry Co.,</w:t>
            </w:r>
          </w:p>
        </w:tc>
        <w:tc>
          <w:tcPr>
            <w:tcW w:w="2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China</w:t>
            </w:r>
          </w:p>
        </w:tc>
        <w:tc>
          <w:tcPr>
            <w:tcW w:w="2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Ltd.</w:t>
            </w:r>
          </w:p>
        </w:tc>
        <w:tc>
          <w:tcPr>
            <w:tcW w:w="28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Shirpur Gold Refinery Ltd.</w:t>
            </w:r>
          </w:p>
        </w:tc>
        <w:tc>
          <w:tcPr>
            <w:tcW w:w="28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Singway Technology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SOE Shyolkovsky Factory of Secondary</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Precious Metals</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Sovereign Metals</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State Research Institute Center for Physical</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Lithuania</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Sciences and Technology</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Sudan Gold Refinery</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Sudan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Super Dragon Technology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Tongling Nonferrous Metals Group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Umicore Precious Metals Thailand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Thailand</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Yunnan Copper Industry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5D Production OU</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Estonia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Solikamsk Magnesium Works OAO</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An Vinh Joint Stock Mineral Processing</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Vietnam</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Company</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Dongguan CiEXPO Environmental Engineering</w:t>
            </w:r>
          </w:p>
        </w:tc>
        <w:tc>
          <w:tcPr>
            <w:tcW w:w="2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35"/>
        </w:trPr>
        <w:tc>
          <w:tcPr>
            <w:tcW w:w="2020" w:type="dxa"/>
            <w:vAlign w:val="bottom"/>
            <w:tcBorders>
              <w:left w:val="single" w:sz="8" w:color="auto"/>
              <w:bottom w:val="single" w:sz="8" w:color="auto"/>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ind w:left="60"/>
              <w:spacing w:after="0" w:line="135" w:lineRule="exact"/>
              <w:rPr>
                <w:sz w:val="20"/>
                <w:szCs w:val="20"/>
                <w:color w:val="auto"/>
              </w:rPr>
            </w:pPr>
            <w:r>
              <w:rPr>
                <w:rFonts w:ascii="Arial" w:cs="Arial" w:eastAsia="Arial" w:hAnsi="Arial"/>
                <w:sz w:val="15"/>
                <w:szCs w:val="15"/>
                <w:color w:val="auto"/>
              </w:rPr>
              <w:t>Co., Ltd.</w:t>
            </w:r>
          </w:p>
        </w:tc>
        <w:tc>
          <w:tcPr>
            <w:tcW w:w="284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auto"/>
            </w:tcBorders>
          </w:tcPr>
          <w:p>
            <w:pPr>
              <w:ind w:left="60"/>
              <w:spacing w:after="0" w:line="159" w:lineRule="exact"/>
              <w:rPr>
                <w:sz w:val="20"/>
                <w:szCs w:val="20"/>
                <w:color w:val="auto"/>
              </w:rPr>
            </w:pPr>
            <w:r>
              <w:rPr>
                <w:rFonts w:ascii="Arial" w:cs="Arial" w:eastAsia="Arial" w:hAnsi="Arial"/>
                <w:sz w:val="16"/>
                <w:szCs w:val="16"/>
                <w:color w:val="auto"/>
              </w:rPr>
              <w:t>Electro-Mechanical Facility of the Cao Bang</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Vietnam</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Minerals &amp; Metallurgy Joint Stock Company</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City Fuxiang Industry and Trade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Kai Meng Industry and Trade LLC</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Yunxin Nonferrous Electrolysis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Zili Mining And Metallurgy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Melt Metais e Ligas S.A.</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Modeltech Sdn Bhd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Malaysia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Nghe Tinh Non-Ferrous Metals Joint Stock</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Vietnam</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Company</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Novosibirsk Tin Combine</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Pongpipat Company Limited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Myanmar</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Precious Minerals and Smelting Limited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Bangka Tin Industry</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Panca Mega Persada</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Tinindo Inter Nusa</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Tirus Putra Mandiri</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202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top w:val="single" w:sz="8" w:color="auto"/>
              <w:right w:val="single" w:sz="8" w:color="auto"/>
            </w:tcBorders>
          </w:tcPr>
          <w:p>
            <w:pPr>
              <w:ind w:left="60"/>
              <w:spacing w:after="0" w:line="179" w:lineRule="exact"/>
              <w:rPr>
                <w:sz w:val="20"/>
                <w:szCs w:val="20"/>
                <w:color w:val="auto"/>
              </w:rPr>
            </w:pPr>
            <w:r>
              <w:rPr>
                <w:rFonts w:ascii="Arial" w:cs="Arial" w:eastAsia="Arial" w:hAnsi="Arial"/>
                <w:sz w:val="16"/>
                <w:szCs w:val="16"/>
                <w:color w:val="auto"/>
              </w:rPr>
              <w:t>Tuyen Quang Non-Ferrous Metals Joint Stock</w:t>
            </w:r>
          </w:p>
        </w:tc>
        <w:tc>
          <w:tcPr>
            <w:tcW w:w="284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Vietnam</w:t>
            </w:r>
          </w:p>
        </w:tc>
        <w:tc>
          <w:tcPr>
            <w:tcW w:w="286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Company</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VQB Mineral and Trading Group JSC</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Vietnam</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Yunnan Yunfan Non-ferrous Metals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ACL Metais Eireli</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Albasteel Industria e Comercio de Ligas Para</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Brazil</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Fundicao Ltd.</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Artek LLC</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CNMC (Guangxi) PGMA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DONGKUK INDUSTRIES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Republic of Korea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HANNAE FOR T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Republic of Korea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Hunan Jintai New Material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Hydrometallurg, JSC</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color w:val="auto"/>
              </w:rPr>
              <w:t>Jiangxi Minmetals Gao'an Non-ferrous Metals</w:t>
            </w:r>
          </w:p>
        </w:tc>
        <w:tc>
          <w:tcPr>
            <w:tcW w:w="2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 Ltd.</w:t>
            </w: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JSC "Kirovgrad Hard Alloys Plant"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LLC Vostok</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Moliren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NPP Tyazhmetprom LLC</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OOO “Technolom” 1</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OOO “Technolom” 2</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Unecha Refractory metals plant</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YUDU ANSHENG TUNGSTEN CO., LTD.</w:t>
            </w:r>
          </w:p>
        </w:tc>
        <w:tc>
          <w:tcPr>
            <w:tcW w:w="2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2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Smelter Lookup Tab 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w:t>
      </w:r>
    </w:p>
    <w:p>
      <w:pPr>
        <w:sectPr>
          <w:pgSz w:w="11900" w:h="16838" w:orient="portrait"/>
          <w:cols w:equalWidth="0" w:num="1">
            <w:col w:w="11240"/>
          </w:cols>
          <w:pgMar w:left="320" w:top="144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b w:val="1"/>
          <w:bCs w:val="1"/>
          <w:u w:val="single" w:color="auto"/>
          <w:color w:val="002060"/>
        </w:rPr>
        <w:t>Table B</w:t>
      </w:r>
    </w:p>
    <w:p>
      <w:pPr>
        <w:jc w:val="center"/>
        <w:spacing w:after="0"/>
        <w:rPr>
          <w:sz w:val="20"/>
          <w:szCs w:val="20"/>
          <w:color w:val="auto"/>
        </w:rPr>
      </w:pPr>
      <w:r>
        <w:rPr>
          <w:rFonts w:ascii="Arial" w:cs="Arial" w:eastAsia="Arial" w:hAnsi="Arial"/>
          <w:sz w:val="18"/>
          <w:szCs w:val="18"/>
          <w:color w:val="auto"/>
        </w:rPr>
        <w:t>(as of May 22, 2023)</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Gold</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Tantalum</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Tin</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Tungsten</w:t>
            </w:r>
          </w:p>
        </w:tc>
      </w:tr>
      <w:tr>
        <w:trPr>
          <w:trHeight w:val="206"/>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Afghanistan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Angola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Ãland Islands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American Samoa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Ãland Islands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Argentina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Andorra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Angola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Albania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Australia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Angola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Argentina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American Samoa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Argentina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Australia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Andorra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Belgium</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Armenia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Angola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Bolivia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Australia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Belgium</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Argentina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Brazil</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Bolivia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Armenia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Burundi</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Belgium</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Brazil</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Aruba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Cambodia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Benin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Burundi</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Australia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Canada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Bermuda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Cambodia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Austria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Chile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Bolivia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Canada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Azerbaijan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China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Brazil</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Chile</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Bahamas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Colombia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Burundi</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China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Barbados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Congo</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Cambodia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Colombia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Belarus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Democratic Republic of Congo</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Canada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Congo</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Belgium</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Djibouti</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Chile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Democratic Republic of Congo</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Benin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Ecuador</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China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Djibouti</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Bermuda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Egypt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Colombia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Ecuador</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Bolivia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Eritrea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Congo</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Egypt</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Brazil</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Estonia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Democratic Republic of Congo</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Eritrea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Bulgaria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Ethiopia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Djibouti</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Estonia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Burkina Faso</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France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Ecuador</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Ethiopia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Burundi</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Germany</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Egypt</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France</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Cambodia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Ghana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Eritrea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Georgia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Canada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Guinea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Estonia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Germany</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Central African Republic</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Guyana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Ethiopia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Ghana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Chile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Hong Kong</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France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Guam</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China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Hungary</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Germany</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Guinea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Colombia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Ghana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Guyana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Congo</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Indonesia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Guinea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Hong Kong</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Czechia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Ireland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Guyana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Hungary</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Democratic Republic of Congo</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Israel</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Hong Kong</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Djibouti</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Hungary</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Indonesia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Dominica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Jersey</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Ireland</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Dominican Republic</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Kazakhstan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Indonesia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Israel</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Ecuador</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Korea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Ireland</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Italy</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Egypt</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Luxembourg</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Israel</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Japan</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Eritrea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Madagascar</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Jersey</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Estonia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Malaysia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Jersey</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Kazakhstan</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Ethiopia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Mali</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Kazakhstan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Korea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Finland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Mexico</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Korea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Liechtenstein</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France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Mongolia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Luxembourg</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Luxembourg</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Georgia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Mozambique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Madagascar</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Malaysia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Germany</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Myanmar</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Malaysia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Mexico</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Ghana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Namibia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Mali</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Mongolia</w:t>
            </w:r>
          </w:p>
        </w:tc>
      </w:tr>
    </w:tbl>
    <w:p>
      <w:pPr>
        <w:spacing w:after="0" w:line="200" w:lineRule="exact"/>
        <w:rPr>
          <w:sz w:val="20"/>
          <w:szCs w:val="20"/>
          <w:color w:val="auto"/>
        </w:rPr>
      </w:pP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1240"/>
          </w:cols>
          <w:pgMar w:left="320" w:top="1394" w:right="339" w:bottom="1440" w:gutter="0" w:footer="0" w:header="0"/>
          <w:type w:val="continuous"/>
        </w:sectPr>
      </w:pPr>
    </w:p>
    <w:bookmarkStart w:id="21" w:name="page22"/>
    <w:bookmarkEnd w:id="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Guatemala</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Netherlands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Mexico</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Morocco</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Guinea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Niger</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Mongolia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Mozambique</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Guyana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Nigeria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Morocco</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Myanmar</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Honduras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Panama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Mozambique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Namibia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Hong Kong</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Papua New Guinea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Myanmar</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Niger</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Hungary</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Peru</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Namibia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Nigeria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Philippines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Netherlands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Panama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Indonesia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Poland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Niger</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Papua New Guinea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Ireland</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Portugal</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Nigeria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Peru</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Italy</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Russian Federation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Panama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Philippines</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Rwanda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Papua New Guinea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Portugal</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Jersey</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Saudi Arabia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Peru</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Russian Federation</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Kazakhstan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Sierra Leone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Philippines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Rwanda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Kenya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Singapore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Poland</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Samoa</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Korea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Slovenia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Portugal</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Saudi Arabia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Kyrgyzstan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Africa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Russian Federation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Sierra Leone</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Liberia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Sudan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Rwanda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Singapore</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Liechtenstein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Spain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Saudi Arabia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Africa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Lithuania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Sudan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Sierra Leone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South Sudan</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Luxembourg</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Switzerland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Singapore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Spain</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Madagascar</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Taiwan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Slovakia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Sudan</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Malaysia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Tanzania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Africa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Suriname</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Mali</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Thailand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Sudan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Switzerland</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Mauritania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Turkey</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Spain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Taiwan</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Mexico</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United Arab Emirates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Sudan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Tanzania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Mongolia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United Kingdom</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Suriname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Thailand</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Mozambique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United States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Switzerland</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Turkey</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Myanmar</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Zambia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Taiwan</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United Arab Emirates</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Namibia</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Zimbabwe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Tanzania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United Kingdom</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Netherlands</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Thailand</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United States</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Zealand</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Turkey</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Uzbekistan</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Nicaragua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Uganda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Vietnam</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Niger</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United Kingdom</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Zambia</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Nigeria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United States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Zimbabwe</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Norway</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Uzbekistan</w:t>
            </w: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Panama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Vietnam</w:t>
            </w: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Papua New Guinea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Zambia</w:t>
            </w: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Peru</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Zimbabwe</w:t>
            </w: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Philippines</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Poland</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Portugal</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Russian Federation</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Rwanda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Samoa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Saudi Arabia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Senegal</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Sierra Leone</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Singapore</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Africa</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South Sudan</w:t>
            </w:r>
          </w:p>
        </w:tc>
        <w:tc>
          <w:tcPr>
            <w:tcW w:w="2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263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jc w:val="center"/>
        <w:ind w:right="7419"/>
        <w:spacing w:after="0"/>
        <w:rPr>
          <w:sz w:val="20"/>
          <w:szCs w:val="20"/>
          <w:color w:val="auto"/>
        </w:rPr>
      </w:pPr>
      <w:r>
        <w:rPr>
          <w:rFonts w:ascii="Arial" w:cs="Arial" w:eastAsia="Arial" w:hAnsi="Arial"/>
          <w:sz w:val="16"/>
          <w:szCs w:val="16"/>
          <w:color w:val="auto"/>
        </w:rPr>
        <w:t>Spain</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Sudan</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Suriname</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Sweden</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Switzerland</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Taiwan</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Tajikistan</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Tanzania</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Thailand</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Turkey</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Uganda</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United Arab Emirates</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United States</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Uzbekistan</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Vietnam</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Zambia</w:t>
      </w:r>
    </w:p>
    <w:p>
      <w:pPr>
        <w:spacing w:after="0" w:line="46" w:lineRule="exact"/>
        <w:rPr>
          <w:sz w:val="20"/>
          <w:szCs w:val="20"/>
          <w:color w:val="auto"/>
        </w:rPr>
      </w:pPr>
    </w:p>
    <w:p>
      <w:pPr>
        <w:jc w:val="center"/>
        <w:ind w:right="7419"/>
        <w:spacing w:after="0"/>
        <w:rPr>
          <w:sz w:val="20"/>
          <w:szCs w:val="20"/>
          <w:color w:val="auto"/>
        </w:rPr>
      </w:pPr>
      <w:r>
        <w:rPr>
          <w:rFonts w:ascii="Arial" w:cs="Arial" w:eastAsia="Arial" w:hAnsi="Arial"/>
          <w:sz w:val="16"/>
          <w:szCs w:val="16"/>
          <w:color w:val="auto"/>
        </w:rPr>
        <w:t>Zimbabwe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Countries that do not contain physical mine locations have been included as they are a source of recycle/scrap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0139"/>
          </w:cols>
          <w:pgMar w:left="320" w:top="1440" w:right="1440" w:bottom="1440" w:gutter="0" w:footer="0" w:header="0"/>
        </w:sectPr>
      </w:pPr>
    </w:p>
    <w:bookmarkStart w:id="23" w:name="page24"/>
    <w:bookmarkEnd w:id="23"/>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002060"/>
        </w:rPr>
        <w:t>Helpful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Acronyms Used in This Report</w:t>
      </w:r>
    </w:p>
    <w:p>
      <w:pPr>
        <w:sectPr>
          <w:pgSz w:w="11900" w:h="16838" w:orient="portrait"/>
          <w:cols w:equalWidth="0" w:num="1">
            <w:col w:w="11100"/>
          </w:cols>
          <w:pgMar w:left="320" w:top="1440" w:right="479" w:bottom="1440" w:gutter="0" w:footer="0" w:header="0"/>
        </w:sect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3TG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Tin, Tantalum, Tungsten or Gold</w:t>
      </w:r>
    </w:p>
    <w:p>
      <w:pPr>
        <w:spacing w:after="0" w:line="43" w:lineRule="exact"/>
        <w:rPr>
          <w:sz w:val="20"/>
          <w:szCs w:val="20"/>
          <w:color w:val="auto"/>
        </w:rPr>
      </w:pPr>
    </w:p>
    <w:p>
      <w:pPr>
        <w:sectPr>
          <w:pgSz w:w="11900" w:h="16838" w:orient="portrait"/>
          <w:cols w:equalWidth="0" w:num="2">
            <w:col w:w="480" w:space="720"/>
            <w:col w:w="9900"/>
          </w:cols>
          <w:pgMar w:left="320" w:top="1440" w:right="4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CMRT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Conflict Minerals Reporting Template</w:t>
      </w:r>
    </w:p>
    <w:p>
      <w:pPr>
        <w:spacing w:after="0" w:line="32" w:lineRule="exact"/>
        <w:rPr>
          <w:sz w:val="20"/>
          <w:szCs w:val="20"/>
          <w:color w:val="auto"/>
        </w:rPr>
      </w:pPr>
    </w:p>
    <w:p>
      <w:pPr>
        <w:sectPr>
          <w:pgSz w:w="11900" w:h="16838" w:orient="portrait"/>
          <w:cols w:equalWidth="0" w:num="2">
            <w:col w:w="500" w:space="700"/>
            <w:col w:w="9900"/>
          </w:cols>
          <w:pgMar w:left="320" w:top="1440" w:right="4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Democratic Republic of the Congo</w:t>
      </w:r>
    </w:p>
    <w:p>
      <w:pPr>
        <w:spacing w:after="0" w:line="32" w:lineRule="exact"/>
        <w:rPr>
          <w:sz w:val="20"/>
          <w:szCs w:val="20"/>
          <w:color w:val="auto"/>
        </w:rPr>
      </w:pPr>
    </w:p>
    <w:p>
      <w:pPr>
        <w:sectPr>
          <w:pgSz w:w="11900" w:h="16838" w:orient="portrait"/>
          <w:cols w:equalWidth="0" w:num="2">
            <w:col w:w="480" w:space="720"/>
            <w:col w:w="9900"/>
          </w:cols>
          <w:pgMar w:left="320" w:top="1440" w:right="4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OECD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Organization for Economic Cooperation and Development</w:t>
      </w:r>
    </w:p>
    <w:p>
      <w:pPr>
        <w:spacing w:after="0" w:line="32" w:lineRule="exact"/>
        <w:rPr>
          <w:sz w:val="20"/>
          <w:szCs w:val="20"/>
          <w:color w:val="auto"/>
        </w:rPr>
      </w:pPr>
    </w:p>
    <w:p>
      <w:pPr>
        <w:sectPr>
          <w:pgSz w:w="11900" w:h="16838" w:orient="portrait"/>
          <w:cols w:equalWidth="0" w:num="2">
            <w:col w:w="500" w:space="700"/>
            <w:col w:w="9900"/>
          </w:cols>
          <w:pgMar w:left="320" w:top="1440" w:right="4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RMAP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Responsible Minerals Assurance Process</w:t>
      </w:r>
    </w:p>
    <w:p>
      <w:pPr>
        <w:spacing w:after="0" w:line="32" w:lineRule="exact"/>
        <w:rPr>
          <w:sz w:val="20"/>
          <w:szCs w:val="20"/>
          <w:color w:val="auto"/>
        </w:rPr>
      </w:pPr>
    </w:p>
    <w:p>
      <w:pPr>
        <w:sectPr>
          <w:pgSz w:w="11900" w:h="16838" w:orient="portrait"/>
          <w:cols w:equalWidth="0" w:num="2">
            <w:col w:w="500" w:space="700"/>
            <w:col w:w="9900"/>
          </w:cols>
          <w:pgMar w:left="320" w:top="1440" w:right="4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RMI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Responsible Minerals Initiative</w:t>
      </w:r>
    </w:p>
    <w:p>
      <w:pPr>
        <w:spacing w:after="0" w:line="32" w:lineRule="exact"/>
        <w:rPr>
          <w:sz w:val="20"/>
          <w:szCs w:val="20"/>
          <w:color w:val="auto"/>
        </w:rPr>
      </w:pPr>
    </w:p>
    <w:p>
      <w:pPr>
        <w:sectPr>
          <w:pgSz w:w="11900" w:h="16838" w:orient="portrait"/>
          <w:cols w:equalWidth="0" w:num="2">
            <w:col w:w="480" w:space="720"/>
            <w:col w:w="9900"/>
          </w:cols>
          <w:pgMar w:left="320" w:top="1440" w:right="4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Smelters or Refiners</w:t>
      </w:r>
    </w:p>
    <w:p>
      <w:pPr>
        <w:spacing w:after="0" w:line="200" w:lineRule="exact"/>
        <w:rPr>
          <w:sz w:val="20"/>
          <w:szCs w:val="20"/>
          <w:color w:val="auto"/>
        </w:rPr>
      </w:pPr>
    </w:p>
    <w:p>
      <w:pPr>
        <w:sectPr>
          <w:pgSz w:w="11900" w:h="16838" w:orient="portrait"/>
          <w:cols w:equalWidth="0" w:num="2">
            <w:col w:w="480" w:space="720"/>
            <w:col w:w="9900"/>
          </w:cols>
          <w:pgMar w:left="320" w:top="1440" w:right="47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6"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This Report contains "forward-looking statements" - that is, statements related to future events that by their nature address matters that are, to different degrees, uncertain. For details on the uncertainties that may cause our actual future results to be materially different than those expressed in our forward-looking statements, see https://www.ge.com/investor-relations/important-forward-looking-statement-information as well as our annual reports on Form 10-K and quarterly reports on Form 10-Q. We do not undertake to update our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You Can Find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GE’s Responsible Mineral Sourcing Principles</w:t>
      </w:r>
    </w:p>
    <w:p>
      <w:pPr>
        <w:spacing w:after="0"/>
        <w:rPr>
          <w:sz w:val="20"/>
          <w:szCs w:val="20"/>
          <w:color w:val="auto"/>
        </w:rPr>
      </w:pPr>
      <w:r>
        <w:rPr>
          <w:rFonts w:ascii="Arial" w:cs="Arial" w:eastAsia="Arial" w:hAnsi="Arial"/>
          <w:sz w:val="16"/>
          <w:szCs w:val="16"/>
          <w:color w:val="auto"/>
        </w:rPr>
        <w:t>https://www.ge.com/sustainability/reports-hub</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GE’s Statement on Ethical Supply Chain</w:t>
      </w:r>
    </w:p>
    <w:p>
      <w:pPr>
        <w:spacing w:after="0"/>
        <w:rPr>
          <w:sz w:val="20"/>
          <w:szCs w:val="20"/>
          <w:color w:val="auto"/>
        </w:rPr>
      </w:pPr>
      <w:r>
        <w:rPr>
          <w:rFonts w:ascii="Arial" w:cs="Arial" w:eastAsia="Arial" w:hAnsi="Arial"/>
          <w:sz w:val="16"/>
          <w:szCs w:val="16"/>
          <w:color w:val="auto"/>
        </w:rPr>
        <w:t>https://www.ge.com/sustainability/reports-hub</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GE’s Integrity Guide for Suppliers, Contractors and Consultants</w:t>
      </w:r>
    </w:p>
    <w:p>
      <w:pPr>
        <w:spacing w:after="0"/>
        <w:rPr>
          <w:sz w:val="20"/>
          <w:szCs w:val="20"/>
          <w:color w:val="auto"/>
        </w:rPr>
      </w:pPr>
      <w:r>
        <w:rPr>
          <w:rFonts w:ascii="Arial" w:cs="Arial" w:eastAsia="Arial" w:hAnsi="Arial"/>
          <w:sz w:val="16"/>
          <w:szCs w:val="16"/>
          <w:color w:val="auto"/>
        </w:rPr>
        <w:t>www.gesupplier.com/html/SuppliersIntegrityGuide.htm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GE’s Code of Conduct: </w:t>
      </w:r>
      <w:r>
        <w:rPr>
          <w:rFonts w:ascii="Arial" w:cs="Arial" w:eastAsia="Arial" w:hAnsi="Arial"/>
          <w:sz w:val="16"/>
          <w:szCs w:val="16"/>
          <w:b w:val="1"/>
          <w:bCs w:val="1"/>
          <w:i w:val="1"/>
          <w:iCs w:val="1"/>
          <w:color w:val="auto"/>
        </w:rPr>
        <w:t>The Spirit &amp; The Letter</w:t>
      </w:r>
    </w:p>
    <w:p>
      <w:pPr>
        <w:spacing w:after="0"/>
        <w:rPr>
          <w:sz w:val="20"/>
          <w:szCs w:val="20"/>
          <w:color w:val="auto"/>
        </w:rPr>
      </w:pPr>
      <w:r>
        <w:rPr>
          <w:rFonts w:ascii="Arial" w:cs="Arial" w:eastAsia="Arial" w:hAnsi="Arial"/>
          <w:sz w:val="16"/>
          <w:szCs w:val="16"/>
          <w:color w:val="auto"/>
        </w:rPr>
        <w:t>https://www.ge.com/snl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Responsible Minerals Initiative</w:t>
      </w:r>
    </w:p>
    <w:p>
      <w:pPr>
        <w:spacing w:after="0"/>
        <w:rPr>
          <w:sz w:val="20"/>
          <w:szCs w:val="20"/>
          <w:color w:val="auto"/>
        </w:rPr>
      </w:pPr>
      <w:r>
        <w:rPr>
          <w:rFonts w:ascii="Arial" w:cs="Arial" w:eastAsia="Arial" w:hAnsi="Arial"/>
          <w:sz w:val="16"/>
          <w:szCs w:val="16"/>
          <w:color w:val="auto"/>
        </w:rPr>
        <w:t>http://www.responsiblemineralsinitiative.org</w:t>
      </w:r>
    </w:p>
    <w:p>
      <w:pPr>
        <w:spacing w:after="0" w:line="174" w:lineRule="exact"/>
        <w:rPr>
          <w:sz w:val="20"/>
          <w:szCs w:val="20"/>
          <w:color w:val="auto"/>
        </w:rPr>
      </w:pPr>
    </w:p>
    <w:p>
      <w:pPr>
        <w:ind w:right="2000"/>
        <w:spacing w:after="0" w:line="251" w:lineRule="auto"/>
        <w:rPr>
          <w:sz w:val="20"/>
          <w:szCs w:val="20"/>
          <w:color w:val="auto"/>
        </w:rPr>
      </w:pPr>
      <w:r>
        <w:rPr>
          <w:rFonts w:ascii="Arial" w:cs="Arial" w:eastAsia="Arial" w:hAnsi="Arial"/>
          <w:sz w:val="16"/>
          <w:szCs w:val="16"/>
          <w:b w:val="1"/>
          <w:bCs w:val="1"/>
          <w:color w:val="auto"/>
        </w:rPr>
        <w:t xml:space="preserve">OECD Due Diligence Guidance for Responsible Supply Chains of Minerals from Conflict-Affected and High-Risk Areas </w:t>
      </w:r>
      <w:r>
        <w:rPr>
          <w:rFonts w:ascii="Arial" w:cs="Arial" w:eastAsia="Arial" w:hAnsi="Arial"/>
          <w:sz w:val="16"/>
          <w:szCs w:val="16"/>
          <w:color w:val="auto"/>
        </w:rPr>
        <w:t>www.oecd.org/daf/inv/mne/OECD-Due-Diligence-Guidance-Minerals-Edition3.pdf</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GE’s 2022 Annual Report on Form 10-K</w:t>
      </w:r>
    </w:p>
    <w:p>
      <w:pPr>
        <w:spacing w:after="0"/>
        <w:rPr>
          <w:sz w:val="20"/>
          <w:szCs w:val="20"/>
          <w:color w:val="auto"/>
        </w:rPr>
      </w:pPr>
      <w:r>
        <w:rPr>
          <w:rFonts w:ascii="Arial" w:cs="Arial" w:eastAsia="Arial" w:hAnsi="Arial"/>
          <w:sz w:val="16"/>
          <w:szCs w:val="16"/>
          <w:color w:val="auto"/>
        </w:rPr>
        <w:t>https://www.ge.com/investor-relations/annual-report</w:t>
      </w:r>
    </w:p>
    <w:p>
      <w:pPr>
        <w:spacing w:after="0" w:line="182"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*These web links are provided for convenience only, and the content on the referenced websites does not constitute a part of, and is not incorporated by reference into, this Report.</w:t>
      </w:r>
    </w:p>
    <w:p>
      <w:pPr>
        <w:spacing w:after="0" w:line="172"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GE and the GE logo are trademarks and service marks of General Electric Company. Other marks used throughout are trademarks and service 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A-15</w:t>
      </w:r>
    </w:p>
    <w:sectPr>
      <w:pgSz w:w="11900" w:h="16838" w:orient="portrait"/>
      <w:cols w:equalWidth="0" w:num="1">
        <w:col w:w="11100"/>
      </w:cols>
      <w:pgMar w:left="32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2023-05-31T15:25:05Z</dcterms:created>
  <dcterms:modified xsi:type="dcterms:W3CDTF">2023-05-31T15:25:05Z</dcterms:modified>
</cp:coreProperties>
</file>