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36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shd w:fill="FFFFFF" w:val="clear"/>
        </w:rPr>
        <w:t>July 29,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GE HEALTHCARE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6689" w:type="dxa"/>
        <w:jc w:val="center"/>
        <w:tblInd w:w="0" w:type="dxa"/>
        <w:tblLayout w:type="fixed"/>
        <w:tblCellMar>
          <w:top w:w="28" w:type="dxa"/>
          <w:left w:w="28" w:type="dxa"/>
          <w:bottom w:w="28" w:type="dxa"/>
          <w:right w:w="28" w:type="dxa"/>
        </w:tblCellMar>
      </w:tblPr>
      <w:tblGrid>
        <w:gridCol w:w="404"/>
        <w:gridCol w:w="354"/>
        <w:gridCol w:w="354"/>
        <w:gridCol w:w="354"/>
        <w:gridCol w:w="354"/>
        <w:gridCol w:w="354"/>
        <w:gridCol w:w="354"/>
        <w:gridCol w:w="354"/>
        <w:gridCol w:w="366"/>
        <w:gridCol w:w="109"/>
        <w:gridCol w:w="109"/>
        <w:gridCol w:w="109"/>
        <w:gridCol w:w="403"/>
        <w:gridCol w:w="403"/>
        <w:gridCol w:w="408"/>
        <w:gridCol w:w="109"/>
        <w:gridCol w:w="109"/>
        <w:gridCol w:w="109"/>
        <w:gridCol w:w="244"/>
        <w:gridCol w:w="244"/>
        <w:gridCol w:w="244"/>
        <w:gridCol w:w="244"/>
        <w:gridCol w:w="244"/>
        <w:gridCol w:w="353"/>
      </w:tblGrid>
      <w:tr>
        <w:trPr/>
        <w:tc>
          <w:tcPr>
            <w:tcW w:w="4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689"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001-41528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88-2515116</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500 W. Monroe Street, Chicago,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60661</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u w:val="single"/>
        </w:rPr>
        <w:t xml:space="preserve">(833) 735-1139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______________________________________________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894" w:type="dxa"/>
        <w:jc w:val="left"/>
        <w:tblInd w:w="0" w:type="dxa"/>
        <w:tblLayout w:type="fixed"/>
        <w:tblCellMar>
          <w:top w:w="28" w:type="dxa"/>
          <w:left w:w="28" w:type="dxa"/>
          <w:bottom w:w="28" w:type="dxa"/>
          <w:right w:w="28" w:type="dxa"/>
        </w:tblCellMar>
      </w:tblPr>
      <w:tblGrid>
        <w:gridCol w:w="124"/>
        <w:gridCol w:w="109"/>
        <w:gridCol w:w="109"/>
        <w:gridCol w:w="3058"/>
        <w:gridCol w:w="3058"/>
        <w:gridCol w:w="30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Soliciting material pursuant to Rule 14a-12 under the Exchange Act (17 CFR 240.14a-12)</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77" w:type="dxa"/>
        <w:jc w:val="left"/>
        <w:tblInd w:w="0" w:type="dxa"/>
        <w:tblLayout w:type="fixed"/>
        <w:tblCellMar>
          <w:top w:w="28" w:type="dxa"/>
          <w:left w:w="28" w:type="dxa"/>
          <w:bottom w:w="28" w:type="dxa"/>
          <w:right w:w="28" w:type="dxa"/>
        </w:tblCellMar>
      </w:tblPr>
      <w:tblGrid>
        <w:gridCol w:w="1276"/>
        <w:gridCol w:w="1122"/>
        <w:gridCol w:w="1126"/>
        <w:gridCol w:w="109"/>
        <w:gridCol w:w="109"/>
        <w:gridCol w:w="109"/>
        <w:gridCol w:w="534"/>
        <w:gridCol w:w="534"/>
        <w:gridCol w:w="536"/>
        <w:gridCol w:w="109"/>
        <w:gridCol w:w="109"/>
        <w:gridCol w:w="109"/>
        <w:gridCol w:w="1108"/>
        <w:gridCol w:w="1108"/>
        <w:gridCol w:w="1579"/>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GEHC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87"/>
        <w:gridCol w:w="3146"/>
        <w:gridCol w:w="315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or Rule 12b-2 of the Securities Exchange Act of 1934.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On</w:t>
      </w:r>
      <w:r>
        <w:rPr>
          <w:color w:val="000000"/>
        </w:rPr>
        <w:t xml:space="preserve"> </w:t>
      </w:r>
      <w:r>
        <w:rPr>
          <w:rFonts w:ascii="Arial;sans-serif" w:hAnsi="Arial;sans-serif"/>
          <w:b w:val="false"/>
          <w:color w:val="000000"/>
          <w:sz w:val="18"/>
          <w:shd w:fill="FFFFFF" w:val="clear"/>
        </w:rPr>
        <w:t>July 29, 2026</w:t>
      </w:r>
      <w:r>
        <w:rPr>
          <w:rFonts w:ascii="Arial;sans-serif" w:hAnsi="Arial;sans-serif"/>
          <w:b w:val="false"/>
          <w:color w:val="000000"/>
          <w:sz w:val="18"/>
        </w:rPr>
        <w:t xml:space="preserve">, GE HealthCare Technologies Inc. (“GE HealthCare”) issued a press release announcing its second quarter 2026 financial results. A copy of this press release is furnished as Exhibit 99 to this Current Report on Form 8-K.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information furnished pursuant to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 of GE HealthCare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ind w:left="0" w:right="0" w:firstLine="225"/>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 Exhibits</w:t>
      </w:r>
    </w:p>
    <w:tbl>
      <w:tblPr>
        <w:tblW w:w="7080" w:type="dxa"/>
        <w:jc w:val="left"/>
        <w:tblInd w:w="0" w:type="dxa"/>
        <w:tblLayout w:type="fixed"/>
        <w:tblCellMar>
          <w:top w:w="28" w:type="dxa"/>
          <w:left w:w="28" w:type="dxa"/>
          <w:bottom w:w="28" w:type="dxa"/>
          <w:right w:w="28" w:type="dxa"/>
        </w:tblCellMar>
      </w:tblPr>
      <w:tblGrid>
        <w:gridCol w:w="255"/>
        <w:gridCol w:w="225"/>
        <w:gridCol w:w="226"/>
        <w:gridCol w:w="1865"/>
        <w:gridCol w:w="1865"/>
        <w:gridCol w:w="264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w:t>
            </w:r>
          </w:p>
        </w:tc>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lease2q26earnings.htm">
              <w:r>
                <w:rPr>
                  <w:rStyle w:val="InternetLink"/>
                  <w:rFonts w:ascii="Arial;sans-serif" w:hAnsi="Arial;sans-serif"/>
                  <w:b/>
                  <w:color w:val="000000"/>
                  <w:sz w:val="18"/>
                </w:rPr>
                <w:t>99</w:t>
              </w:r>
            </w:hyperlink>
          </w:p>
        </w:tc>
        <w:tc>
          <w:tcPr>
            <w:tcW w:w="63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elease2q26earnings.htm">
              <w:r>
                <w:rPr>
                  <w:rStyle w:val="InternetLink"/>
                  <w:rFonts w:ascii="Arial;sans-serif" w:hAnsi="Arial;sans-serif"/>
                  <w:b w:val="false"/>
                  <w:color w:val="000080"/>
                  <w:sz w:val="18"/>
                  <w:u w:val="single"/>
                </w:rPr>
                <w:t xml:space="preserve">Press release of GE HealthCare Technologies Inc., dated </w:t>
              </w:r>
            </w:hyperlink>
            <w:hyperlink w:anchor="release2q26earnings.htm">
              <w:r>
                <w:rPr>
                  <w:rStyle w:val="InternetLink"/>
                  <w:rFonts w:ascii="Arial;sans-serif" w:hAnsi="Arial;sans-serif"/>
                  <w:b w:val="false"/>
                  <w:color w:val="000080"/>
                  <w:sz w:val="18"/>
                  <w:u w:val="single"/>
                </w:rPr>
                <w:t>July</w:t>
              </w:r>
            </w:hyperlink>
            <w:hyperlink w:anchor="release2q26earnings.htm">
              <w:r>
                <w:rPr>
                  <w:rStyle w:val="InternetLink"/>
                  <w:rFonts w:ascii="Arial;sans-serif" w:hAnsi="Arial;sans-serif"/>
                  <w:b w:val="false"/>
                  <w:color w:val="000080"/>
                  <w:sz w:val="18"/>
                  <w:u w:val="single"/>
                </w:rPr>
                <w:t xml:space="preserve"> 29, 2026.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104</w:t>
            </w:r>
          </w:p>
        </w:tc>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of this Current Report on Form 8-K, formatted in Inline XBRL.</w:t>
            </w:r>
          </w:p>
        </w:tc>
      </w:tr>
    </w:tbl>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771"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1976"/>
        <w:gridCol w:w="1976"/>
        <w:gridCol w:w="2798"/>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 HealthCare Technologies Inc.</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Date: </w:t>
            </w:r>
            <w:r>
              <w:rPr>
                <w:rFonts w:ascii="Arial;sans-serif" w:hAnsi="Arial;sans-serif"/>
                <w:b w:val="false"/>
                <w:color w:val="000000"/>
                <w:sz w:val="18"/>
                <w:shd w:fill="FFFFFF" w:val="clear"/>
              </w:rPr>
              <w:t>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George A. Newcomb</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George A. Newcomb, Controller &amp; Chief Accounting Officer (authorized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2743200" cy="9239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43200" cy="92392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color w:val="000000"/>
        </w:rPr>
      </w:pPr>
      <w:r>
        <w:rPr>
          <w:color w:val="000000"/>
        </w:rPr>
        <w:t>                                </w:t>
      </w:r>
      <w:r>
        <w:rPr>
          <w:rFonts w:ascii="Arial;sans-serif" w:hAnsi="Arial;sans-serif"/>
          <w:b/>
          <w:color w:val="000000"/>
          <w:sz w:val="18"/>
        </w:rPr>
        <w:t>Exhibit 99</w:t>
      </w:r>
    </w:p>
    <w:p>
      <w:pPr>
        <w:pStyle w:val="TextBody"/>
        <w:bidi w:val="0"/>
        <w:spacing w:before="0" w:after="0"/>
        <w:jc w:val="right"/>
        <w:rPr/>
      </w:pPr>
      <w:r>
        <w:rPr/>
      </w:r>
    </w:p>
    <w:p>
      <w:pPr>
        <w:pStyle w:val="TextBody"/>
        <w:bidi w:val="0"/>
        <w:spacing w:lineRule="auto" w:line="252" w:before="0" w:after="60"/>
        <w:jc w:val="center"/>
        <w:rPr>
          <w:rFonts w:ascii="Source Sans Pro;sans-serif" w:hAnsi="Source Sans Pro;sans-serif"/>
          <w:b/>
          <w:color w:val="6022A6"/>
          <w:sz w:val="30"/>
        </w:rPr>
      </w:pPr>
      <w:r>
        <w:rPr>
          <w:rFonts w:ascii="Source Sans Pro;sans-serif" w:hAnsi="Source Sans Pro;sans-serif"/>
          <w:b/>
          <w:color w:val="6022A6"/>
          <w:sz w:val="30"/>
        </w:rPr>
        <w:t>GE HealthCare reports second quarter 2026 financial results</w:t>
      </w:r>
    </w:p>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288" w:before="0" w:after="0"/>
        <w:ind w:left="0" w:right="0" w:hanging="360"/>
        <w:jc w:val="left"/>
        <w:rPr/>
      </w:pPr>
      <w:r>
        <w:rPr>
          <w:color w:val="000000"/>
          <w:shd w:fill="FFFFFF" w:val="clear"/>
        </w:rPr>
        <w:t>•</w:t>
      </w:r>
      <w:r>
        <w:rPr>
          <w:rFonts w:ascii="Source Sans Pro;sans-serif" w:hAnsi="Source Sans Pro;sans-serif"/>
          <w:b w:val="false"/>
          <w:color w:val="000000"/>
          <w:sz w:val="20"/>
          <w:shd w:fill="FFFFFF" w:val="clear"/>
        </w:rPr>
        <w:t>Revenue growth of 5.7%, and Organic revenue growth* of 3.5%</w:t>
      </w:r>
    </w:p>
    <w:p>
      <w:pPr>
        <w:pStyle w:val="TextBody"/>
        <w:bidi w:val="0"/>
        <w:spacing w:lineRule="auto" w:line="288" w:before="0" w:after="0"/>
        <w:ind w:left="0" w:right="0" w:hanging="360"/>
        <w:jc w:val="left"/>
        <w:rPr/>
      </w:pPr>
      <w:r>
        <w:rPr>
          <w:color w:val="000000"/>
          <w:shd w:fill="FFFFFF" w:val="clear"/>
        </w:rPr>
        <w:t>•</w:t>
      </w:r>
      <w:r>
        <w:rPr>
          <w:rFonts w:ascii="Source Sans Pro;sans-serif" w:hAnsi="Source Sans Pro;sans-serif"/>
          <w:b w:val="false"/>
          <w:color w:val="000000"/>
          <w:sz w:val="20"/>
          <w:shd w:fill="FFFFFF" w:val="clear"/>
        </w:rPr>
        <w:t>Record organic orders growth of</w:t>
      </w:r>
      <w:r>
        <w:rPr>
          <w:color w:val="000000"/>
        </w:rPr>
        <w:t xml:space="preserve"> </w:t>
      </w:r>
      <w:r>
        <w:rPr>
          <w:rFonts w:ascii="Source Sans Pro;sans-serif" w:hAnsi="Source Sans Pro;sans-serif"/>
          <w:b w:val="false"/>
          <w:color w:val="000000"/>
          <w:sz w:val="20"/>
        </w:rPr>
        <w:t>11.1%</w:t>
      </w:r>
      <w:r>
        <w:rPr>
          <w:rFonts w:ascii="Source Sans Pro;sans-serif" w:hAnsi="Source Sans Pro;sans-serif"/>
          <w:b w:val="false"/>
          <w:color w:val="000000"/>
          <w:sz w:val="20"/>
          <w:shd w:fill="FFFFFF" w:val="clear"/>
        </w:rPr>
        <w:t>, book-to-bill of 1.15 times and backlog of $23.9 billion</w:t>
      </w:r>
    </w:p>
    <w:p>
      <w:pPr>
        <w:pStyle w:val="TextBody"/>
        <w:bidi w:val="0"/>
        <w:spacing w:lineRule="auto" w:line="288" w:before="0" w:after="0"/>
        <w:ind w:left="0" w:right="0" w:hanging="360"/>
        <w:jc w:val="left"/>
        <w:rPr/>
      </w:pPr>
      <w:r>
        <w:rPr>
          <w:color w:val="000000"/>
        </w:rPr>
        <w:t>•</w:t>
      </w:r>
      <w:r>
        <w:rPr>
          <w:rFonts w:ascii="Source Sans Pro;sans-serif" w:hAnsi="Source Sans Pro;sans-serif"/>
          <w:b w:val="false"/>
          <w:color w:val="000000"/>
          <w:sz w:val="20"/>
        </w:rPr>
        <w:t>Net income margin of 10.6% and Adjusted earnings before interest and taxes (EBIT) margin* of 14.2%; diluted earnings per share (EPS) of $1.24 grew 16.5% and Adjusted EPS* of $1.13 grew 6.6%</w:t>
      </w:r>
    </w:p>
    <w:p>
      <w:pPr>
        <w:pStyle w:val="TextBody"/>
        <w:bidi w:val="0"/>
        <w:spacing w:lineRule="auto" w:line="288" w:before="0" w:after="0"/>
        <w:ind w:left="0" w:right="0" w:hanging="360"/>
        <w:jc w:val="left"/>
        <w:rPr/>
      </w:pPr>
      <w:r>
        <w:rPr>
          <w:color w:val="000000"/>
        </w:rPr>
        <w:t>•</w:t>
      </w:r>
      <w:r>
        <w:rPr>
          <w:rFonts w:ascii="Source Sans Pro;sans-serif" w:hAnsi="Source Sans Pro;sans-serif"/>
          <w:b w:val="false"/>
          <w:color w:val="000000"/>
          <w:sz w:val="20"/>
        </w:rPr>
        <w:t>Cash flow from operating activities of $168 million and Free cash flow* of $68 million</w:t>
      </w:r>
    </w:p>
    <w:p>
      <w:pPr>
        <w:pStyle w:val="TextBody"/>
        <w:bidi w:val="0"/>
        <w:spacing w:lineRule="auto" w:line="288" w:before="0" w:after="0"/>
        <w:ind w:left="0" w:right="0" w:hanging="360"/>
        <w:jc w:val="left"/>
        <w:rPr/>
      </w:pPr>
      <w:r>
        <w:rPr>
          <w:color w:val="000000"/>
        </w:rPr>
        <w:t>•</w:t>
      </w:r>
      <w:r>
        <w:rPr>
          <w:rFonts w:ascii="Source Sans Pro;sans-serif" w:hAnsi="Source Sans Pro;sans-serif"/>
          <w:b w:val="false"/>
          <w:color w:val="000000"/>
          <w:sz w:val="20"/>
        </w:rPr>
        <w:t>Reaffirms full-year 2026 guidance</w:t>
      </w:r>
    </w:p>
    <w:p>
      <w:pPr>
        <w:pStyle w:val="TextBody"/>
        <w:bidi w:val="0"/>
        <w:spacing w:before="0" w:after="0"/>
        <w:jc w:val="left"/>
        <w:rPr/>
      </w:pPr>
      <w:r>
        <w:rPr/>
      </w:r>
    </w:p>
    <w:p>
      <w:pPr>
        <w:pStyle w:val="TextBody"/>
        <w:bidi w:val="0"/>
        <w:spacing w:lineRule="auto" w:line="288" w:before="0" w:after="0"/>
        <w:jc w:val="left"/>
        <w:rPr/>
      </w:pPr>
      <w:r>
        <w:rPr>
          <w:rFonts w:ascii="Source Sans Pro;sans-serif" w:hAnsi="Source Sans Pro;sans-serif"/>
          <w:b/>
          <w:color w:val="000000"/>
          <w:sz w:val="20"/>
        </w:rPr>
        <w:t xml:space="preserve">Chicago, IL – July 29, 2026 – </w:t>
      </w:r>
      <w:r>
        <w:rPr>
          <w:rFonts w:ascii="Source Sans Pro;sans-serif" w:hAnsi="Source Sans Pro;sans-serif"/>
          <w:b w:val="false"/>
          <w:color w:val="000000"/>
          <w:sz w:val="20"/>
        </w:rPr>
        <w:t>GE HealthCare (Nasdaq: GEHC) today reported financial results for the second quarter ended June 30, 2026.</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GE HealthCare President and CEO Peter Arduini said, “We delivered record orders and backlog in the second quarter, with orders growth across every segment, demonstrating strong commercial execution, including the adoption of new products. In Patient Care Solutions, while we are focused on returning the business to growth and profitability, we are reviewing strategic options to maximize its long-term value. Our continued investment in precision innovation is expanding our addressable markets, strengthening our competitive position and supporting durable short- and long-term growth.”</w:t>
      </w:r>
    </w:p>
    <w:p>
      <w:pPr>
        <w:pStyle w:val="TextBody"/>
        <w:bidi w:val="0"/>
        <w:spacing w:before="0" w:after="2"/>
        <w:jc w:val="left"/>
        <w:rPr/>
      </w:pPr>
      <w:r>
        <w:rPr/>
      </w:r>
    </w:p>
    <w:p>
      <w:pPr>
        <w:pStyle w:val="TextBody"/>
        <w:bidi w:val="0"/>
        <w:spacing w:lineRule="auto" w:line="417" w:before="0" w:after="60"/>
        <w:jc w:val="both"/>
        <w:rPr/>
      </w:pPr>
      <w:r>
        <w:rPr>
          <w:rFonts w:ascii="Source Sans Pro;sans-serif" w:hAnsi="Source Sans Pro;sans-serif"/>
          <w:b/>
          <w:color w:val="6022A6"/>
          <w:sz w:val="20"/>
          <w:shd w:fill="FFFFFF" w:val="clear"/>
        </w:rPr>
        <w:t>Second quarter 2026 total company financial performance</w:t>
      </w:r>
      <w:r>
        <w:rPr>
          <w:rFonts w:ascii="Source Sans Pro;sans-serif" w:hAnsi="Source Sans Pro;sans-serif"/>
          <w:b/>
          <w:color w:val="6022A6"/>
          <w:sz w:val="13"/>
          <w:shd w:fill="FFFFFF" w:val="clear"/>
        </w:rPr>
        <w:t>(1)</w:t>
      </w:r>
      <w:r>
        <w:rPr>
          <w:color w:val="6022A6"/>
          <w:shd w:fill="FFFFFF" w:val="clear"/>
        </w:rPr>
        <w:t xml:space="preserve"> </w:t>
      </w:r>
    </w:p>
    <w:p>
      <w:pPr>
        <w:pStyle w:val="TextBody"/>
        <w:bidi w:val="0"/>
        <w:spacing w:lineRule="auto" w:line="300" w:before="0" w:after="2"/>
        <w:ind w:left="0" w:right="0" w:hanging="360"/>
        <w:jc w:val="left"/>
        <w:rPr/>
      </w:pPr>
      <w:r>
        <w:rPr>
          <w:color w:val="000000"/>
          <w:shd w:fill="FFFFFF" w:val="clear"/>
        </w:rPr>
        <w:t>•</w:t>
      </w:r>
      <w:r>
        <w:rPr>
          <w:rFonts w:ascii="Source Sans Pro;sans-serif" w:hAnsi="Source Sans Pro;sans-serif"/>
          <w:b w:val="false"/>
          <w:color w:val="000000"/>
          <w:sz w:val="20"/>
          <w:shd w:fill="FFFFFF" w:val="clear"/>
        </w:rPr>
        <w:t xml:space="preserve">Revenues of $5.3 billion, up </w:t>
      </w:r>
      <w:r>
        <w:rPr>
          <w:rFonts w:ascii="Source Sans Pro;sans-serif" w:hAnsi="Source Sans Pro;sans-serif"/>
          <w:b w:val="false"/>
          <w:color w:val="000000"/>
          <w:sz w:val="20"/>
        </w:rPr>
        <w:t>5.7%, including Organic revenue growth* of 3.5%, driven by Pharmaceutical Diagnostics (PDx) and Advanced Imaging Solutions (AIS), with overall strength in the U.S., Europe, the Middle East, and Africa (EMEA), and Rest of World. Patient Care Solutions (PCS) financial performance continued to be challenged.</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shd w:fill="FFFFFF" w:val="clear"/>
        </w:rPr>
        <w:t>•</w:t>
      </w:r>
      <w:r>
        <w:rPr>
          <w:rFonts w:ascii="Source Sans Pro;sans-serif" w:hAnsi="Source Sans Pro;sans-serif"/>
          <w:b w:val="false"/>
          <w:color w:val="000000"/>
          <w:sz w:val="20"/>
          <w:shd w:fill="FFFFFF" w:val="clear"/>
        </w:rPr>
        <w:t>Total orders up</w:t>
      </w:r>
      <w:r>
        <w:rPr>
          <w:color w:val="000000"/>
        </w:rPr>
        <w:t xml:space="preserve"> </w:t>
      </w:r>
      <w:r>
        <w:rPr>
          <w:rFonts w:ascii="Source Sans Pro;sans-serif" w:hAnsi="Source Sans Pro;sans-serif"/>
          <w:b w:val="false"/>
          <w:color w:val="000000"/>
          <w:sz w:val="20"/>
        </w:rPr>
        <w:t xml:space="preserve">11.1% </w:t>
      </w:r>
      <w:r>
        <w:rPr>
          <w:rFonts w:ascii="Source Sans Pro;sans-serif" w:hAnsi="Source Sans Pro;sans-serif"/>
          <w:b w:val="false"/>
          <w:color w:val="000000"/>
          <w:sz w:val="20"/>
          <w:shd w:fill="FFFFFF" w:val="clear"/>
        </w:rPr>
        <w:t xml:space="preserve">organically </w:t>
      </w:r>
      <w:r>
        <w:rPr>
          <w:rFonts w:ascii="Source Sans Pro;sans-serif" w:hAnsi="Source Sans Pro;sans-serif"/>
          <w:b w:val="false"/>
          <w:color w:val="000000"/>
          <w:sz w:val="20"/>
        </w:rPr>
        <w:t>versus 3.4% growth in the year-ago period</w:t>
      </w:r>
      <w:r>
        <w:rPr>
          <w:rFonts w:ascii="Source Sans Pro;sans-serif" w:hAnsi="Source Sans Pro;sans-serif"/>
          <w:b w:val="false"/>
          <w:color w:val="000000"/>
          <w:sz w:val="20"/>
          <w:shd w:fill="FFFFFF" w:val="clear"/>
        </w:rPr>
        <w:t>, book-to-bill of 1.15 times and backlog of $23.9 billion</w:t>
      </w:r>
      <w:r>
        <w:rPr>
          <w:rFonts w:ascii="Source Sans Pro;sans-serif" w:hAnsi="Source Sans Pro;sans-serif"/>
          <w:b w:val="false"/>
          <w:color w:val="000000"/>
          <w:sz w:val="20"/>
        </w:rPr>
        <w:t xml:space="preserve">. </w:t>
      </w:r>
    </w:p>
    <w:p>
      <w:pPr>
        <w:pStyle w:val="TextBody"/>
        <w:bidi w:val="0"/>
        <w:spacing w:before="0" w:after="2"/>
        <w:jc w:val="left"/>
        <w:rPr/>
      </w:pPr>
      <w:r>
        <w:rPr/>
      </w:r>
    </w:p>
    <w:p>
      <w:pPr>
        <w:pStyle w:val="TextBody"/>
        <w:bidi w:val="0"/>
        <w:spacing w:lineRule="auto" w:line="288" w:before="0" w:after="0"/>
        <w:ind w:left="0" w:right="0" w:hanging="360"/>
        <w:jc w:val="left"/>
        <w:rPr/>
      </w:pPr>
      <w:r>
        <w:rPr>
          <w:color w:val="000000"/>
          <w:shd w:fill="FFFFFF" w:val="clear"/>
        </w:rPr>
        <w:t>•</w:t>
      </w:r>
      <w:r>
        <w:rPr>
          <w:rFonts w:ascii="Source Sans Pro;sans-serif" w:hAnsi="Source Sans Pro;sans-serif"/>
          <w:b w:val="false"/>
          <w:color w:val="000000"/>
          <w:sz w:val="20"/>
          <w:shd w:fill="FFFFFF" w:val="clear"/>
        </w:rPr>
        <w:t>Net income attributable to GE HealthCare of $561 million versus $486 million, and Adjusted EBIT* of $750 million versus $729 million, with current period measures benefiting from International Emergency Economic Powers Act (IEEPA) tariff refunds recognized of $129 million for net income and $23 million for Adjusted EBIT*</w:t>
      </w:r>
      <w:r>
        <w:rPr>
          <w:rFonts w:ascii="Source Sans Pro;sans-serif" w:hAnsi="Source Sans Pro;sans-serif"/>
          <w:b w:val="false"/>
          <w:color w:val="000000"/>
          <w:sz w:val="20"/>
        </w:rPr>
        <w:t>. T</w:t>
      </w:r>
      <w:r>
        <w:rPr>
          <w:rFonts w:ascii="Source Sans Pro;sans-serif" w:hAnsi="Source Sans Pro;sans-serif"/>
          <w:b w:val="false"/>
          <w:color w:val="000000"/>
          <w:sz w:val="20"/>
          <w:shd w:fill="FFFFFF" w:val="clear"/>
        </w:rPr>
        <w:t xml:space="preserve">ariff refunds of $106 million related to 2025 were excluded from Adjusted EBIT* results. </w:t>
      </w:r>
    </w:p>
    <w:p>
      <w:pPr>
        <w:pStyle w:val="TextBody"/>
        <w:bidi w:val="0"/>
        <w:spacing w:before="0" w:after="2"/>
        <w:jc w:val="left"/>
        <w:rPr/>
      </w:pPr>
      <w:r>
        <w:rPr/>
      </w:r>
    </w:p>
    <w:p>
      <w:pPr>
        <w:pStyle w:val="TextBody"/>
        <w:bidi w:val="0"/>
        <w:spacing w:lineRule="auto" w:line="288" w:before="0" w:after="0"/>
        <w:ind w:left="0" w:right="0" w:hanging="360"/>
        <w:jc w:val="left"/>
        <w:rPr/>
      </w:pPr>
      <w:r>
        <w:rPr>
          <w:color w:val="000000"/>
          <w:shd w:fill="FFFFFF" w:val="clear"/>
        </w:rPr>
        <w:t>•</w:t>
      </w:r>
      <w:r>
        <w:rPr>
          <w:rFonts w:ascii="Source Sans Pro;sans-serif" w:hAnsi="Source Sans Pro;sans-serif"/>
          <w:b w:val="false"/>
          <w:color w:val="000000"/>
          <w:sz w:val="20"/>
          <w:shd w:fill="FFFFFF" w:val="clear"/>
        </w:rPr>
        <w:t>Net income margin of 10.6% versus 9.7%, up 90 basis points (bps). Adjusted EBIT margin* of 14.2% versus 14.6%, down 40 bps, with both measures negatively impacted</w:t>
      </w:r>
      <w:r>
        <w:rPr>
          <w:color w:val="000000"/>
        </w:rPr>
        <w:t xml:space="preserve"> </w:t>
      </w:r>
      <w:r>
        <w:rPr>
          <w:rFonts w:ascii="Source Sans Pro;sans-serif" w:hAnsi="Source Sans Pro;sans-serif"/>
          <w:b w:val="false"/>
          <w:color w:val="000000"/>
          <w:sz w:val="20"/>
        </w:rPr>
        <w:t>b</w:t>
      </w:r>
      <w:r>
        <w:rPr>
          <w:rFonts w:ascii="Source Sans Pro;sans-serif" w:hAnsi="Source Sans Pro;sans-serif"/>
          <w:b w:val="false"/>
          <w:color w:val="000000"/>
          <w:sz w:val="20"/>
          <w:shd w:fill="FFFFFF" w:val="clear"/>
        </w:rPr>
        <w:t xml:space="preserve">y a decline in PCS and inflation related to memory chips, oil and freight costs. </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Source Sans Pro;sans-serif" w:hAnsi="Source Sans Pro;sans-serif"/>
          <w:b w:val="false"/>
          <w:color w:val="000000"/>
          <w:sz w:val="20"/>
        </w:rPr>
        <w:t>Diluted EPS of $1.24 versus $1.06, up $0.18; Adjusted EPS* of $1.13 versus $1.06, up $0.07</w:t>
      </w:r>
      <w:r>
        <w:rPr>
          <w:rFonts w:ascii="Source Sans Pro;sans-serif" w:hAnsi="Source Sans Pro;sans-serif"/>
          <w:b w:val="false"/>
          <w:color w:val="000000"/>
          <w:sz w:val="20"/>
          <w:shd w:fill="FFFFFF" w:val="clear"/>
        </w:rPr>
        <w:t>, with both measures benefiting from tariff refunds as well as a lower tax rate.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17220"/>
                <wp:effectExtent l="0" t="0" r="0" b="0"/>
                <wp:wrapNone/>
                <wp:docPr id="5" name="Frame4"/>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(1) All comparisons to prior-year period unless otherwise noted.</w:t>
                            </w:r>
                          </w:p>
                          <w:p>
                            <w:pPr>
                              <w:pStyle w:val="TextBody"/>
                              <w:bidi w:val="0"/>
                              <w:spacing w:before="0" w:after="0"/>
                              <w:jc w:val="center"/>
                              <w:rPr/>
                            </w:pPr>
                            <w:r>
                              <w:rPr/>
                            </w:r>
                          </w:p>
                          <w:p>
                            <w:pPr>
                              <w:pStyle w:val="TextBody"/>
                              <w:bidi w:val="0"/>
                              <w:spacing w:lineRule="auto" w:line="240"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(1) All comparisons to prior-year period unless otherwise noted.</w:t>
                      </w:r>
                    </w:p>
                    <w:p>
                      <w:pPr>
                        <w:pStyle w:val="TextBody"/>
                        <w:bidi w:val="0"/>
                        <w:spacing w:before="0" w:after="0"/>
                        <w:jc w:val="center"/>
                        <w:rPr/>
                      </w:pPr>
                      <w:r>
                        <w:rPr/>
                      </w:r>
                    </w:p>
                    <w:p>
                      <w:pPr>
                        <w:pStyle w:val="TextBody"/>
                        <w:bidi w:val="0"/>
                        <w:spacing w:lineRule="auto" w:line="240" w:before="0" w:after="0"/>
                        <w:jc w:val="center"/>
                        <w:rPr>
                          <w:color w:val="000000"/>
                        </w:rPr>
                      </w:pPr>
                      <w:r>
                        <w:rPr>
                          <w:color w:val="000000"/>
                        </w:rPr>
                        <w:t>        </w:t>
                      </w:r>
                    </w:p>
                  </w:txbxContent>
                </v:textbox>
                <w10:wrap type="none"/>
              </v:rect>
            </w:pict>
          </mc:Fallback>
        </mc:AlternateContent>
      </w:r>
    </w:p>
    <w:p>
      <w:pPr>
        <w:pStyle w:val="TextBody"/>
        <w:bidi w:val="0"/>
        <w:spacing w:lineRule="auto" w:line="300" w:before="0" w:after="60"/>
        <w:jc w:val="left"/>
        <w:rPr/>
      </w:pPr>
      <w:r>
        <w:rPr>
          <w:rFonts w:ascii="Source Sans Pro;sans-serif" w:hAnsi="Source Sans Pro;sans-serif"/>
          <w:b/>
          <w:color w:val="6022A6"/>
          <w:sz w:val="20"/>
          <w:shd w:fill="FFFFFF" w:val="clear"/>
        </w:rPr>
        <w:t xml:space="preserve">Second quarter 2026 segment financial performance </w:t>
      </w:r>
      <w:r>
        <w:rPr>
          <w:rFonts w:ascii="Source Sans Pro;sans-serif" w:hAnsi="Source Sans Pro;sans-serif"/>
          <w:b w:val="false"/>
          <w:color w:val="6022A6"/>
          <w:sz w:val="20"/>
          <w:shd w:fill="FFFFFF" w:val="clear"/>
        </w:rPr>
        <w:t>(Unaudited)</w:t>
      </w:r>
    </w:p>
    <w:p>
      <w:pPr>
        <w:pStyle w:val="TextBody"/>
        <w:bidi w:val="0"/>
        <w:spacing w:lineRule="auto" w:line="28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In the second quarter of 2026, GE HealthCare combined its Imaging and Advanced Visualization Solutions businesses into a new operating and reportable segment, Advanced Imaging Solutions. Following this organizational change, the Company has three reportable segments: Advanced Imaging Solutions, Pharmaceutical Diagnostics and Patient Care Solutions. Historical segment financial information presented herein has been recast to conform to the new reportable segments structure.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2"/>
        <w:gridCol w:w="734"/>
        <w:gridCol w:w="740"/>
        <w:gridCol w:w="915"/>
        <w:gridCol w:w="915"/>
        <w:gridCol w:w="917"/>
        <w:gridCol w:w="952"/>
        <w:gridCol w:w="952"/>
        <w:gridCol w:w="954"/>
        <w:gridCol w:w="666"/>
        <w:gridCol w:w="666"/>
        <w:gridCol w:w="952"/>
      </w:tblGrid>
      <w:tr>
        <w:trPr/>
        <w:tc>
          <w:tcPr>
            <w:tcW w:w="84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op w:val="single" w:sz="8" w:space="0" w:color="000000"/>
              <w:left w:val="single" w:sz="8" w:space="0" w:color="000000"/>
            </w:tcBorders>
            <w:shd w:fill="6022A6"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FFFFFF"/>
                <w:sz w:val="20"/>
              </w:rPr>
            </w:pPr>
            <w:r>
              <w:rPr>
                <w:rFonts w:ascii="Source Sans Pro;sans-serif" w:hAnsi="Source Sans Pro;sans-serif"/>
                <w:b/>
                <w:color w:val="FFFFFF"/>
                <w:sz w:val="20"/>
              </w:rPr>
              <w:t>Segment</w:t>
            </w:r>
          </w:p>
          <w:p>
            <w:pPr>
              <w:pStyle w:val="TableContents"/>
              <w:bidi w:val="0"/>
              <w:spacing w:lineRule="auto" w:line="300" w:before="0" w:after="2"/>
              <w:jc w:val="center"/>
              <w:rPr>
                <w:rFonts w:ascii="Arial Narrow;sans-serif" w:hAnsi="Arial Narrow;sans-serif"/>
                <w:b/>
                <w:i/>
                <w:color w:val="FFFFFF"/>
                <w:sz w:val="20"/>
              </w:rPr>
            </w:pPr>
            <w:r>
              <w:rPr>
                <w:rFonts w:ascii="Arial Narrow;sans-serif" w:hAnsi="Arial Narrow;sans-serif"/>
                <w:b/>
                <w:i/>
                <w:color w:val="FFFFFF"/>
                <w:sz w:val="20"/>
              </w:rPr>
              <w:t>($ in millions)</w:t>
            </w:r>
          </w:p>
        </w:tc>
        <w:tc>
          <w:tcPr>
            <w:tcW w:w="2747" w:type="dxa"/>
            <w:gridSpan w:val="3"/>
            <w:tcBorders>
              <w:top w:val="single" w:sz="8" w:space="0" w:color="000000"/>
              <w:left w:val="single" w:sz="8" w:space="0" w:color="000000"/>
            </w:tcBorders>
            <w:shd w:fill="6022A6"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FFFFFF"/>
                <w:sz w:val="20"/>
              </w:rPr>
            </w:pPr>
            <w:r>
              <w:rPr>
                <w:rFonts w:ascii="Source Sans Pro;sans-serif" w:hAnsi="Source Sans Pro;sans-serif"/>
                <w:b/>
                <w:color w:val="FFFFFF"/>
                <w:sz w:val="20"/>
              </w:rPr>
              <w:t>Advanced Imaging Solutions</w:t>
            </w:r>
          </w:p>
        </w:tc>
        <w:tc>
          <w:tcPr>
            <w:tcW w:w="2858" w:type="dxa"/>
            <w:gridSpan w:val="3"/>
            <w:tcBorders>
              <w:top w:val="single" w:sz="8" w:space="0" w:color="000000"/>
              <w:left w:val="single" w:sz="8" w:space="0" w:color="000000"/>
            </w:tcBorders>
            <w:shd w:fill="6022A6"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FFFFFF"/>
                <w:sz w:val="20"/>
              </w:rPr>
            </w:pPr>
            <w:r>
              <w:rPr>
                <w:rFonts w:ascii="Source Sans Pro;sans-serif" w:hAnsi="Source Sans Pro;sans-serif"/>
                <w:b/>
                <w:color w:val="FFFFFF"/>
                <w:sz w:val="20"/>
              </w:rPr>
              <w:t>Pharmaceutical Diagnostics</w:t>
            </w:r>
          </w:p>
        </w:tc>
        <w:tc>
          <w:tcPr>
            <w:tcW w:w="2284" w:type="dxa"/>
            <w:gridSpan w:val="3"/>
            <w:tcBorders>
              <w:top w:val="single" w:sz="8" w:space="0" w:color="000000"/>
              <w:left w:val="single" w:sz="8" w:space="0" w:color="000000"/>
              <w:right w:val="single" w:sz="8" w:space="0" w:color="000000"/>
            </w:tcBorders>
            <w:shd w:fill="6022A6" w:val="clear"/>
            <w:tcMar>
              <w:top w:w="30" w:type="dxa"/>
              <w:bottom w:w="0" w:type="dxa"/>
            </w:tcMar>
            <w:vAlign w:val="center"/>
          </w:tcPr>
          <w:p>
            <w:pPr>
              <w:pStyle w:val="TableContents"/>
              <w:bidi w:val="0"/>
              <w:spacing w:lineRule="auto" w:line="300" w:before="0" w:after="2"/>
              <w:jc w:val="center"/>
              <w:rPr>
                <w:rFonts w:ascii="Source Sans Pro;sans-serif" w:hAnsi="Source Sans Pro;sans-serif"/>
                <w:b/>
                <w:color w:val="FFFFFF"/>
                <w:sz w:val="20"/>
              </w:rPr>
            </w:pPr>
            <w:r>
              <w:rPr>
                <w:rFonts w:ascii="Source Sans Pro;sans-serif" w:hAnsi="Source Sans Pro;sans-serif"/>
                <w:b/>
                <w:color w:val="FFFFFF"/>
                <w:sz w:val="20"/>
              </w:rPr>
              <w:t>Patient Care Solutions</w:t>
            </w:r>
          </w:p>
        </w:tc>
      </w:tr>
      <w:tr>
        <w:trPr/>
        <w:tc>
          <w:tcPr>
            <w:tcW w:w="2316" w:type="dxa"/>
            <w:gridSpan w:val="3"/>
            <w:tcBorders>
              <w:top w:val="single" w:sz="8" w:space="0" w:color="000000"/>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20"/>
              </w:rPr>
            </w:pPr>
            <w:r>
              <w:rPr>
                <w:rFonts w:ascii="Source Sans Pro;sans-serif" w:hAnsi="Source Sans Pro;sans-serif"/>
                <w:b/>
                <w:color w:val="000000"/>
                <w:sz w:val="20"/>
              </w:rPr>
              <w:t>Segment Revenues</w:t>
            </w:r>
          </w:p>
        </w:tc>
        <w:tc>
          <w:tcPr>
            <w:tcW w:w="2747" w:type="dxa"/>
            <w:gridSpan w:val="3"/>
            <w:tcBorders>
              <w:top w:val="single" w:sz="8" w:space="0" w:color="000000"/>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$3,771</w:t>
            </w:r>
          </w:p>
        </w:tc>
        <w:tc>
          <w:tcPr>
            <w:tcW w:w="2858" w:type="dxa"/>
            <w:gridSpan w:val="3"/>
            <w:tcBorders>
              <w:top w:val="single" w:sz="8" w:space="0" w:color="000000"/>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$843</w:t>
            </w:r>
          </w:p>
        </w:tc>
        <w:tc>
          <w:tcPr>
            <w:tcW w:w="2284" w:type="dxa"/>
            <w:gridSpan w:val="3"/>
            <w:tcBorders>
              <w:top w:val="single" w:sz="8" w:space="0" w:color="000000"/>
              <w:left w:val="single" w:sz="8" w:space="0" w:color="000000"/>
              <w:right w:val="single" w:sz="8" w:space="0" w:color="000000"/>
            </w:tcBorders>
            <w:shd w:fill="E4E4E4" w:val="clear"/>
            <w:tcMar>
              <w:top w:w="30" w:type="dxa"/>
              <w:bottom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$675</w:t>
            </w:r>
          </w:p>
        </w:tc>
      </w:tr>
      <w:tr>
        <w:trPr/>
        <w:tc>
          <w:tcPr>
            <w:tcW w:w="2316" w:type="dxa"/>
            <w:gridSpan w:val="3"/>
            <w:tcBorders>
              <w:top w:val="single" w:sz="8" w:space="0" w:color="E4E4E4"/>
              <w:left w:val="single" w:sz="8" w:space="0" w:color="000000"/>
            </w:tcBorders>
            <w:tcMar>
              <w:top w:w="3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Source Sans Pro;sans-serif" w:hAnsi="Source Sans Pro;sans-serif"/>
                <w:b w:val="false"/>
                <w:color w:val="000000"/>
                <w:sz w:val="20"/>
              </w:rPr>
              <w:t>YoY % change</w:t>
            </w:r>
          </w:p>
        </w:tc>
        <w:tc>
          <w:tcPr>
            <w:tcW w:w="2747" w:type="dxa"/>
            <w:gridSpan w:val="3"/>
            <w:tcBorders>
              <w:top w:val="single" w:sz="8" w:space="0" w:color="E4E4E4"/>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7.9%</w:t>
            </w:r>
          </w:p>
        </w:tc>
        <w:tc>
          <w:tcPr>
            <w:tcW w:w="2858" w:type="dxa"/>
            <w:gridSpan w:val="3"/>
            <w:tcBorders>
              <w:top w:val="single" w:sz="8" w:space="0" w:color="E4E4E4"/>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15.6%</w:t>
            </w:r>
          </w:p>
        </w:tc>
        <w:tc>
          <w:tcPr>
            <w:tcW w:w="2284" w:type="dxa"/>
            <w:gridSpan w:val="3"/>
            <w:tcBorders>
              <w:top w:val="single" w:sz="8" w:space="0" w:color="E4E4E4"/>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(13.3)%</w:t>
            </w:r>
          </w:p>
        </w:tc>
      </w:tr>
      <w:tr>
        <w:trPr/>
        <w:tc>
          <w:tcPr>
            <w:tcW w:w="2316" w:type="dxa"/>
            <w:gridSpan w:val="3"/>
            <w:tcBorders>
              <w:top w:val="single" w:sz="8" w:space="0" w:color="E4E4E4"/>
              <w:left w:val="single" w:sz="8" w:space="0" w:color="000000"/>
            </w:tcBorders>
            <w:tcMar>
              <w:top w:w="3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Source Sans Pro;sans-serif" w:hAnsi="Source Sans Pro;sans-serif"/>
                <w:b w:val="false"/>
                <w:color w:val="000000"/>
                <w:sz w:val="20"/>
              </w:rPr>
              <w:t>YoY % Organic* change</w:t>
            </w:r>
          </w:p>
        </w:tc>
        <w:tc>
          <w:tcPr>
            <w:tcW w:w="2747" w:type="dxa"/>
            <w:gridSpan w:val="3"/>
            <w:tcBorders>
              <w:top w:val="single" w:sz="8" w:space="0" w:color="E4E4E4"/>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5.0%</w:t>
            </w:r>
          </w:p>
        </w:tc>
        <w:tc>
          <w:tcPr>
            <w:tcW w:w="2858" w:type="dxa"/>
            <w:gridSpan w:val="3"/>
            <w:tcBorders>
              <w:top w:val="single" w:sz="8" w:space="0" w:color="E4E4E4"/>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14.6%</w:t>
            </w:r>
          </w:p>
        </w:tc>
        <w:tc>
          <w:tcPr>
            <w:tcW w:w="2284" w:type="dxa"/>
            <w:gridSpan w:val="3"/>
            <w:tcBorders>
              <w:top w:val="single" w:sz="8" w:space="0" w:color="E4E4E4"/>
              <w:left w:val="single" w:sz="8" w:space="0" w:color="000000"/>
              <w:right w:val="single" w:sz="8" w:space="0" w:color="000000"/>
            </w:tcBorders>
            <w:tcMar>
              <w:top w:w="30" w:type="dxa"/>
              <w:bottom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(13.5)%</w:t>
            </w:r>
          </w:p>
        </w:tc>
      </w:tr>
      <w:tr>
        <w:trPr/>
        <w:tc>
          <w:tcPr>
            <w:tcW w:w="2316" w:type="dxa"/>
            <w:gridSpan w:val="3"/>
            <w:tcBorders>
              <w:top w:val="single" w:sz="8" w:space="0" w:color="E4E4E4"/>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20"/>
              </w:rPr>
            </w:pPr>
            <w:r>
              <w:rPr>
                <w:rFonts w:ascii="Source Sans Pro;sans-serif" w:hAnsi="Source Sans Pro;sans-serif"/>
                <w:b/>
                <w:color w:val="000000"/>
                <w:sz w:val="20"/>
              </w:rPr>
              <w:t>Segment EBIT</w:t>
            </w:r>
          </w:p>
        </w:tc>
        <w:tc>
          <w:tcPr>
            <w:tcW w:w="2747" w:type="dxa"/>
            <w:gridSpan w:val="3"/>
            <w:tcBorders>
              <w:top w:val="single" w:sz="8" w:space="0" w:color="E4E4E4"/>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$525</w:t>
            </w:r>
          </w:p>
        </w:tc>
        <w:tc>
          <w:tcPr>
            <w:tcW w:w="2858" w:type="dxa"/>
            <w:gridSpan w:val="3"/>
            <w:tcBorders>
              <w:top w:val="single" w:sz="8" w:space="0" w:color="E4E4E4"/>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$250</w:t>
            </w:r>
          </w:p>
        </w:tc>
        <w:tc>
          <w:tcPr>
            <w:tcW w:w="2284" w:type="dxa"/>
            <w:gridSpan w:val="3"/>
            <w:tcBorders>
              <w:top w:val="single" w:sz="8" w:space="0" w:color="E4E4E4"/>
              <w:left w:val="single" w:sz="8" w:space="0" w:color="000000"/>
              <w:right w:val="single" w:sz="8" w:space="0" w:color="000000"/>
            </w:tcBorders>
            <w:shd w:fill="E4E4E4" w:val="clear"/>
            <w:tcMar>
              <w:top w:w="30" w:type="dxa"/>
              <w:bottom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$(26)</w:t>
            </w:r>
          </w:p>
        </w:tc>
      </w:tr>
      <w:tr>
        <w:trPr/>
        <w:tc>
          <w:tcPr>
            <w:tcW w:w="2316"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Source Sans Pro;sans-serif" w:hAnsi="Source Sans Pro;sans-serif"/>
                <w:b w:val="false"/>
                <w:color w:val="000000"/>
                <w:sz w:val="20"/>
              </w:rPr>
              <w:t>YoY % change</w:t>
            </w:r>
          </w:p>
        </w:tc>
        <w:tc>
          <w:tcPr>
            <w:tcW w:w="2747"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15.4%</w:t>
            </w:r>
          </w:p>
        </w:tc>
        <w:tc>
          <w:tcPr>
            <w:tcW w:w="2858"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16.9%</w:t>
            </w:r>
          </w:p>
        </w:tc>
        <w:tc>
          <w:tcPr>
            <w:tcW w:w="2284"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(143.0)%</w:t>
            </w:r>
          </w:p>
        </w:tc>
      </w:tr>
      <w:tr>
        <w:trPr/>
        <w:tc>
          <w:tcPr>
            <w:tcW w:w="2316" w:type="dxa"/>
            <w:gridSpan w:val="3"/>
            <w:tcBorders>
              <w:top w:val="single" w:sz="8" w:space="0" w:color="E4E4E4"/>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20"/>
              </w:rPr>
            </w:pPr>
            <w:r>
              <w:rPr>
                <w:rFonts w:ascii="Source Sans Pro;sans-serif" w:hAnsi="Source Sans Pro;sans-serif"/>
                <w:b/>
                <w:color w:val="000000"/>
                <w:sz w:val="20"/>
              </w:rPr>
              <w:t>Segment EBIT Margin</w:t>
            </w:r>
          </w:p>
        </w:tc>
        <w:tc>
          <w:tcPr>
            <w:tcW w:w="2747" w:type="dxa"/>
            <w:gridSpan w:val="3"/>
            <w:tcBorders>
              <w:top w:val="single" w:sz="8" w:space="0" w:color="E4E4E4"/>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13.9%</w:t>
            </w:r>
          </w:p>
        </w:tc>
        <w:tc>
          <w:tcPr>
            <w:tcW w:w="2858" w:type="dxa"/>
            <w:gridSpan w:val="3"/>
            <w:tcBorders>
              <w:top w:val="single" w:sz="8" w:space="0" w:color="E4E4E4"/>
              <w:left w:val="single" w:sz="8" w:space="0" w:color="000000"/>
            </w:tcBorders>
            <w:shd w:fill="E4E4E4" w:val="clear"/>
            <w:tcMar>
              <w:top w:w="30" w:type="dxa"/>
              <w:bottom w:w="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29.6%</w:t>
            </w:r>
          </w:p>
        </w:tc>
        <w:tc>
          <w:tcPr>
            <w:tcW w:w="2284" w:type="dxa"/>
            <w:gridSpan w:val="3"/>
            <w:tcBorders>
              <w:top w:val="single" w:sz="8" w:space="0" w:color="E4E4E4"/>
              <w:left w:val="single" w:sz="8" w:space="0" w:color="000000"/>
              <w:right w:val="single" w:sz="8" w:space="0" w:color="000000"/>
            </w:tcBorders>
            <w:shd w:fill="E4E4E4" w:val="clear"/>
            <w:tcMar>
              <w:top w:w="30" w:type="dxa"/>
              <w:bottom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(3.8)%</w:t>
            </w:r>
          </w:p>
        </w:tc>
      </w:tr>
      <w:tr>
        <w:trPr/>
        <w:tc>
          <w:tcPr>
            <w:tcW w:w="2316" w:type="dxa"/>
            <w:gridSpan w:val="3"/>
            <w:tcBorders>
              <w:top w:val="single" w:sz="8" w:space="0" w:color="E4E4E4"/>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Source Sans Pro;sans-serif" w:hAnsi="Source Sans Pro;sans-serif"/>
                <w:b w:val="false"/>
                <w:color w:val="000000"/>
                <w:sz w:val="20"/>
              </w:rPr>
              <w:t>YoY change</w:t>
            </w:r>
          </w:p>
        </w:tc>
        <w:tc>
          <w:tcPr>
            <w:tcW w:w="2747" w:type="dxa"/>
            <w:gridSpan w:val="3"/>
            <w:tcBorders>
              <w:top w:val="single" w:sz="8" w:space="0" w:color="E4E4E4"/>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90 bps</w:t>
            </w:r>
          </w:p>
        </w:tc>
        <w:tc>
          <w:tcPr>
            <w:tcW w:w="2858" w:type="dxa"/>
            <w:gridSpan w:val="3"/>
            <w:tcBorders>
              <w:top w:val="single" w:sz="8" w:space="0" w:color="E4E4E4"/>
              <w:left w:val="single" w:sz="8" w:space="0" w:color="000000"/>
              <w:bottom w:val="single" w:sz="8" w:space="0" w:color="000000"/>
            </w:tcBorders>
            <w:tcMar>
              <w:top w:w="30" w:type="dxa"/>
              <w:bottom w:w="30" w:type="dxa"/>
              <w:right w:w="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30 bps</w:t>
            </w:r>
          </w:p>
        </w:tc>
        <w:tc>
          <w:tcPr>
            <w:tcW w:w="2284" w:type="dxa"/>
            <w:gridSpan w:val="3"/>
            <w:tcBorders>
              <w:top w:val="single" w:sz="8" w:space="0" w:color="E4E4E4"/>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2"/>
              <w:jc w:val="center"/>
              <w:rPr>
                <w:rFonts w:ascii="Source Sans Pro;sans-serif" w:hAnsi="Source Sans Pro;sans-serif"/>
                <w:b w:val="false"/>
                <w:color w:val="000000"/>
                <w:sz w:val="20"/>
              </w:rPr>
            </w:pPr>
            <w:r>
              <w:rPr>
                <w:rFonts w:ascii="Source Sans Pro;sans-serif" w:hAnsi="Source Sans Pro;sans-serif"/>
                <w:b w:val="false"/>
                <w:color w:val="000000"/>
                <w:sz w:val="20"/>
              </w:rPr>
              <w:t>(1,150) bps</w:t>
            </w:r>
          </w:p>
        </w:tc>
      </w:tr>
    </w:tbl>
    <w:p>
      <w:pPr>
        <w:pStyle w:val="TextBody"/>
        <w:bidi w:val="0"/>
        <w:spacing w:lineRule="auto" w:line="288" w:before="0" w:after="0"/>
        <w:jc w:val="left"/>
        <w:rPr>
          <w:rFonts w:ascii="Source Sans Pro;sans-serif" w:hAnsi="Source Sans Pro;sans-serif"/>
          <w:b w:val="false"/>
          <w:i/>
          <w:color w:val="454545"/>
          <w:sz w:val="16"/>
          <w:shd w:fill="FFFFFF" w:val="clear"/>
        </w:rPr>
      </w:pPr>
      <w:r>
        <w:rPr>
          <w:rFonts w:ascii="Source Sans Pro;sans-serif" w:hAnsi="Source Sans Pro;sans-serif"/>
          <w:b w:val="false"/>
          <w:i/>
          <w:color w:val="454545"/>
          <w:sz w:val="16"/>
          <w:shd w:fill="FFFFFF" w:val="clear"/>
        </w:rPr>
        <w:t>YoY refers to year-over-year comparison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60"/>
        <w:jc w:val="left"/>
        <w:rPr/>
      </w:pPr>
      <w:r>
        <w:rPr>
          <w:rFonts w:ascii="Source Sans Pro;sans-serif" w:hAnsi="Source Sans Pro;sans-serif"/>
          <w:b/>
          <w:color w:val="6022A6"/>
          <w:sz w:val="20"/>
          <w:shd w:fill="FFFFFF" w:val="clear"/>
        </w:rPr>
        <w:t>Second quarter capital deployment</w:t>
      </w:r>
      <w:r>
        <w:rPr>
          <w:rFonts w:ascii="Source Sans Pro;sans-serif" w:hAnsi="Source Sans Pro;sans-serif"/>
          <w:b/>
          <w:color w:val="6022A6"/>
          <w:sz w:val="13"/>
          <w:shd w:fill="FFFFFF" w:val="clear"/>
        </w:rPr>
        <w:t>(1)</w:t>
      </w:r>
    </w:p>
    <w:p>
      <w:pPr>
        <w:pStyle w:val="TextBody"/>
        <w:bidi w:val="0"/>
        <w:spacing w:lineRule="auto" w:line="288" w:before="0" w:after="180"/>
        <w:ind w:left="0" w:right="0" w:hanging="360"/>
        <w:jc w:val="left"/>
        <w:rPr/>
      </w:pPr>
      <w:r>
        <w:rPr>
          <w:color w:val="000000"/>
        </w:rPr>
        <w:t>•</w:t>
      </w:r>
      <w:r>
        <w:rPr>
          <w:rFonts w:ascii="Source Sans Pro;sans-serif" w:hAnsi="Source Sans Pro;sans-serif"/>
          <w:b w:val="false"/>
          <w:color w:val="000000"/>
          <w:sz w:val="20"/>
        </w:rPr>
        <w:t>Cash flow from operating activities of $168 million, up $74 million. Free cash flow* of $68 million, up $61 million. Cash flow from operating activities includes a tariff refund of $107 million.</w:t>
      </w:r>
    </w:p>
    <w:p>
      <w:pPr>
        <w:pStyle w:val="TextBody"/>
        <w:bidi w:val="0"/>
        <w:spacing w:lineRule="auto" w:line="288" w:before="0" w:after="180"/>
        <w:ind w:left="0" w:right="0" w:hanging="360"/>
        <w:jc w:val="left"/>
        <w:rPr/>
      </w:pPr>
      <w:r>
        <w:rPr>
          <w:color w:val="000000"/>
        </w:rPr>
        <w:t>•</w:t>
      </w:r>
      <w:r>
        <w:rPr>
          <w:rFonts w:ascii="Source Sans Pro;sans-serif" w:hAnsi="Source Sans Pro;sans-serif"/>
          <w:b w:val="false"/>
          <w:color w:val="000000"/>
          <w:sz w:val="20"/>
        </w:rPr>
        <w:t>Capital expenditures of $100 million compared to $87 million in the prior year. The Company continues to prioritize investment in capacity expansion and innovation.</w:t>
      </w:r>
    </w:p>
    <w:p>
      <w:pPr>
        <w:pStyle w:val="TextBody"/>
        <w:bidi w:val="0"/>
        <w:spacing w:lineRule="auto" w:line="288" w:before="0" w:after="180"/>
        <w:ind w:left="0" w:right="0" w:hanging="360"/>
        <w:jc w:val="left"/>
        <w:rPr/>
      </w:pPr>
      <w:r>
        <w:rPr>
          <w:color w:val="000000"/>
        </w:rPr>
        <w:t>•</w:t>
      </w:r>
      <w:r>
        <w:rPr>
          <w:rFonts w:ascii="Source Sans Pro;sans-serif" w:hAnsi="Source Sans Pro;sans-serif"/>
          <w:b w:val="false"/>
          <w:color w:val="000000"/>
          <w:sz w:val="20"/>
        </w:rPr>
        <w:t>Cash and cash equivalents of $2.1 billion and access to $3.5 billion of revolving credit facilities. Total debt outstanding of $10.1 billion.</w:t>
      </w:r>
    </w:p>
    <w:p>
      <w:pPr>
        <w:pStyle w:val="TextBody"/>
        <w:bidi w:val="0"/>
        <w:spacing w:lineRule="auto" w:line="288" w:before="0" w:after="180"/>
        <w:ind w:left="0" w:right="0" w:hanging="360"/>
        <w:jc w:val="left"/>
        <w:rPr/>
      </w:pPr>
      <w:r>
        <w:rPr>
          <w:color w:val="000000"/>
        </w:rPr>
        <w:t>•</w:t>
      </w:r>
      <w:r>
        <w:rPr>
          <w:rFonts w:ascii="Source Sans Pro;sans-serif" w:hAnsi="Source Sans Pro;sans-serif"/>
          <w:b w:val="false"/>
          <w:color w:val="000000"/>
          <w:sz w:val="20"/>
        </w:rPr>
        <w:t>The Company repurchased 3.3 million shares for total consideration of $200 million; $500 million remaining in the share repurchase program authorized by the Board of Directors in April 2025.</w:t>
      </w:r>
    </w:p>
    <w:p>
      <w:pPr>
        <w:pStyle w:val="TextBody"/>
        <w:bidi w:val="0"/>
        <w:spacing w:lineRule="auto" w:line="288" w:before="0" w:after="180"/>
        <w:ind w:left="0" w:right="0" w:hanging="360"/>
        <w:jc w:val="left"/>
        <w:rPr/>
      </w:pPr>
      <w:r>
        <w:rPr>
          <w:color w:val="000000"/>
        </w:rPr>
        <w:t>•</w:t>
      </w:r>
      <w:r>
        <w:rPr>
          <w:rFonts w:ascii="Source Sans Pro;sans-serif" w:hAnsi="Source Sans Pro;sans-serif"/>
          <w:b w:val="false"/>
          <w:color w:val="000000"/>
          <w:sz w:val="20"/>
        </w:rPr>
        <w:t>Declared quarterly dividend of $0.035 per share to stockholders of record as of July 24, 2026.</w:t>
      </w:r>
    </w:p>
    <w:p>
      <w:pPr>
        <w:pStyle w:val="TextBody"/>
        <w:bidi w:val="0"/>
        <w:spacing w:before="0" w:after="0"/>
        <w:jc w:val="left"/>
        <w:rPr/>
      </w:pPr>
      <w:r>
        <w:rPr/>
      </w:r>
    </w:p>
    <w:p>
      <w:pPr>
        <w:pStyle w:val="TextBody"/>
        <w:bidi w:val="0"/>
        <w:spacing w:lineRule="auto" w:line="254" w:before="0" w:after="60"/>
        <w:jc w:val="left"/>
        <w:rPr>
          <w:rFonts w:ascii="Source Sans Pro;sans-serif" w:hAnsi="Source Sans Pro;sans-serif"/>
          <w:b/>
          <w:color w:val="6022A6"/>
          <w:sz w:val="20"/>
          <w:shd w:fill="FFFFFF" w:val="clear"/>
        </w:rPr>
      </w:pPr>
      <w:r>
        <w:rPr>
          <w:rFonts w:ascii="Source Sans Pro;sans-serif" w:hAnsi="Source Sans Pro;sans-serif"/>
          <w:b/>
          <w:color w:val="6022A6"/>
          <w:sz w:val="20"/>
          <w:shd w:fill="FFFFFF" w:val="clear"/>
        </w:rPr>
        <w:t xml:space="preserve">Recent innovation and commercial highlights </w:t>
      </w:r>
    </w:p>
    <w:p>
      <w:pPr>
        <w:pStyle w:val="TextBody"/>
        <w:bidi w:val="0"/>
        <w:spacing w:lineRule="auto" w:line="300" w:before="0" w:after="2"/>
        <w:ind w:left="0" w:right="0" w:hanging="360"/>
        <w:jc w:val="left"/>
        <w:rPr/>
      </w:pPr>
      <w:r>
        <w:rPr>
          <w:color w:val="0E32E1"/>
        </w:rPr>
        <w:t>•</w:t>
      </w:r>
      <w:r>
        <w:rPr>
          <w:rFonts w:ascii="Source Sans Pro;sans-serif" w:hAnsi="Source Sans Pro;sans-serif"/>
          <w:b w:val="false"/>
          <w:color w:val="0E32E1"/>
          <w:sz w:val="20"/>
        </w:rPr>
        <w:t>Catholic Health and GE HealthCare partner to expand patient access across Long Island</w:t>
      </w:r>
    </w:p>
    <w:p>
      <w:pPr>
        <w:pStyle w:val="TextBody"/>
        <w:bidi w:val="0"/>
        <w:spacing w:lineRule="auto" w:line="300" w:before="0" w:after="2"/>
        <w:ind w:left="0" w:right="0" w:hanging="360"/>
        <w:jc w:val="left"/>
        <w:rPr/>
      </w:pPr>
      <w:r>
        <w:rPr>
          <w:color w:val="0E32E1"/>
        </w:rPr>
        <w:t>•</w:t>
      </w:r>
      <w:r>
        <w:rPr>
          <w:rFonts w:ascii="Source Sans Pro;sans-serif" w:hAnsi="Source Sans Pro;sans-serif"/>
          <w:b w:val="false"/>
          <w:color w:val="0E32E1"/>
          <w:sz w:val="20"/>
        </w:rPr>
        <w:t xml:space="preserve">GE HealthCare and Mayo Clinic aim to advance personalized cancer care through new theranostics research collaboration </w:t>
      </w:r>
    </w:p>
    <w:p>
      <w:pPr>
        <w:pStyle w:val="TextBody"/>
        <w:bidi w:val="0"/>
        <w:spacing w:lineRule="auto" w:line="300" w:before="0" w:after="2"/>
        <w:ind w:left="0" w:right="0" w:hanging="360"/>
        <w:jc w:val="left"/>
        <w:rPr/>
      </w:pPr>
      <w:r>
        <w:rPr>
          <w:color w:val="0E32E1"/>
        </w:rPr>
        <w:t>•</w:t>
      </w:r>
      <w:r>
        <w:rPr>
          <w:rFonts w:ascii="Source Sans Pro;sans-serif" w:hAnsi="Source Sans Pro;sans-serif"/>
          <w:b w:val="false"/>
          <w:color w:val="0E32E1"/>
          <w:sz w:val="20"/>
        </w:rPr>
        <w:t>GE HealthCare and University Hospital Essen collaborate to advance theranostics and personalized cancer care with new Nuclear Medicine Center</w:t>
      </w:r>
    </w:p>
    <w:p>
      <w:pPr>
        <w:pStyle w:val="TextBody"/>
        <w:bidi w:val="0"/>
        <w:spacing w:lineRule="auto" w:line="300" w:before="0" w:after="2"/>
        <w:ind w:left="0" w:right="0" w:hanging="360"/>
        <w:jc w:val="left"/>
        <w:rPr/>
      </w:pPr>
      <w:r>
        <w:rPr>
          <w:color w:val="0E32E1"/>
        </w:rPr>
        <w:t>•</w:t>
      </w:r>
      <w:r>
        <w:rPr>
          <w:rFonts w:ascii="Source Sans Pro;sans-serif" w:hAnsi="Source Sans Pro;sans-serif"/>
          <w:b w:val="false"/>
          <w:color w:val="0E32E1"/>
          <w:sz w:val="20"/>
        </w:rPr>
        <w:t>GE HealthCare advancing enterprise imaging with cloud-enabled solutions</w:t>
      </w:r>
    </w:p>
    <w:p>
      <w:pPr>
        <w:pStyle w:val="TextBody"/>
        <w:bidi w:val="0"/>
        <w:spacing w:lineRule="auto" w:line="300" w:before="0" w:after="2"/>
        <w:ind w:left="0" w:right="0" w:hanging="360"/>
        <w:jc w:val="left"/>
        <w:rPr/>
      </w:pPr>
      <w:r>
        <w:rPr>
          <w:color w:val="0E32E1"/>
        </w:rPr>
        <w:t>•</w:t>
      </w:r>
      <w:r>
        <w:rPr>
          <w:rFonts w:ascii="Source Sans Pro;sans-serif" w:hAnsi="Source Sans Pro;sans-serif"/>
          <w:b w:val="false"/>
          <w:color w:val="0E32E1"/>
          <w:sz w:val="20"/>
        </w:rPr>
        <w:t>GE HealthCare receives FDA 510(k) clearance for MIM Contour ProtégéAI+ 2.0, advancing AI-enabled radiation therapy planning with expanded clinical capabilities</w:t>
      </w:r>
    </w:p>
    <w:p>
      <w:pPr>
        <w:pStyle w:val="TextBody"/>
        <w:bidi w:val="0"/>
        <w:spacing w:lineRule="auto" w:line="300" w:before="0" w:after="2"/>
        <w:ind w:left="0" w:right="0" w:hanging="360"/>
        <w:jc w:val="left"/>
        <w:rPr/>
      </w:pPr>
      <w:r>
        <w:rPr>
          <w:color w:val="0E32E1"/>
        </w:rPr>
        <w:t>•</w:t>
      </w:r>
      <w:r>
        <w:rPr>
          <w:rFonts w:ascii="Source Sans Pro;sans-serif" w:hAnsi="Source Sans Pro;sans-serif"/>
          <w:b w:val="false"/>
          <w:color w:val="0E32E1"/>
          <w:sz w:val="20"/>
        </w:rPr>
        <w:t xml:space="preserve">GE HealthCare focuses on expanding access to nuclear medicine through AI, radiopharmaceutical and imaging innovations </w:t>
      </w:r>
    </w:p>
    <w:p>
      <w:pPr>
        <w:pStyle w:val="TextBody"/>
        <w:bidi w:val="0"/>
        <w:spacing w:lineRule="auto" w:line="300" w:before="0" w:after="2"/>
        <w:ind w:left="0" w:right="0" w:hanging="360"/>
        <w:jc w:val="left"/>
        <w:rPr/>
      </w:pPr>
      <w:r>
        <w:rPr>
          <w:color w:val="0E32E1"/>
        </w:rPr>
        <w:t>•</w:t>
      </w:r>
      <w:r>
        <w:rPr>
          <w:rFonts w:ascii="Source Sans Pro;sans-serif" w:hAnsi="Source Sans Pro;sans-serif"/>
          <w:b w:val="false"/>
          <w:color w:val="0E32E1"/>
          <w:sz w:val="20"/>
        </w:rPr>
        <w:t>GE HealthCare advances 4D dynamic PET imaging with U.S. FDA 510(k) submission of MIM KineticID, designed to to bring quantitative insight to disease assessment</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3435"/>
                <wp:effectExtent l="0" t="0" r="0" b="0"/>
                <wp:wrapNone/>
                <wp:docPr id="6" name="Frame5"/>
                <a:graphic xmlns:a="http://schemas.openxmlformats.org/drawingml/2006/main">
                  <a:graphicData uri="http://schemas.microsoft.com/office/word/2010/wordprocessingShape">
                    <wps:wsp>
                      <wps:cNvSpPr txBox="1"/>
                      <wps:spPr>
                        <a:xfrm>
                          <a:off x="0" y="0"/>
                          <a:ext cx="6480175" cy="813435"/>
                        </a:xfrm>
                        <a:prstGeom prst="rect"/>
                        <a:solidFill>
                          <a:srgbClr val="FFFFFF"/>
                        </a:solidFill>
                      </wps:spPr>
                      <wps:txbx>
                        <w:txbxContent>
                          <w:p>
                            <w:pPr>
                              <w:pStyle w:val="TextBody"/>
                              <w:bidi w:val="0"/>
                              <w:spacing w:lineRule="auto" w:line="240" w:before="0" w:after="0"/>
                              <w:ind w:left="0" w:right="0" w:hanging="18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(1) All comparisons to prior year period unless otherwise noted.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18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(1) All comparisons to prior year period unless otherwise noted.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2"/>
        <w:jc w:val="left"/>
        <w:rPr>
          <w:rFonts w:ascii="Source Sans Pro;sans-serif" w:hAnsi="Source Sans Pro;sans-serif"/>
          <w:b/>
          <w:color w:val="6022A6"/>
          <w:sz w:val="20"/>
          <w:shd w:fill="FFFFFF" w:val="clear"/>
        </w:rPr>
      </w:pPr>
      <w:r>
        <w:rPr>
          <w:rFonts w:ascii="Source Sans Pro;sans-serif" w:hAnsi="Source Sans Pro;sans-serif"/>
          <w:b/>
          <w:color w:val="6022A6"/>
          <w:sz w:val="20"/>
          <w:shd w:fill="FFFFFF" w:val="clear"/>
        </w:rPr>
        <w:t xml:space="preserve">2026 guidance </w:t>
      </w:r>
    </w:p>
    <w:p>
      <w:pPr>
        <w:pStyle w:val="TextBody"/>
        <w:bidi w:val="0"/>
        <w:spacing w:lineRule="auto" w:line="300"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For the full-year 2026, the Company reaffirms guidance as follows:</w:t>
      </w:r>
    </w:p>
    <w:p>
      <w:pPr>
        <w:pStyle w:val="TextBody"/>
        <w:bidi w:val="0"/>
        <w:spacing w:lineRule="auto" w:line="288" w:before="0" w:after="0"/>
        <w:ind w:left="0" w:right="0" w:hanging="360"/>
        <w:jc w:val="left"/>
        <w:rPr/>
      </w:pPr>
      <w:r>
        <w:rPr>
          <w:color w:val="000000"/>
        </w:rPr>
        <w:t>•</w:t>
      </w:r>
      <w:r>
        <w:rPr>
          <w:rFonts w:ascii="Source Sans Pro;sans-serif" w:hAnsi="Source Sans Pro;sans-serif"/>
          <w:b w:val="false"/>
          <w:color w:val="000000"/>
          <w:sz w:val="20"/>
        </w:rPr>
        <w:t>Organic revenue growth* of 3.0% to 4.0% year-over-year</w:t>
      </w:r>
    </w:p>
    <w:p>
      <w:pPr>
        <w:pStyle w:val="TextBody"/>
        <w:bidi w:val="0"/>
        <w:spacing w:lineRule="auto" w:line="300" w:before="0" w:after="2"/>
        <w:ind w:left="0" w:right="0" w:hanging="360"/>
        <w:jc w:val="left"/>
        <w:rPr/>
      </w:pPr>
      <w:r>
        <w:rPr>
          <w:color w:val="000000"/>
        </w:rPr>
        <w:t>•</w:t>
      </w:r>
      <w:r>
        <w:rPr>
          <w:rFonts w:ascii="Source Sans Pro;sans-serif" w:hAnsi="Source Sans Pro;sans-serif"/>
          <w:b w:val="false"/>
          <w:color w:val="000000"/>
          <w:sz w:val="20"/>
        </w:rPr>
        <w:t>Adjusted EBIT margin* of 15.4% to 15.7%, reflecting an expansion of 10 bps to 40 bps year-over-year. Continue to expect approximately $250 million of inflation associated with memory chips, oil and freight and other components.</w:t>
      </w:r>
    </w:p>
    <w:p>
      <w:pPr>
        <w:pStyle w:val="TextBody"/>
        <w:bidi w:val="0"/>
        <w:spacing w:lineRule="auto" w:line="300" w:before="0" w:after="2"/>
        <w:ind w:left="0" w:right="0" w:hanging="360"/>
        <w:jc w:val="left"/>
        <w:rPr/>
      </w:pPr>
      <w:r>
        <w:rPr>
          <w:color w:val="000000"/>
        </w:rPr>
        <w:t>•</w:t>
      </w:r>
      <w:r>
        <w:rPr>
          <w:rFonts w:ascii="Source Sans Pro;sans-serif" w:hAnsi="Source Sans Pro;sans-serif"/>
          <w:b w:val="false"/>
          <w:color w:val="000000"/>
          <w:sz w:val="20"/>
        </w:rPr>
        <w:t>Adjusted effective tax rate (ETR)* in the range of 20.0% to 21.0%</w:t>
      </w:r>
    </w:p>
    <w:p>
      <w:pPr>
        <w:pStyle w:val="TextBody"/>
        <w:bidi w:val="0"/>
        <w:spacing w:lineRule="auto" w:line="300" w:before="0" w:after="2"/>
        <w:ind w:left="0" w:right="0" w:hanging="360"/>
        <w:jc w:val="left"/>
        <w:rPr/>
      </w:pPr>
      <w:r>
        <w:rPr>
          <w:color w:val="000000"/>
        </w:rPr>
        <w:t>•</w:t>
      </w:r>
      <w:r>
        <w:rPr>
          <w:rFonts w:ascii="Source Sans Pro;sans-serif" w:hAnsi="Source Sans Pro;sans-serif"/>
          <w:b w:val="false"/>
          <w:color w:val="000000"/>
          <w:sz w:val="20"/>
        </w:rPr>
        <w:t>Adjusted EPS* in the range of $4.80 to $5.00, representing 4.6% to 9.0% growth year-over-year</w:t>
      </w:r>
    </w:p>
    <w:p>
      <w:pPr>
        <w:pStyle w:val="TextBody"/>
        <w:bidi w:val="0"/>
        <w:spacing w:lineRule="auto" w:line="300" w:before="0" w:after="2"/>
        <w:ind w:left="0" w:right="0" w:hanging="360"/>
        <w:jc w:val="left"/>
        <w:rPr/>
      </w:pPr>
      <w:r>
        <w:rPr>
          <w:color w:val="000000"/>
        </w:rPr>
        <w:t>•</w:t>
      </w:r>
      <w:r>
        <w:rPr>
          <w:rFonts w:ascii="Source Sans Pro;sans-serif" w:hAnsi="Source Sans Pro;sans-serif"/>
          <w:b w:val="false"/>
          <w:color w:val="000000"/>
          <w:sz w:val="20"/>
        </w:rPr>
        <w:t>Free cash flow* of approximately $1.6 billion</w:t>
      </w:r>
    </w:p>
    <w:p>
      <w:pPr>
        <w:pStyle w:val="TextBody"/>
        <w:bidi w:val="0"/>
        <w:spacing w:before="0" w:after="0"/>
        <w:jc w:val="left"/>
        <w:rPr/>
      </w:pPr>
      <w:r>
        <w:rPr/>
      </w:r>
    </w:p>
    <w:p>
      <w:pPr>
        <w:pStyle w:val="TextBody"/>
        <w:bidi w:val="0"/>
        <w:spacing w:lineRule="auto" w:line="300"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The benefits of refunds for tariffs incurred in 2025 are not included in guidance for 2026 Adjusted EBIT margin* ($106 million to date) and Adjusted EPS* ($0.18 to date). The benefits of refunds for tariffs incurred in 2026 are included in guidance for 2026 Adjusted EBIT margin* ($23 million) and Adjusted EPS* ($0.04). We do not expect a material benefit to Adjusted EBIT margin* and Adjusted EPS* from additional refunds for tariffs incurred in 2026.</w:t>
      </w:r>
    </w:p>
    <w:p>
      <w:pPr>
        <w:pStyle w:val="TextBody"/>
        <w:bidi w:val="0"/>
        <w:spacing w:before="0" w:after="2"/>
        <w:jc w:val="left"/>
        <w:rPr/>
      </w:pPr>
      <w:r>
        <w:rPr/>
      </w:r>
    </w:p>
    <w:p>
      <w:pPr>
        <w:pStyle w:val="TextBody"/>
        <w:bidi w:val="0"/>
        <w:spacing w:lineRule="auto" w:line="300"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The Company provides its outlook on a non-GAAP basis. Refer to the Non-GAAP financial measures in outlook section below for more details. </w:t>
      </w:r>
    </w:p>
    <w:p>
      <w:pPr>
        <w:pStyle w:val="TextBody"/>
        <w:bidi w:val="0"/>
        <w:spacing w:before="0" w:after="60"/>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Source Sans Pro;sans-serif" w:hAnsi="Source Sans Pro;sans-serif"/>
          <w:b/>
          <w:color w:val="6022A6"/>
          <w:sz w:val="20"/>
        </w:rPr>
      </w:pPr>
      <w:r>
        <w:rPr>
          <w:rFonts w:ascii="Source Sans Pro;sans-serif" w:hAnsi="Source Sans Pro;sans-serif"/>
          <w:b/>
          <w:color w:val="6022A6"/>
          <w:sz w:val="20"/>
        </w:rPr>
        <w:t>Financial rounding</w:t>
      </w:r>
    </w:p>
    <w:p>
      <w:pPr>
        <w:pStyle w:val="TextBody"/>
        <w:bidi w:val="0"/>
        <w:spacing w:lineRule="auto" w:line="28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Certain columns and rows in this document may not sum due to the use of rounded numbers. Percentages presented are calculated from the underlying whole-dollar amounts.</w:t>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9130"/>
                <wp:effectExtent l="0" t="0" r="0" b="0"/>
                <wp:wrapNone/>
                <wp:docPr id="7" name="Frame6"/>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rFonts w:ascii="Source Sans Pro;sans-serif" w:hAnsi="Source Sans Pro;sans-serif"/>
          <w:b/>
          <w:color w:val="6022A6"/>
          <w:sz w:val="20"/>
        </w:rPr>
      </w:pPr>
      <w:r>
        <w:rPr>
          <w:rFonts w:ascii="Source Sans Pro;sans-serif" w:hAnsi="Source Sans Pro;sans-serif"/>
          <w:b/>
          <w:color w:val="6022A6"/>
          <w:sz w:val="20"/>
        </w:rPr>
        <w:t>Financial statements</w:t>
      </w:r>
    </w:p>
    <w:tbl>
      <w:tblPr>
        <w:tblW w:w="10205" w:type="dxa"/>
        <w:jc w:val="left"/>
        <w:tblInd w:w="0" w:type="dxa"/>
        <w:tblLayout w:type="fixed"/>
        <w:tblCellMar>
          <w:top w:w="28" w:type="dxa"/>
          <w:left w:w="28" w:type="dxa"/>
          <w:bottom w:w="28" w:type="dxa"/>
          <w:right w:w="28" w:type="dxa"/>
        </w:tblCellMar>
      </w:tblPr>
      <w:tblGrid>
        <w:gridCol w:w="1602"/>
        <w:gridCol w:w="922"/>
        <w:gridCol w:w="925"/>
        <w:gridCol w:w="384"/>
        <w:gridCol w:w="1199"/>
        <w:gridCol w:w="185"/>
        <w:gridCol w:w="384"/>
        <w:gridCol w:w="1199"/>
        <w:gridCol w:w="185"/>
        <w:gridCol w:w="109"/>
        <w:gridCol w:w="109"/>
        <w:gridCol w:w="109"/>
        <w:gridCol w:w="294"/>
        <w:gridCol w:w="921"/>
        <w:gridCol w:w="142"/>
        <w:gridCol w:w="294"/>
        <w:gridCol w:w="940"/>
        <w:gridCol w:w="142"/>
        <w:gridCol w:w="160"/>
      </w:tblGrid>
      <w:tr>
        <w:trPr/>
        <w:tc>
          <w:tcPr>
            <w:tcW w:w="160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85" w:type="dxa"/>
            <w:gridSpan w:val="9"/>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color w:val="000000"/>
                <w:sz w:val="18"/>
              </w:rPr>
            </w:pPr>
            <w:r>
              <w:rPr>
                <w:rFonts w:ascii="Source Sans Pro;sans-serif" w:hAnsi="Source Sans Pro;sans-serif"/>
                <w:b/>
                <w:color w:val="000000"/>
                <w:sz w:val="18"/>
              </w:rPr>
              <w:t>Condensed Consolidated Statements of Income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i/>
                <w:color w:val="454545"/>
                <w:sz w:val="18"/>
              </w:rPr>
            </w:pPr>
            <w:r>
              <w:rPr>
                <w:rFonts w:ascii="Source Sans Pro;sans-serif" w:hAnsi="Source Sans Pro;sans-serif"/>
                <w:b/>
                <w:i/>
                <w:color w:val="454545"/>
                <w:sz w:val="18"/>
              </w:rPr>
              <w:t>(In millions, except per share amounts)</w:t>
            </w:r>
          </w:p>
        </w:tc>
        <w:tc>
          <w:tcPr>
            <w:tcW w:w="176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76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37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68"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Sales of products</w:t>
            </w:r>
          </w:p>
        </w:tc>
        <w:tc>
          <w:tcPr>
            <w:tcW w:w="38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19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3,416 </w:t>
            </w:r>
          </w:p>
        </w:tc>
        <w:tc>
          <w:tcPr>
            <w:tcW w:w="18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19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3,263 </w:t>
            </w:r>
          </w:p>
        </w:tc>
        <w:tc>
          <w:tcPr>
            <w:tcW w:w="18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2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6,762 </w:t>
            </w:r>
          </w:p>
        </w:tc>
        <w:tc>
          <w:tcPr>
            <w:tcW w:w="14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4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6,380 </w:t>
            </w:r>
          </w:p>
        </w:tc>
        <w:tc>
          <w:tcPr>
            <w:tcW w:w="14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Sales of services</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1,743 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3,664 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3,404 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Total revenues</w:t>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5,295</w:t>
            </w:r>
            <w:r>
              <w:rPr>
                <w:color w:val="000000"/>
              </w:rPr>
              <w:t> </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5,007</w:t>
            </w:r>
            <w:r>
              <w:rPr>
                <w:color w:val="000000"/>
              </w:rPr>
              <w:t> </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10,425</w:t>
            </w:r>
            <w:r>
              <w:rPr>
                <w:color w:val="000000"/>
              </w:rPr>
              <w:t> </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9,784</w:t>
            </w:r>
            <w:r>
              <w:rPr>
                <w:color w:val="000000"/>
              </w:rPr>
              <w:t> </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Cost of products</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2,217 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2,160 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4,500 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4,122 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Cost of services</w:t>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898 </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863 </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1,769 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1,665 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Gross profit</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2,180</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1,985</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4,157</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3,997</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Selling, general, and administrative</w:t>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1,118 </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1,029 </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2,235 </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2,069 </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Research and development</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Total operating expenses</w:t>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1,441</w:t>
            </w:r>
            <w:r>
              <w:rPr>
                <w:color w:val="000000"/>
              </w:rPr>
              <w:t> </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1,331</w:t>
            </w:r>
            <w:r>
              <w:rPr>
                <w:color w:val="000000"/>
              </w:rPr>
              <w:t> </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2,903</w:t>
            </w:r>
            <w:r>
              <w:rPr>
                <w:color w:val="000000"/>
              </w:rPr>
              <w:t> </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2,714</w:t>
            </w:r>
            <w:r>
              <w:rPr>
                <w:color w:val="000000"/>
              </w:rPr>
              <w:t> </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Operating income</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739</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654</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1,254</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1,283</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Interest and other financial charges – net</w:t>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114 </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113 </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210 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224 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Non-operating benefit (income) costs</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Other (income) expense – net</w:t>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1 </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(58)</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(98)</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Income before income taxes</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693</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613</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1,198</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1,304</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Benefit (provision) for income taxes</w:t>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(119)</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(113)</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(213)</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(216)</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Net income</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573</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500</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985</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1,088</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Net (income) loss attributable to noncontrolling interests</w:t>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w:t>
            </w:r>
          </w:p>
        </w:tc>
        <w:tc>
          <w:tcPr>
            <w:tcW w:w="18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(35)</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(39)</w:t>
            </w:r>
          </w:p>
        </w:tc>
        <w:tc>
          <w:tcPr>
            <w:tcW w:w="14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Net income attributable to GE HealthCare</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561</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486</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950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1,049</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Earnings per share attributable to GE HealthCare:</w:t>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Basic</w:t>
            </w:r>
          </w:p>
        </w:tc>
        <w:tc>
          <w:tcPr>
            <w:tcW w:w="384"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199"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1.24 </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199"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1.06 </w:t>
            </w:r>
          </w:p>
        </w:tc>
        <w:tc>
          <w:tcPr>
            <w:tcW w:w="18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21"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2.09 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940" w:type="dxa"/>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2.30 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Diluted</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E4E4E4"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color w:val="000000"/>
                <w:sz w:val="18"/>
              </w:rPr>
            </w:pPr>
            <w:r>
              <w:rPr>
                <w:rFonts w:ascii="Source Sans Pro;sans-serif" w:hAnsi="Source Sans Pro;sans-serif"/>
                <w:b/>
                <w:color w:val="000000"/>
                <w:sz w:val="18"/>
              </w:rPr>
              <w:t>Weighted-average number of shares outstanding:</w:t>
            </w:r>
          </w:p>
        </w:tc>
        <w:tc>
          <w:tcPr>
            <w:tcW w:w="176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Basic</w:t>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453</w:t>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454</w:t>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6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Diluted</w:t>
            </w:r>
          </w:p>
        </w:tc>
        <w:tc>
          <w:tcPr>
            <w:tcW w:w="1768"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454</w:t>
            </w:r>
          </w:p>
        </w:tc>
        <w:tc>
          <w:tcPr>
            <w:tcW w:w="1768"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458</w:t>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456</w:t>
            </w:r>
          </w:p>
        </w:tc>
        <w:tc>
          <w:tcPr>
            <w:tcW w:w="1376"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459</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08"/>
        <w:gridCol w:w="1935"/>
        <w:gridCol w:w="1942"/>
        <w:gridCol w:w="350"/>
        <w:gridCol w:w="1304"/>
        <w:gridCol w:w="169"/>
        <w:gridCol w:w="350"/>
        <w:gridCol w:w="1304"/>
        <w:gridCol w:w="243"/>
      </w:tblGrid>
      <w:tr>
        <w:trPr/>
        <w:tc>
          <w:tcPr>
            <w:tcW w:w="2608"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color w:val="000000"/>
                <w:sz w:val="18"/>
              </w:rPr>
            </w:pPr>
            <w:r>
              <w:rPr>
                <w:rFonts w:ascii="Source Sans Pro;sans-serif" w:hAnsi="Source Sans Pro;sans-serif"/>
                <w:b/>
                <w:color w:val="000000"/>
                <w:sz w:val="18"/>
              </w:rPr>
              <w:t>Condensed Consolidated Statements of Financial Position (Unaudited)</w:t>
            </w:r>
          </w:p>
        </w:tc>
      </w:tr>
      <w:tr>
        <w:trPr/>
        <w:tc>
          <w:tcPr>
            <w:tcW w:w="6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As of</w:t>
            </w:r>
          </w:p>
        </w:tc>
      </w:tr>
      <w:tr>
        <w:trPr/>
        <w:tc>
          <w:tcPr>
            <w:tcW w:w="64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i/>
                <w:color w:val="454545"/>
                <w:sz w:val="18"/>
              </w:rPr>
            </w:pPr>
            <w:r>
              <w:rPr>
                <w:rFonts w:ascii="Source Sans Pro;sans-serif" w:hAnsi="Source Sans Pro;sans-serif"/>
                <w:b/>
                <w:i/>
                <w:color w:val="454545"/>
                <w:sz w:val="18"/>
              </w:rPr>
              <w:t>(In millions, except share and per share amounts)</w:t>
            </w:r>
          </w:p>
        </w:tc>
        <w:tc>
          <w:tcPr>
            <w:tcW w:w="182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June 30, 2026</w:t>
            </w:r>
          </w:p>
        </w:tc>
        <w:tc>
          <w:tcPr>
            <w:tcW w:w="18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December 31, 2025</w:t>
            </w:r>
          </w:p>
        </w:tc>
      </w:tr>
      <w:tr>
        <w:trPr/>
        <w:tc>
          <w:tcPr>
            <w:tcW w:w="64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Cash, cash equivalents, and restricted cash</w:t>
            </w:r>
          </w:p>
        </w:tc>
        <w:tc>
          <w:tcPr>
            <w:tcW w:w="35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30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2,105 </w:t>
            </w:r>
          </w:p>
        </w:tc>
        <w:tc>
          <w:tcPr>
            <w:tcW w:w="16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30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4,512 </w:t>
            </w:r>
          </w:p>
        </w:tc>
        <w:tc>
          <w:tcPr>
            <w:tcW w:w="24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Receivables – net of allowances of $102 and $103</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3,881 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3,955 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Inventories</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2,483 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2,234 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Contract and other deferred assets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1,235 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1,073 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All other current assets</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793 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726 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Current assets</w:t>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10,497</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12,501</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Property, plant, and equipment – net</w:t>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3,146 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3,092 </w:t>
            </w:r>
          </w:p>
        </w:tc>
        <w:tc>
          <w:tcPr>
            <w:tcW w:w="24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Goodwill</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15,095 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13,489 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Other intangible assets – net</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1,894 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1,130 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Deferred income taxes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4,359 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4,491 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All other non-current assets</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2,254 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2,205 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Total assets</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37,246</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36,906</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Short-term borrowings</w:t>
            </w:r>
          </w:p>
        </w:tc>
        <w:tc>
          <w:tcPr>
            <w:tcW w:w="350"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304"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304"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508 </w:t>
            </w:r>
          </w:p>
        </w:tc>
        <w:tc>
          <w:tcPr>
            <w:tcW w:w="24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Accounts payable</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3,231 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3,250 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Contract liabilities</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2,200 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2,095 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Current compensation and benefits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1,666 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All other current liabilities</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1,429 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1,587 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Current liabilities</w:t>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8,302</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9,105</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Long-term borrowings</w:t>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10,091 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9,495 </w:t>
            </w:r>
          </w:p>
        </w:tc>
        <w:tc>
          <w:tcPr>
            <w:tcW w:w="24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Non-current compensation and benefits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5,186 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5,453 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Deferred income taxes</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315 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193 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All other non-current liabilities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2,061 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Total liabilities</w:t>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26,027</w:t>
            </w:r>
            <w:r>
              <w:rPr>
                <w:color w:val="000000"/>
              </w:rPr>
              <w:t>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26,307</w:t>
            </w:r>
            <w:r>
              <w:rPr>
                <w:color w:val="000000"/>
              </w:rPr>
              <w:t> </w:t>
            </w:r>
          </w:p>
        </w:tc>
        <w:tc>
          <w:tcPr>
            <w:tcW w:w="24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i/>
                <w:color w:val="000000"/>
                <w:sz w:val="18"/>
              </w:rPr>
            </w:pPr>
            <w:r>
              <w:rPr>
                <w:rFonts w:ascii="Source Sans Pro;sans-serif" w:hAnsi="Source Sans Pro;sans-serif"/>
                <w:b w:val="false"/>
                <w:i/>
                <w:color w:val="000000"/>
                <w:sz w:val="18"/>
              </w:rPr>
              <w:t>Commitments and contingencies</w:t>
            </w:r>
          </w:p>
        </w:tc>
        <w:tc>
          <w:tcPr>
            <w:tcW w:w="1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Redeemable noncontrolling interests</w:t>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229</w:t>
            </w:r>
            <w:r>
              <w:rPr>
                <w:color w:val="000000"/>
              </w:rPr>
              <w:t>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209</w:t>
            </w:r>
            <w:r>
              <w:rPr>
                <w:color w:val="000000"/>
              </w:rPr>
              <w:t> </w:t>
            </w:r>
          </w:p>
        </w:tc>
        <w:tc>
          <w:tcPr>
            <w:tcW w:w="24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Common stock, par value $0.01 per share, 1,000,000,000 shares authorized, 459,470,464 shares issued as of June 30, 2026; 458,844,209 shares issued as of December 31, 2025</w:t>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Treasury stock, at cost, 7,785,199 shares as of June 30, 2026 and 3,107,626 shares as of December 31, 2025</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(525)</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(225)</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Additional paid-in capital</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6,776 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6,707 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Retained earnings</w:t>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6,199 </w:t>
            </w:r>
          </w:p>
        </w:tc>
        <w:tc>
          <w:tcPr>
            <w:tcW w:w="16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5,281 </w:t>
            </w:r>
          </w:p>
        </w:tc>
        <w:tc>
          <w:tcPr>
            <w:tcW w:w="243"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Accumulated other comprehensive income (loss) – net</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(1,388)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Total equity attributable to GE HealthCare</w:t>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10,975</w:t>
            </w:r>
            <w:r>
              <w:rPr>
                <w:color w:val="000000"/>
              </w:rPr>
              <w:t>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10,379</w:t>
            </w:r>
            <w:r>
              <w:rPr>
                <w:color w:val="000000"/>
              </w:rPr>
              <w:t> </w:t>
            </w:r>
          </w:p>
        </w:tc>
        <w:tc>
          <w:tcPr>
            <w:tcW w:w="24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Noncontrolling interests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Total equity</w:t>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10,989</w:t>
            </w:r>
            <w:r>
              <w:rPr>
                <w:color w:val="000000"/>
              </w:rPr>
              <w:t> </w:t>
            </w:r>
          </w:p>
        </w:tc>
        <w:tc>
          <w:tcPr>
            <w:tcW w:w="16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10,390</w:t>
            </w:r>
            <w:r>
              <w:rPr>
                <w:color w:val="000000"/>
              </w:rPr>
              <w:t> </w:t>
            </w:r>
          </w:p>
        </w:tc>
        <w:tc>
          <w:tcPr>
            <w:tcW w:w="243"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Total liabilities, redeemable noncontrolling interests, and equity</w:t>
            </w:r>
          </w:p>
        </w:tc>
        <w:tc>
          <w:tcPr>
            <w:tcW w:w="3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37,246</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36,906</w:t>
            </w:r>
            <w:r>
              <w:rPr>
                <w:color w:val="000000"/>
              </w:rPr>
              <w:t> </w:t>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27"/>
        <w:gridCol w:w="1779"/>
        <w:gridCol w:w="1737"/>
        <w:gridCol w:w="474"/>
        <w:gridCol w:w="1483"/>
        <w:gridCol w:w="229"/>
        <w:gridCol w:w="474"/>
        <w:gridCol w:w="1515"/>
        <w:gridCol w:w="229"/>
        <w:gridCol w:w="158"/>
      </w:tblGrid>
      <w:tr>
        <w:trPr/>
        <w:tc>
          <w:tcPr>
            <w:tcW w:w="212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color w:val="000000"/>
                <w:sz w:val="18"/>
              </w:rPr>
            </w:pPr>
            <w:r>
              <w:rPr>
                <w:rFonts w:ascii="Source Sans Pro;sans-serif" w:hAnsi="Source Sans Pro;sans-serif"/>
                <w:b/>
                <w:color w:val="000000"/>
                <w:sz w:val="18"/>
              </w:rPr>
              <w:t>Condensed Consolidated Statements of Cash Flows (Unaudited)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6"/>
            <w:tcBorders/>
            <w:tcMar>
              <w:top w:w="0" w:type="dxa"/>
              <w:left w:w="0" w:type="dxa"/>
              <w:bottom w:w="0" w:type="dxa"/>
              <w:right w:w="0" w:type="dxa"/>
            </w:tcMar>
            <w:vAlign w:val="center"/>
          </w:tcPr>
          <w:p>
            <w:pPr>
              <w:pStyle w:val="TableContents"/>
              <w:bidi w:val="0"/>
              <w:spacing w:lineRule="auto" w:line="268" w:before="0" w:after="2"/>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c>
          <w:tcPr>
            <w:tcW w:w="158" w:type="dxa"/>
            <w:tcBorders/>
          </w:tcPr>
          <w:p>
            <w:pPr>
              <w:pStyle w:val="TableContents"/>
              <w:bidi w:val="0"/>
              <w:spacing w:before="0" w:after="283"/>
              <w:jc w:val="left"/>
              <w:rPr>
                <w:sz w:val="4"/>
                <w:szCs w:val="4"/>
              </w:rPr>
            </w:pPr>
            <w:r>
              <w:rPr>
                <w:sz w:val="4"/>
                <w:szCs w:val="4"/>
              </w:rPr>
            </w:r>
          </w:p>
        </w:tc>
      </w:tr>
      <w:tr>
        <w:trPr/>
        <w:tc>
          <w:tcPr>
            <w:tcW w:w="5643"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Source Sans Pro;sans-serif" w:hAnsi="Source Sans Pro;sans-serif"/>
                <w:b/>
                <w:i/>
                <w:color w:val="454545"/>
                <w:sz w:val="18"/>
              </w:rPr>
            </w:pPr>
            <w:r>
              <w:rPr>
                <w:rFonts w:ascii="Source Sans Pro;sans-serif" w:hAnsi="Source Sans Pro;sans-serif"/>
                <w:b/>
                <w:i/>
                <w:color w:val="454545"/>
                <w:sz w:val="18"/>
              </w:rPr>
              <w:t xml:space="preserve">(In millions) </w:t>
            </w:r>
          </w:p>
        </w:tc>
        <w:tc>
          <w:tcPr>
            <w:tcW w:w="218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221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Net income</w:t>
            </w:r>
          </w:p>
        </w:tc>
        <w:tc>
          <w:tcPr>
            <w:tcW w:w="47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48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985</w:t>
            </w:r>
            <w:r>
              <w:rPr>
                <w:color w:val="000000"/>
              </w:rPr>
              <w:t> </w:t>
            </w:r>
          </w:p>
        </w:tc>
        <w:tc>
          <w:tcPr>
            <w:tcW w:w="22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5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1,088</w:t>
            </w:r>
            <w:r>
              <w:rPr>
                <w:color w:val="000000"/>
              </w:rPr>
              <w:t> </w:t>
            </w:r>
          </w:p>
        </w:tc>
        <w:tc>
          <w:tcPr>
            <w:tcW w:w="22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Adjustments to reconcile Net income to Cash from (used for) operating activities:</w:t>
            </w:r>
          </w:p>
        </w:tc>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Depreciation of property, plant, and equipment</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154 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138 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Amortization of intangible assets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Gain on remeasurement of Nihon Medi-Physics equity method investment</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(97)</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Net periodic postretirement benefit plan (income) expense</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Postretirement plan contributions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(171)</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(182)</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Share-based compensation</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Provision for income taxes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213 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216 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Cash paid during the year for income taxes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(270)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Changes in operating assets and liabilities, excluding the effects of acquisitions:</w:t>
            </w:r>
          </w:p>
        </w:tc>
        <w:tc>
          <w:tcPr>
            <w:tcW w:w="218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Receivables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Inventories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(310)</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(188)</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Contract and other deferred assets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Accounts payable</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(113)</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Contract liabilities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Current compensation and benefits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(231)</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(207)</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All other operating activities – net</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Cash from (used for) operating activities</w:t>
            </w:r>
          </w:p>
        </w:tc>
        <w:tc>
          <w:tcPr>
            <w:tcW w:w="195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458</w:t>
            </w:r>
            <w:r>
              <w:rPr>
                <w:color w:val="000000"/>
              </w:rPr>
              <w:t> </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344</w:t>
            </w:r>
            <w:r>
              <w:rPr>
                <w:color w:val="000000"/>
              </w:rPr>
              <w:t> </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Cash flows – investing activities</w:t>
            </w:r>
          </w:p>
        </w:tc>
        <w:tc>
          <w:tcPr>
            <w:tcW w:w="2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Additions to property, plant and equipment and internal-use software</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(278)</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(238)</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Purchases of businesses, net of cash acquired</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(2,293)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(279)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Purchases of investments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(19)</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(28)</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All other investing activities – net</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Cash from (used for) investing activities</w:t>
            </w:r>
          </w:p>
        </w:tc>
        <w:tc>
          <w:tcPr>
            <w:tcW w:w="195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(2,615)</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(630)</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Cash flows – financing activities</w:t>
            </w:r>
          </w:p>
        </w:tc>
        <w:tc>
          <w:tcPr>
            <w:tcW w:w="2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Net increase (decrease) in borrowings (maturities of 90 days or less)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1 </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Newly issued debt, net of debt issuance costs (maturities longer than 90 days)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1,493 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Repayments and other reductions (maturities longer than 90 days)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(1,012)</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(261)</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Dividends paid to stockholders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Repurchase of common stock</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(300)</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(100)</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Proceeds from stock issued under employee benefit plans</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Taxes paid related to net share settlement of equity awards</w:t>
            </w:r>
          </w:p>
        </w:tc>
        <w:tc>
          <w:tcPr>
            <w:tcW w:w="195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(33)</w:t>
            </w:r>
          </w:p>
        </w:tc>
        <w:tc>
          <w:tcPr>
            <w:tcW w:w="22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All other financing activities – net</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Cash from (used for) financing activities</w:t>
            </w:r>
          </w:p>
        </w:tc>
        <w:tc>
          <w:tcPr>
            <w:tcW w:w="195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(215)</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1,075</w:t>
            </w:r>
            <w:r>
              <w:rPr>
                <w:color w:val="000000"/>
              </w:rPr>
              <w:t> </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Effect of foreign currency rate changes on cash, cash equivalents, and restricted cash</w:t>
            </w:r>
          </w:p>
        </w:tc>
        <w:tc>
          <w:tcPr>
            <w:tcW w:w="1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(35)</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Increase (decrease) in cash, cash equivalents, and restricted cash</w:t>
            </w:r>
          </w:p>
        </w:tc>
        <w:tc>
          <w:tcPr>
            <w:tcW w:w="1957"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(2,407)</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873</w:t>
            </w:r>
            <w:r>
              <w:rPr>
                <w:color w:val="000000"/>
              </w:rPr>
              <w:t> </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Cash, cash equivalents, and restricted cash at beginning of year</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2,893 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Cash, cash equivalents, and restricted cash at end of period</w:t>
            </w:r>
          </w:p>
        </w:tc>
        <w:tc>
          <w:tcPr>
            <w:tcW w:w="474"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48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2,108 </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51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3,766 </w:t>
            </w:r>
          </w:p>
        </w:tc>
        <w:tc>
          <w:tcPr>
            <w:tcW w:w="229"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Supplemental disclosure of cash flows information</w:t>
            </w:r>
          </w:p>
        </w:tc>
        <w:tc>
          <w:tcPr>
            <w:tcW w:w="218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Cash paid during the year for interest</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(280)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51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(260)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Non-cash investing activities</w:t>
            </w:r>
          </w:p>
        </w:tc>
        <w:tc>
          <w:tcPr>
            <w:tcW w:w="218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Acquired but unpaid property, plant, and equipment</w:t>
            </w:r>
          </w:p>
        </w:tc>
        <w:tc>
          <w:tcPr>
            <w:tcW w:w="4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4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102 </w:t>
            </w:r>
          </w:p>
        </w:tc>
        <w:tc>
          <w:tcPr>
            <w:tcW w:w="2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w:t>
            </w:r>
          </w:p>
        </w:tc>
        <w:tc>
          <w:tcPr>
            <w:tcW w:w="15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90 </w:t>
            </w:r>
          </w:p>
        </w:tc>
        <w:tc>
          <w:tcPr>
            <w:tcW w:w="2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left"/>
        <w:rPr>
          <w:rFonts w:ascii="Source Sans Pro;sans-serif" w:hAnsi="Source Sans Pro;sans-serif"/>
          <w:b/>
          <w:color w:val="6022A6"/>
          <w:sz w:val="20"/>
        </w:rPr>
      </w:pPr>
      <w:r>
        <w:rPr>
          <w:rFonts w:ascii="Source Sans Pro;sans-serif" w:hAnsi="Source Sans Pro;sans-serif"/>
          <w:b/>
          <w:color w:val="6022A6"/>
          <w:sz w:val="20"/>
        </w:rPr>
        <w:t>Non-GAAP financial measures</w:t>
      </w:r>
    </w:p>
    <w:p>
      <w:pPr>
        <w:pStyle w:val="TextBody"/>
        <w:bidi w:val="0"/>
        <w:spacing w:before="0" w:after="2"/>
        <w:jc w:val="left"/>
        <w:rPr/>
      </w:pPr>
      <w:r>
        <w:rPr/>
      </w:r>
    </w:p>
    <w:p>
      <w:pPr>
        <w:pStyle w:val="TextBody"/>
        <w:bidi w:val="0"/>
        <w:spacing w:lineRule="auto" w:line="288"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The non-GAAP financial measures presented in this press release are supplemental measures of GE HealthCare’s performance and its liquidity that the Company believes will help investors understand its financial condition, cash flows, and operating results, and assess its future prospects. When read in conjunction with the Company’s U.S. GAAP results, these non-GAAP financial measures provide a baseline for analyzing trends in GE HealthCare’s underlying businesses and can be used by management as one basis for making financial, operational, and planning decisions. Descriptions of the reported non-GAAP measures are included below.</w:t>
      </w:r>
    </w:p>
    <w:p>
      <w:pPr>
        <w:pStyle w:val="TextBody"/>
        <w:bidi w:val="0"/>
        <w:spacing w:before="0" w:after="2"/>
        <w:jc w:val="left"/>
        <w:rPr/>
      </w:pPr>
      <w:r>
        <w:rPr/>
      </w:r>
    </w:p>
    <w:p>
      <w:pPr>
        <w:pStyle w:val="TextBody"/>
        <w:bidi w:val="0"/>
        <w:spacing w:lineRule="auto" w:line="288"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The Company reports Organic revenue and Organic revenue growth rate to provide management and investors with additional understanding and visibility into the underlying revenue trends of the Company’s established, ongoing operations, as well as provide insights into overall demand for its products and services. To calculate these measures, the Company excludes the effect of acquisitions, dispositions, and foreign currency rate fluctuations.</w:t>
      </w:r>
    </w:p>
    <w:p>
      <w:pPr>
        <w:pStyle w:val="TextBody"/>
        <w:bidi w:val="0"/>
        <w:spacing w:before="0" w:after="2"/>
        <w:jc w:val="left"/>
        <w:rPr/>
      </w:pPr>
      <w:r>
        <w:rPr/>
      </w:r>
    </w:p>
    <w:p>
      <w:pPr>
        <w:pStyle w:val="TextBody"/>
        <w:bidi w:val="0"/>
        <w:spacing w:lineRule="auto" w:line="288"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The Company reports EBIT, Adjusted EBIT, Adjusted EBIT margin, Adjusted net income, and Adjusted earnings per share to provide management and investors with an additional understanding of its business by highlighting the results from ongoing operations and the underlying profitability factors, on a normalized basis. To calculate these measures the Company excludes, and reflects in the detailed reconciliations below, the following adjustments as applicable: Interest and other financial charges – net, Net (income) loss attributable to noncontrolling interests, Non-operating benefit (income) costs, Benefit (provision) for income taxes and certain tax related adjustments, and certain non-recurring and/or non-cash items. GE HealthCare may from time to time consider excluding other non-recurring items to enhance comparability between periods. Adjusted EBIT margin is calculated by taking Adjusted EBIT divided by Total revenues for the same period.</w:t>
      </w:r>
    </w:p>
    <w:p>
      <w:pPr>
        <w:pStyle w:val="TextBody"/>
        <w:bidi w:val="0"/>
        <w:spacing w:before="0" w:after="2"/>
        <w:jc w:val="left"/>
        <w:rPr/>
      </w:pPr>
      <w:r>
        <w:rPr/>
      </w:r>
    </w:p>
    <w:p>
      <w:pPr>
        <w:pStyle w:val="TextBody"/>
        <w:bidi w:val="0"/>
        <w:spacing w:lineRule="auto" w:line="288"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The Company reports Adjusted tax expense and Adjusted ETR to provide management and investors with a better understanding of the normalized tax rate applicable to the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The Company may from time to time consider excluding other non-recurring tax items to enhance comparability between periods. Adjusted ETR is Adjusted tax expense divided by income before income taxes less the pre-tax income adjustments referenced above. </w:t>
      </w:r>
    </w:p>
    <w:p>
      <w:pPr>
        <w:pStyle w:val="TextBody"/>
        <w:bidi w:val="0"/>
        <w:spacing w:before="0" w:after="2"/>
        <w:jc w:val="left"/>
        <w:rPr/>
      </w:pPr>
      <w:r>
        <w:rPr/>
      </w:r>
    </w:p>
    <w:p>
      <w:pPr>
        <w:pStyle w:val="TextBody"/>
        <w:bidi w:val="0"/>
        <w:spacing w:lineRule="auto" w:line="288" w:before="0" w:after="2"/>
        <w:jc w:val="left"/>
        <w:rPr/>
      </w:pPr>
      <w:r>
        <w:rPr>
          <w:rFonts w:ascii="Source Sans Pro;sans-serif" w:hAnsi="Source Sans Pro;sans-serif"/>
          <w:b w:val="false"/>
          <w:color w:val="000000"/>
          <w:sz w:val="20"/>
        </w:rPr>
        <w:t xml:space="preserve">The Company reports Free cash flow and Free cash flow conversion to provide management and investors with an important measure of the ability to generate cash on a normalized basis and provide insight into the Company’s flexibility to allocate capital. Free cash flow is Cash from (used for) operating activities </w:t>
      </w:r>
      <w:r>
        <w:rPr>
          <w:color w:val="231F20"/>
        </w:rPr>
        <w:t>–</w:t>
      </w:r>
      <w:r>
        <w:rPr>
          <w:color w:val="000000"/>
        </w:rPr>
        <w:t xml:space="preserve"> </w:t>
      </w:r>
      <w:r>
        <w:rPr>
          <w:rFonts w:ascii="Source Sans Pro;sans-serif" w:hAnsi="Source Sans Pro;sans-serif"/>
          <w:b w:val="false"/>
          <w:color w:val="000000"/>
          <w:sz w:val="20"/>
        </w:rPr>
        <w:t>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 Free cash flow conversion is calculated by taking Free cash flow divided by Adjusted net income.</w:t>
      </w:r>
    </w:p>
    <w:p>
      <w:pPr>
        <w:pStyle w:val="TextBody"/>
        <w:bidi w:val="0"/>
        <w:spacing w:before="0" w:after="2"/>
        <w:jc w:val="left"/>
        <w:rPr/>
      </w:pPr>
      <w:r>
        <w:rPr/>
      </w:r>
    </w:p>
    <w:p>
      <w:pPr>
        <w:pStyle w:val="TextBody"/>
        <w:bidi w:val="0"/>
        <w:spacing w:lineRule="auto" w:line="288"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left"/>
        <w:rPr>
          <w:rFonts w:ascii="Source Sans Pro;sans-serif" w:hAnsi="Source Sans Pro;sans-serif"/>
          <w:b/>
          <w:color w:val="6022A6"/>
          <w:sz w:val="20"/>
        </w:rPr>
      </w:pPr>
      <w:r>
        <w:rPr>
          <w:rFonts w:ascii="Source Sans Pro;sans-serif" w:hAnsi="Source Sans Pro;sans-serif"/>
          <w:b/>
          <w:color w:val="6022A6"/>
          <w:sz w:val="20"/>
        </w:rPr>
        <w:t>Non-GAAP financial reconciliations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011"/>
        <w:gridCol w:w="792"/>
        <w:gridCol w:w="797"/>
        <w:gridCol w:w="582"/>
        <w:gridCol w:w="341"/>
        <w:gridCol w:w="333"/>
        <w:gridCol w:w="582"/>
        <w:gridCol w:w="341"/>
        <w:gridCol w:w="333"/>
        <w:gridCol w:w="365"/>
        <w:gridCol w:w="365"/>
        <w:gridCol w:w="366"/>
        <w:gridCol w:w="109"/>
        <w:gridCol w:w="109"/>
        <w:gridCol w:w="109"/>
        <w:gridCol w:w="541"/>
        <w:gridCol w:w="389"/>
        <w:gridCol w:w="392"/>
        <w:gridCol w:w="541"/>
        <w:gridCol w:w="330"/>
        <w:gridCol w:w="331"/>
        <w:gridCol w:w="334"/>
        <w:gridCol w:w="334"/>
        <w:gridCol w:w="478"/>
      </w:tblGrid>
      <w:tr>
        <w:trPr/>
        <w:tc>
          <w:tcPr>
            <w:tcW w:w="10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Source Sans Pro;sans-serif" w:hAnsi="Source Sans Pro;sans-serif"/>
                <w:b/>
                <w:color w:val="000000"/>
                <w:sz w:val="18"/>
              </w:rPr>
            </w:pPr>
            <w:r>
              <w:rPr>
                <w:rFonts w:ascii="Source Sans Pro;sans-serif" w:hAnsi="Source Sans Pro;sans-serif"/>
                <w:b/>
                <w:color w:val="000000"/>
                <w:sz w:val="18"/>
              </w:rPr>
              <w:t>Organic Revenue*</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Unaudited</w:t>
            </w:r>
          </w:p>
        </w:tc>
        <w:tc>
          <w:tcPr>
            <w:tcW w:w="360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r>
      <w:tr>
        <w:trPr/>
        <w:tc>
          <w:tcPr>
            <w:tcW w:w="260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Source Sans Pro;sans-serif" w:hAnsi="Source Sans Pro;sans-serif"/>
                <w:b/>
                <w:i/>
                <w:color w:val="454545"/>
                <w:sz w:val="18"/>
              </w:rPr>
            </w:pPr>
            <w:r>
              <w:rPr>
                <w:rFonts w:ascii="Source Sans Pro;sans-serif" w:hAnsi="Source Sans Pro;sans-serif"/>
                <w:b/>
                <w:i/>
                <w:color w:val="454545"/>
                <w:sz w:val="18"/>
              </w:rPr>
              <w:t>($ in millions)</w:t>
            </w:r>
          </w:p>
        </w:tc>
        <w:tc>
          <w:tcPr>
            <w:tcW w:w="12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25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0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20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14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r>
      <w:tr>
        <w:trPr/>
        <w:tc>
          <w:tcPr>
            <w:tcW w:w="260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
              <w:jc w:val="left"/>
              <w:rPr>
                <w:rFonts w:ascii="Source Sans Pro;sans-serif" w:hAnsi="Source Sans Pro;sans-serif"/>
                <w:b/>
                <w:color w:val="000000"/>
                <w:sz w:val="18"/>
              </w:rPr>
            </w:pPr>
            <w:r>
              <w:rPr>
                <w:rFonts w:ascii="Source Sans Pro;sans-serif" w:hAnsi="Source Sans Pro;sans-serif"/>
                <w:b/>
                <w:color w:val="000000"/>
                <w:sz w:val="18"/>
              </w:rPr>
              <w:t>AIS revenues</w:t>
            </w:r>
          </w:p>
        </w:tc>
        <w:tc>
          <w:tcPr>
            <w:tcW w:w="58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3,771</w:t>
            </w:r>
          </w:p>
        </w:tc>
        <w:tc>
          <w:tcPr>
            <w:tcW w:w="58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3,493</w:t>
            </w:r>
          </w:p>
        </w:tc>
        <w:tc>
          <w:tcPr>
            <w:tcW w:w="109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7.9%</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7,410</w:t>
            </w:r>
          </w:p>
        </w:tc>
        <w:tc>
          <w:tcPr>
            <w:tcW w:w="54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6,872</w:t>
            </w:r>
          </w:p>
        </w:tc>
        <w:tc>
          <w:tcPr>
            <w:tcW w:w="114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7.8%</w:t>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pPr>
            <w:r>
              <w:rPr>
                <w:rFonts w:ascii="Source Sans Pro;sans-serif" w:hAnsi="Source Sans Pro;sans-serif"/>
                <w:b w:val="false"/>
                <w:color w:val="000000"/>
                <w:sz w:val="18"/>
              </w:rPr>
              <w:t>Less: Acquisitions</w:t>
            </w:r>
            <w:r>
              <w:rPr>
                <w:rFonts w:ascii="Source Sans Pro;sans-serif" w:hAnsi="Source Sans Pro;sans-serif"/>
                <w:b w:val="false"/>
                <w:color w:val="000000"/>
                <w:sz w:val="12"/>
              </w:rPr>
              <w:t>(1)</w:t>
            </w:r>
            <w:r>
              <w:rPr>
                <w:color w:val="000000"/>
              </w:rPr>
              <w:t>    </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62</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72</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E4E4E4" w:val="clear"/>
            <w:tcMar>
              <w:top w:w="0" w:type="dxa"/>
              <w:left w:w="0" w:type="dxa"/>
              <w:bottom w:w="0" w:type="dxa"/>
              <w:right w:w="0" w:type="dxa"/>
            </w:tcMar>
            <w:vAlign w:val="center"/>
          </w:tcPr>
          <w:p>
            <w:pPr>
              <w:pStyle w:val="TableContents"/>
              <w:bidi w:val="0"/>
              <w:spacing w:lineRule="auto" w:line="240" w:before="0" w:after="2"/>
              <w:jc w:val="left"/>
              <w:rPr/>
            </w:pPr>
            <w:r>
              <w:rPr>
                <w:rFonts w:ascii="Source Sans Pro;sans-serif" w:hAnsi="Source Sans Pro;sans-serif"/>
                <w:b w:val="false"/>
                <w:color w:val="000000"/>
                <w:sz w:val="18"/>
              </w:rPr>
              <w:t>Less: Dispositions</w:t>
            </w:r>
            <w:r>
              <w:rPr>
                <w:rFonts w:ascii="Source Sans Pro;sans-serif" w:hAnsi="Source Sans Pro;sans-serif"/>
                <w:b w:val="false"/>
                <w:color w:val="000000"/>
                <w:sz w:val="12"/>
              </w:rPr>
              <w:t>(2)</w:t>
            </w:r>
            <w:r>
              <w:rPr>
                <w:color w:val="000000"/>
              </w:rPr>
              <w:t>    </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Less: Foreign currency exchange    </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41</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156</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
              <w:jc w:val="left"/>
              <w:rPr>
                <w:rFonts w:ascii="Source Sans Pro;sans-serif" w:hAnsi="Source Sans Pro;sans-serif"/>
                <w:b/>
                <w:color w:val="000000"/>
                <w:sz w:val="18"/>
              </w:rPr>
            </w:pPr>
            <w:r>
              <w:rPr>
                <w:rFonts w:ascii="Source Sans Pro;sans-serif" w:hAnsi="Source Sans Pro;sans-serif"/>
                <w:b/>
                <w:color w:val="000000"/>
                <w:sz w:val="18"/>
              </w:rPr>
              <w:t>AIS Organic revenue*</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3,668</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3,493</w:t>
            </w:r>
          </w:p>
        </w:tc>
        <w:tc>
          <w:tcPr>
            <w:tcW w:w="109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5.0%</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7,182</w:t>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6,872</w:t>
            </w:r>
          </w:p>
        </w:tc>
        <w:tc>
          <w:tcPr>
            <w:tcW w:w="114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4.5%</w:t>
            </w:r>
          </w:p>
        </w:tc>
      </w:tr>
      <w:tr>
        <w:trPr/>
        <w:tc>
          <w:tcPr>
            <w:tcW w:w="2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PDx revenues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843</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729</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15.6%</w:t>
            </w:r>
          </w:p>
        </w:tc>
        <w:tc>
          <w:tcPr>
            <w:tcW w:w="327" w:type="dxa"/>
            <w:gridSpan w:val="3"/>
            <w:tcBorders>
              <w:top w:val="single" w:sz="8" w:space="0" w:color="6022A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1,612</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1,362</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18.4%</w:t>
            </w:r>
          </w:p>
        </w:tc>
      </w:tr>
      <w:tr>
        <w:trPr/>
        <w:tc>
          <w:tcPr>
            <w:tcW w:w="2600"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Acquisitions</w:t>
            </w:r>
            <w:r>
              <w:rPr>
                <w:rFonts w:ascii="Source Sans Pro;sans-serif" w:hAnsi="Source Sans Pro;sans-serif"/>
                <w:b w:val="false"/>
                <w:color w:val="000000"/>
                <w:sz w:val="12"/>
              </w:rPr>
              <w:t>(1)</w:t>
            </w:r>
            <w:r>
              <w:rPr>
                <w:color w:val="000000"/>
              </w:rPr>
              <w:t>    </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50</w:t>
            </w:r>
          </w:p>
        </w:tc>
        <w:tc>
          <w:tcPr>
            <w:tcW w:w="12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Dispositions</w:t>
            </w:r>
            <w:r>
              <w:rPr>
                <w:rFonts w:ascii="Source Sans Pro;sans-serif" w:hAnsi="Source Sans Pro;sans-serif"/>
                <w:b w:val="false"/>
                <w:color w:val="000000"/>
                <w:sz w:val="12"/>
              </w:rPr>
              <w:t>(2)</w:t>
            </w:r>
            <w:r>
              <w:rPr>
                <w:color w:val="000000"/>
              </w:rPr>
              <w:t>    </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Less: Foreign currency exchange    </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35</w:t>
            </w:r>
          </w:p>
        </w:tc>
        <w:tc>
          <w:tcPr>
            <w:tcW w:w="12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PDx Organic revenue*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835</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729</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14.6%</w:t>
            </w:r>
          </w:p>
        </w:tc>
        <w:tc>
          <w:tcPr>
            <w:tcW w:w="327" w:type="dxa"/>
            <w:gridSpan w:val="3"/>
            <w:tcBorders>
              <w:top w:val="single" w:sz="8" w:space="0" w:color="6022A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1,527</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1,360</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12.3%</w:t>
            </w:r>
          </w:p>
        </w:tc>
      </w:tr>
      <w:tr>
        <w:trPr/>
        <w:tc>
          <w:tcPr>
            <w:tcW w:w="260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PCS revenues    </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675</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778</w:t>
            </w:r>
          </w:p>
        </w:tc>
        <w:tc>
          <w:tcPr>
            <w:tcW w:w="109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(13.3)%</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1,379</w:t>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1,531</w:t>
            </w:r>
          </w:p>
        </w:tc>
        <w:tc>
          <w:tcPr>
            <w:tcW w:w="114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(10.0)%</w:t>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Acquisitions</w:t>
            </w:r>
            <w:r>
              <w:rPr>
                <w:rFonts w:ascii="Source Sans Pro;sans-serif" w:hAnsi="Source Sans Pro;sans-serif"/>
                <w:b w:val="false"/>
                <w:color w:val="000000"/>
                <w:sz w:val="12"/>
              </w:rPr>
              <w:t>(1)</w:t>
            </w:r>
            <w:r>
              <w:rPr>
                <w:color w:val="000000"/>
              </w:rPr>
              <w:t>    </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Dispositions</w:t>
            </w:r>
            <w:r>
              <w:rPr>
                <w:rFonts w:ascii="Source Sans Pro;sans-serif" w:hAnsi="Source Sans Pro;sans-serif"/>
                <w:b w:val="false"/>
                <w:color w:val="000000"/>
                <w:sz w:val="12"/>
              </w:rPr>
              <w:t>(2)</w:t>
            </w:r>
            <w:r>
              <w:rPr>
                <w:color w:val="000000"/>
              </w:rPr>
              <w:t>    </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Less: Foreign currency exchange    </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PCS Organic revenue*    </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673</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778</w:t>
            </w:r>
          </w:p>
        </w:tc>
        <w:tc>
          <w:tcPr>
            <w:tcW w:w="109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(13.5)%</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1,365</w:t>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1,531</w:t>
            </w:r>
          </w:p>
        </w:tc>
        <w:tc>
          <w:tcPr>
            <w:tcW w:w="114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(10.9)%</w:t>
            </w:r>
          </w:p>
        </w:tc>
      </w:tr>
      <w:tr>
        <w:trPr/>
        <w:tc>
          <w:tcPr>
            <w:tcW w:w="2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Other revenues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24</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19</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27.1%</w:t>
            </w:r>
          </w:p>
        </w:tc>
      </w:tr>
      <w:tr>
        <w:trPr/>
        <w:tc>
          <w:tcPr>
            <w:tcW w:w="2600"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Acquisitions</w:t>
            </w:r>
            <w:r>
              <w:rPr>
                <w:rFonts w:ascii="Source Sans Pro;sans-serif" w:hAnsi="Source Sans Pro;sans-serif"/>
                <w:b w:val="false"/>
                <w:color w:val="000000"/>
                <w:sz w:val="12"/>
              </w:rPr>
              <w:t>(1)</w:t>
            </w:r>
            <w:r>
              <w:rPr>
                <w:color w:val="000000"/>
              </w:rPr>
              <w:t>    </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Dispositions</w:t>
            </w:r>
            <w:r>
              <w:rPr>
                <w:rFonts w:ascii="Source Sans Pro;sans-serif" w:hAnsi="Source Sans Pro;sans-serif"/>
                <w:b w:val="false"/>
                <w:color w:val="000000"/>
                <w:sz w:val="12"/>
              </w:rPr>
              <w:t>(2)</w:t>
            </w:r>
            <w:r>
              <w:rPr>
                <w:color w:val="000000"/>
              </w:rPr>
              <w:t>    </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Less: Foreign currency exchange    </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Other Organic revenue*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3.8%</w:t>
            </w:r>
          </w:p>
        </w:tc>
        <w:tc>
          <w:tcPr>
            <w:tcW w:w="327" w:type="dxa"/>
            <w:gridSpan w:val="3"/>
            <w:tcBorders>
              <w:top w:val="single" w:sz="8" w:space="0" w:color="6022A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24</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19</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27.1%</w:t>
            </w:r>
          </w:p>
        </w:tc>
      </w:tr>
      <w:tr>
        <w:trPr/>
        <w:tc>
          <w:tcPr>
            <w:tcW w:w="260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Total revenues    </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5,295</w:t>
            </w:r>
          </w:p>
        </w:tc>
        <w:tc>
          <w:tcPr>
            <w:tcW w:w="582"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5,007</w:t>
            </w:r>
          </w:p>
        </w:tc>
        <w:tc>
          <w:tcPr>
            <w:tcW w:w="109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5.7%</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10,425</w:t>
            </w:r>
          </w:p>
        </w:tc>
        <w:tc>
          <w:tcPr>
            <w:tcW w:w="541"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9,784</w:t>
            </w:r>
          </w:p>
        </w:tc>
        <w:tc>
          <w:tcPr>
            <w:tcW w:w="114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6.6%</w:t>
            </w:r>
          </w:p>
        </w:tc>
      </w:tr>
      <w:tr>
        <w:trPr/>
        <w:tc>
          <w:tcPr>
            <w:tcW w:w="2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Acquisitions</w:t>
            </w:r>
            <w:r>
              <w:rPr>
                <w:rFonts w:ascii="Source Sans Pro;sans-serif" w:hAnsi="Source Sans Pro;sans-serif"/>
                <w:b w:val="false"/>
                <w:color w:val="000000"/>
                <w:sz w:val="12"/>
              </w:rPr>
              <w:t>(1)</w:t>
            </w:r>
            <w:r>
              <w:rPr>
                <w:color w:val="000000"/>
              </w:rPr>
              <w:t>    </w:t>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62</w:t>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122</w:t>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Less: Dispositions</w:t>
            </w:r>
            <w:r>
              <w:rPr>
                <w:rFonts w:ascii="Source Sans Pro;sans-serif" w:hAnsi="Source Sans Pro;sans-serif"/>
                <w:b w:val="false"/>
                <w:color w:val="000000"/>
                <w:sz w:val="12"/>
              </w:rPr>
              <w:t>(2)</w:t>
            </w:r>
            <w:r>
              <w:rPr>
                <w:color w:val="000000"/>
              </w:rPr>
              <w:t>    </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5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202"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Less: Foreign currency exchange    </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51</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205</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Organic revenue*    </w:t>
            </w:r>
          </w:p>
        </w:tc>
        <w:tc>
          <w:tcPr>
            <w:tcW w:w="5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5,182</w:t>
            </w:r>
          </w:p>
        </w:tc>
        <w:tc>
          <w:tcPr>
            <w:tcW w:w="58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7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5,007</w:t>
            </w:r>
          </w:p>
        </w:tc>
        <w:tc>
          <w:tcPr>
            <w:tcW w:w="109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3.5%</w:t>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8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10,098</w:t>
            </w:r>
          </w:p>
        </w:tc>
        <w:tc>
          <w:tcPr>
            <w:tcW w:w="54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9,783</w:t>
            </w:r>
          </w:p>
        </w:tc>
        <w:tc>
          <w:tcPr>
            <w:tcW w:w="114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3.2%</w:t>
            </w:r>
          </w:p>
        </w:tc>
      </w:tr>
    </w:tbl>
    <w:tbl>
      <w:tblPr>
        <w:tblW w:w="10205" w:type="dxa"/>
        <w:jc w:val="left"/>
        <w:tblInd w:w="0" w:type="dxa"/>
        <w:tblLayout w:type="fixed"/>
        <w:tblCellMar>
          <w:top w:w="28" w:type="dxa"/>
          <w:left w:w="28" w:type="dxa"/>
          <w:bottom w:w="28" w:type="dxa"/>
          <w:right w:w="28" w:type="dxa"/>
        </w:tblCellMar>
      </w:tblPr>
      <w:tblGrid>
        <w:gridCol w:w="130"/>
        <w:gridCol w:w="114"/>
        <w:gridCol w:w="114"/>
        <w:gridCol w:w="2878"/>
        <w:gridCol w:w="2878"/>
        <w:gridCol w:w="4091"/>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984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Represents revenues attributable to acquisitions from the date the Company completed the transaction through the end of four quarters following the transaction, excluding the impact of Foreign currency exchange already captured in lines elsewhere. </w:t>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984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Represents revenues attributable to dispositions for the four quarters preceding the disposition date.</w:t>
            </w:r>
          </w:p>
        </w:tc>
      </w:tr>
    </w:tbl>
    <w:p>
      <w:pPr>
        <w:pStyle w:val="TextBody"/>
        <w:bidi w:val="0"/>
        <w:spacing w:before="0" w:after="0"/>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0"/>
        <w:jc w:val="both"/>
        <w:rPr/>
      </w:pPr>
      <w:r>
        <w:rPr/>
      </w:r>
    </w:p>
    <w:p>
      <w:pPr>
        <w:pStyle w:val="TextBody"/>
        <w:bidi w:val="0"/>
        <w:spacing w:before="0" w:after="2"/>
        <w:jc w:val="both"/>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8610"/>
                <wp:effectExtent l="0" t="0" r="0" b="0"/>
                <wp:wrapNone/>
                <wp:docPr id="12" name="Frame11"/>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97"/>
        <w:gridCol w:w="762"/>
        <w:gridCol w:w="768"/>
        <w:gridCol w:w="247"/>
        <w:gridCol w:w="575"/>
        <w:gridCol w:w="312"/>
        <w:gridCol w:w="247"/>
        <w:gridCol w:w="575"/>
        <w:gridCol w:w="312"/>
        <w:gridCol w:w="300"/>
        <w:gridCol w:w="301"/>
        <w:gridCol w:w="622"/>
        <w:gridCol w:w="109"/>
        <w:gridCol w:w="109"/>
        <w:gridCol w:w="109"/>
        <w:gridCol w:w="234"/>
        <w:gridCol w:w="747"/>
        <w:gridCol w:w="296"/>
        <w:gridCol w:w="234"/>
        <w:gridCol w:w="747"/>
        <w:gridCol w:w="296"/>
        <w:gridCol w:w="255"/>
        <w:gridCol w:w="255"/>
        <w:gridCol w:w="696"/>
      </w:tblGrid>
      <w:tr>
        <w:trPr/>
        <w:tc>
          <w:tcPr>
            <w:tcW w:w="109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6118"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Adjusted EBIT*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Unaudited</w:t>
            </w:r>
          </w:p>
        </w:tc>
        <w:tc>
          <w:tcPr>
            <w:tcW w:w="349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r>
      <w:tr>
        <w:trPr/>
        <w:tc>
          <w:tcPr>
            <w:tcW w:w="26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i/>
                <w:color w:val="454545"/>
                <w:sz w:val="18"/>
              </w:rPr>
            </w:pPr>
            <w:r>
              <w:rPr>
                <w:rFonts w:ascii="Source Sans Pro;sans-serif" w:hAnsi="Source Sans Pro;sans-serif"/>
                <w:b/>
                <w:i/>
                <w:color w:val="454545"/>
                <w:sz w:val="18"/>
              </w:rPr>
              <w:t>($ in millions)</w:t>
            </w:r>
          </w:p>
        </w:tc>
        <w:tc>
          <w:tcPr>
            <w:tcW w:w="113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13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22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2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20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r>
      <w:tr>
        <w:trPr/>
        <w:tc>
          <w:tcPr>
            <w:tcW w:w="2627"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Net income attributable to GE HealthCare    </w:t>
            </w:r>
          </w:p>
        </w:tc>
        <w:tc>
          <w:tcPr>
            <w:tcW w:w="2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561</w:t>
            </w:r>
            <w:r>
              <w:rPr>
                <w:color w:val="000000"/>
              </w:rPr>
              <w:t> </w:t>
            </w:r>
          </w:p>
        </w:tc>
        <w:tc>
          <w:tcPr>
            <w:tcW w:w="31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486</w:t>
            </w:r>
            <w:r>
              <w:rPr>
                <w:color w:val="000000"/>
              </w:rPr>
              <w:t> </w:t>
            </w:r>
          </w:p>
        </w:tc>
        <w:tc>
          <w:tcPr>
            <w:tcW w:w="312"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15.5</w:t>
            </w:r>
            <w:r>
              <w:rPr>
                <w:color w:val="000000"/>
              </w:rPr>
              <w:t> </w:t>
            </w:r>
          </w:p>
        </w:tc>
        <w:tc>
          <w:tcPr>
            <w:tcW w:w="62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950</w:t>
            </w:r>
            <w:r>
              <w:rPr>
                <w:color w:val="000000"/>
              </w:rPr>
              <w:t> </w:t>
            </w:r>
          </w:p>
        </w:tc>
        <w:tc>
          <w:tcPr>
            <w:tcW w:w="2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4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1,049</w:t>
            </w:r>
            <w:r>
              <w:rPr>
                <w:color w:val="000000"/>
              </w:rPr>
              <w:t> </w:t>
            </w:r>
          </w:p>
        </w:tc>
        <w:tc>
          <w:tcPr>
            <w:tcW w:w="29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(9.5)</w:t>
            </w:r>
          </w:p>
        </w:tc>
        <w:tc>
          <w:tcPr>
            <w:tcW w:w="69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Add: Interest and other financial charges – net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224 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Add: Non-operating benefit (income) costs    </w:t>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(73)</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(96)</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(148)</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Less: Benefit (provision) for income taxes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(216)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Less: Net (income) loss attributable to noncontrolling interests     </w:t>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(13)</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(35)</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(39)</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EBIT*    </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761</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653</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16.7</w:t>
            </w:r>
            <w:r>
              <w:rPr>
                <w:color w:val="000000"/>
              </w:rPr>
              <w:t> </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1,312</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1,380</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(5.0)</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r>
      <w:tr>
        <w:trPr/>
        <w:tc>
          <w:tcPr>
            <w:tcW w:w="2627"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Add: Restructuring costs</w:t>
            </w:r>
            <w:r>
              <w:rPr>
                <w:rFonts w:ascii="Source Sans Pro;sans-serif" w:hAnsi="Source Sans Pro;sans-serif"/>
                <w:b w:val="false"/>
                <w:color w:val="000000"/>
                <w:sz w:val="12"/>
              </w:rPr>
              <w:t>(1)</w:t>
            </w:r>
            <w:r>
              <w:rPr>
                <w:color w:val="000000"/>
              </w:rPr>
              <w:t>    </w:t>
            </w:r>
          </w:p>
        </w:tc>
        <w:tc>
          <w:tcPr>
            <w:tcW w:w="82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27 </w:t>
            </w:r>
          </w:p>
        </w:tc>
        <w:tc>
          <w:tcPr>
            <w:tcW w:w="31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18 </w:t>
            </w:r>
          </w:p>
        </w:tc>
        <w:tc>
          <w:tcPr>
            <w:tcW w:w="312"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76 </w:t>
            </w:r>
          </w:p>
        </w:tc>
        <w:tc>
          <w:tcPr>
            <w:tcW w:w="29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40 </w:t>
            </w:r>
          </w:p>
        </w:tc>
        <w:tc>
          <w:tcPr>
            <w:tcW w:w="296"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Add: Acquisition and disposition-related charges (benefits)</w:t>
            </w:r>
            <w:r>
              <w:rPr>
                <w:rFonts w:ascii="Source Sans Pro;sans-serif" w:hAnsi="Source Sans Pro;sans-serif"/>
                <w:b w:val="false"/>
                <w:color w:val="000000"/>
                <w:sz w:val="12"/>
              </w:rPr>
              <w:t>(2)</w:t>
            </w: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Add: Spin-Off and separation costs and other adjustments</w:t>
            </w:r>
            <w:r>
              <w:rPr>
                <w:rFonts w:ascii="Source Sans Pro;sans-serif" w:hAnsi="Source Sans Pro;sans-serif"/>
                <w:b w:val="false"/>
                <w:color w:val="000000"/>
                <w:sz w:val="12"/>
              </w:rPr>
              <w:t>(3)</w:t>
            </w:r>
            <w:r>
              <w:rPr>
                <w:color w:val="000000"/>
              </w:rPr>
              <w:t>    </w:t>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29 </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Add: (Gain) loss on business and asset dispositions</w:t>
            </w:r>
            <w:r>
              <w:rPr>
                <w:rFonts w:ascii="Source Sans Pro;sans-serif" w:hAnsi="Source Sans Pro;sans-serif"/>
                <w:b w:val="false"/>
                <w:color w:val="000000"/>
                <w:sz w:val="12"/>
              </w:rPr>
              <w:t>(4)</w:t>
            </w: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E4E4E4" w:val="clear"/>
            <w:tcMar>
              <w:top w:w="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Add: Amortization of acquisition-related intangible assets    </w:t>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61 </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40 </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108 </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75 </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Source Sans Pro;sans-serif" w:hAnsi="Source Sans Pro;sans-serif"/>
                <w:b w:val="false"/>
                <w:color w:val="000000"/>
                <w:sz w:val="18"/>
              </w:rPr>
              <w:t>Add: Investment revaluation (gain) loss</w:t>
            </w:r>
            <w:r>
              <w:rPr>
                <w:rFonts w:ascii="Source Sans Pro;sans-serif" w:hAnsi="Source Sans Pro;sans-serif"/>
                <w:b w:val="false"/>
                <w:color w:val="000000"/>
                <w:sz w:val="12"/>
              </w:rPr>
              <w:t>(5)</w:t>
            </w: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E4E4E4" w:val="clear"/>
            <w:tcMar>
              <w:top w:w="0" w:type="dxa"/>
              <w:left w:w="0" w:type="dxa"/>
              <w:bottom w:w="0" w:type="dxa"/>
              <w:right w:w="0" w:type="dxa"/>
            </w:tcMar>
            <w:vAlign w:val="center"/>
          </w:tcPr>
          <w:p>
            <w:pPr>
              <w:pStyle w:val="TableContents"/>
              <w:bidi w:val="0"/>
              <w:spacing w:lineRule="auto" w:line="240" w:before="0" w:after="2"/>
              <w:jc w:val="left"/>
              <w:rPr/>
            </w:pPr>
            <w:r>
              <w:rPr>
                <w:rFonts w:ascii="Source Sans Pro;sans-serif" w:hAnsi="Source Sans Pro;sans-serif"/>
                <w:b w:val="false"/>
                <w:color w:val="000000"/>
                <w:sz w:val="18"/>
              </w:rPr>
              <w:t>Less: Tariff refunds</w:t>
            </w:r>
            <w:r>
              <w:rPr>
                <w:rFonts w:ascii="Source Sans Pro;sans-serif" w:hAnsi="Source Sans Pro;sans-serif"/>
                <w:b w:val="false"/>
                <w:color w:val="000000"/>
                <w:sz w:val="12"/>
              </w:rPr>
              <w:t>(6)</w:t>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106 </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31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106 </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29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rFonts w:ascii="Source Sans Pro;sans-serif" w:hAnsi="Source Sans Pro;sans-serif"/>
                <w:b/>
                <w:color w:val="000000"/>
                <w:sz w:val="18"/>
              </w:rPr>
            </w:pPr>
            <w:r>
              <w:rPr>
                <w:rFonts w:ascii="Source Sans Pro;sans-serif" w:hAnsi="Source Sans Pro;sans-serif"/>
                <w:b/>
                <w:color w:val="000000"/>
                <w:sz w:val="18"/>
              </w:rPr>
              <w:t>Adjusted EBIT*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750</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729</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2.9</w:t>
            </w:r>
            <w:r>
              <w:rPr>
                <w:color w:val="000000"/>
              </w:rPr>
              <w:t> </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1,440</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1,443</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(0.2)</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r>
      <w:tr>
        <w:trPr/>
        <w:tc>
          <w:tcPr>
            <w:tcW w:w="262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Net income margin</w:t>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10.6</w:t>
            </w:r>
            <w:r>
              <w:rPr>
                <w:color w:val="000000"/>
              </w:rPr>
              <w:t> </w:t>
            </w:r>
          </w:p>
        </w:tc>
        <w:tc>
          <w:tcPr>
            <w:tcW w:w="312" w:type="dxa"/>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2"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9.7</w:t>
            </w:r>
            <w:r>
              <w:rPr>
                <w:color w:val="000000"/>
              </w:rPr>
              <w:t> </w:t>
            </w:r>
          </w:p>
        </w:tc>
        <w:tc>
          <w:tcPr>
            <w:tcW w:w="312" w:type="dxa"/>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223" w:type="dxa"/>
            <w:gridSpan w:val="3"/>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90 bps</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9.1</w:t>
            </w:r>
            <w:r>
              <w:rPr>
                <w:color w:val="000000"/>
              </w:rPr>
              <w:t> </w:t>
            </w:r>
          </w:p>
        </w:tc>
        <w:tc>
          <w:tcPr>
            <w:tcW w:w="296" w:type="dxa"/>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981"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10.7</w:t>
            </w:r>
            <w:r>
              <w:rPr>
                <w:color w:val="000000"/>
              </w:rPr>
              <w:t> </w:t>
            </w:r>
          </w:p>
        </w:tc>
        <w:tc>
          <w:tcPr>
            <w:tcW w:w="296" w:type="dxa"/>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206" w:type="dxa"/>
            <w:gridSpan w:val="3"/>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(160) bps</w:t>
            </w:r>
          </w:p>
        </w:tc>
      </w:tr>
      <w:tr>
        <w:trPr/>
        <w:tc>
          <w:tcPr>
            <w:tcW w:w="26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Adjusted EBIT margin*    </w:t>
            </w:r>
          </w:p>
        </w:tc>
        <w:tc>
          <w:tcPr>
            <w:tcW w:w="8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14.2</w:t>
            </w:r>
            <w:r>
              <w:rPr>
                <w:color w:val="000000"/>
              </w:rPr>
              <w:t> </w:t>
            </w:r>
          </w:p>
        </w:tc>
        <w:tc>
          <w:tcPr>
            <w:tcW w:w="3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14.6</w:t>
            </w:r>
            <w:r>
              <w:rPr>
                <w:color w:val="000000"/>
              </w:rPr>
              <w:t> </w:t>
            </w:r>
          </w:p>
        </w:tc>
        <w:tc>
          <w:tcPr>
            <w:tcW w:w="3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2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(40) bps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13.8</w:t>
            </w:r>
            <w:r>
              <w:rPr>
                <w:color w:val="000000"/>
              </w:rPr>
              <w:t>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9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14.8</w:t>
            </w:r>
            <w:r>
              <w:rPr>
                <w:color w:val="000000"/>
              </w:rPr>
              <w:t>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12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(90) bps</w:t>
            </w:r>
          </w:p>
        </w:tc>
      </w:tr>
    </w:tbl>
    <w:tbl>
      <w:tblPr>
        <w:tblW w:w="10205" w:type="dxa"/>
        <w:jc w:val="left"/>
        <w:tblInd w:w="0" w:type="dxa"/>
        <w:tblLayout w:type="fixed"/>
        <w:tblCellMar>
          <w:top w:w="28" w:type="dxa"/>
          <w:left w:w="28" w:type="dxa"/>
          <w:bottom w:w="28" w:type="dxa"/>
          <w:right w:w="28" w:type="dxa"/>
        </w:tblCellMar>
      </w:tblPr>
      <w:tblGrid>
        <w:gridCol w:w="130"/>
        <w:gridCol w:w="114"/>
        <w:gridCol w:w="114"/>
        <w:gridCol w:w="3041"/>
        <w:gridCol w:w="2810"/>
        <w:gridCol w:w="3996"/>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3996" w:type="dxa"/>
            <w:tcBorders/>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984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severance, facility closures, and other charges associated with restructuring programs.</w:t>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984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legal, consulting, and other transaction and integration fees, and adjustments to contingent consideration, as well as other purchase accounting related charges and other costs directly related to the transactions.</w:t>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(3)</w:t>
            </w:r>
          </w:p>
        </w:tc>
        <w:tc>
          <w:tcPr>
            <w:tcW w:w="984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Costs and other adjustments related to the Spin-Off and separation from GE, including system implementations, audit and advisory fees, legal entity separation, Founders Grant equity awards, separation agreements with GE, and other one-time costs.</w:t>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(4)</w:t>
            </w:r>
          </w:p>
        </w:tc>
        <w:tc>
          <w:tcPr>
            <w:tcW w:w="984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gains and losses resulting from the sale of assets and investments.</w:t>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984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Primarily relates to valuation adjustments for equity investments and for the six months ended June 30, 2025, includes the impact from the revaluation of our existing 50% interest in NMP as part of the acquisition transaction.</w:t>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9847"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the pre-tax impact of refunds pertaining to IEEPA tariffs incurred in the year ended December 31, 2025.</w:t>
            </w:r>
          </w:p>
        </w:tc>
      </w:tr>
    </w:tbl>
    <w:p>
      <w:pPr>
        <w:pStyle w:val="TextBody"/>
        <w:bidi w:val="0"/>
        <w:spacing w:before="0" w:after="2"/>
        <w:ind w:left="0" w:right="0" w:hanging="27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8610"/>
                <wp:effectExtent l="0" t="0" r="0" b="0"/>
                <wp:wrapNone/>
                <wp:docPr id="13" name="Frame12"/>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50"/>
        <w:gridCol w:w="930"/>
        <w:gridCol w:w="938"/>
        <w:gridCol w:w="278"/>
        <w:gridCol w:w="649"/>
        <w:gridCol w:w="134"/>
        <w:gridCol w:w="278"/>
        <w:gridCol w:w="649"/>
        <w:gridCol w:w="134"/>
        <w:gridCol w:w="300"/>
        <w:gridCol w:w="301"/>
        <w:gridCol w:w="622"/>
        <w:gridCol w:w="109"/>
        <w:gridCol w:w="109"/>
        <w:gridCol w:w="109"/>
        <w:gridCol w:w="259"/>
        <w:gridCol w:w="604"/>
        <w:gridCol w:w="125"/>
        <w:gridCol w:w="259"/>
        <w:gridCol w:w="828"/>
        <w:gridCol w:w="125"/>
        <w:gridCol w:w="260"/>
        <w:gridCol w:w="260"/>
        <w:gridCol w:w="695"/>
      </w:tblGrid>
      <w:tr>
        <w:trPr/>
        <w:tc>
          <w:tcPr>
            <w:tcW w:w="125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6463" w:type="dxa"/>
            <w:gridSpan w:val="12"/>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Unaudited</w:t>
            </w:r>
          </w:p>
        </w:tc>
        <w:tc>
          <w:tcPr>
            <w:tcW w:w="334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r>
      <w:tr>
        <w:trPr/>
        <w:tc>
          <w:tcPr>
            <w:tcW w:w="311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i/>
                <w:color w:val="454545"/>
                <w:sz w:val="18"/>
              </w:rPr>
            </w:pPr>
            <w:r>
              <w:rPr>
                <w:rFonts w:ascii="Source Sans Pro;sans-serif" w:hAnsi="Source Sans Pro;sans-serif"/>
                <w:b/>
                <w:i/>
                <w:color w:val="454545"/>
                <w:sz w:val="18"/>
              </w:rPr>
              <w:t>($ in millions)</w:t>
            </w:r>
          </w:p>
        </w:tc>
        <w:tc>
          <w:tcPr>
            <w:tcW w:w="106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06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22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21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21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r>
      <w:tr>
        <w:trPr/>
        <w:tc>
          <w:tcPr>
            <w:tcW w:w="3118"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Net income attributable to GE HealthCare    </w:t>
            </w:r>
          </w:p>
        </w:tc>
        <w:tc>
          <w:tcPr>
            <w:tcW w:w="27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561</w:t>
            </w:r>
            <w:r>
              <w:rPr>
                <w:color w:val="000000"/>
              </w:rPr>
              <w:t> </w:t>
            </w:r>
          </w:p>
        </w:tc>
        <w:tc>
          <w:tcPr>
            <w:tcW w:w="13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486</w:t>
            </w:r>
            <w:r>
              <w:rPr>
                <w:color w:val="000000"/>
              </w:rPr>
              <w:t> </w:t>
            </w:r>
          </w:p>
        </w:tc>
        <w:tc>
          <w:tcPr>
            <w:tcW w:w="134"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15.5</w:t>
            </w:r>
            <w:r>
              <w:rPr>
                <w:color w:val="000000"/>
              </w:rPr>
              <w:t> </w:t>
            </w:r>
          </w:p>
        </w:tc>
        <w:tc>
          <w:tcPr>
            <w:tcW w:w="62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0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950</w:t>
            </w:r>
            <w:r>
              <w:rPr>
                <w:color w:val="000000"/>
              </w:rPr>
              <w:t> </w:t>
            </w:r>
          </w:p>
        </w:tc>
        <w:tc>
          <w:tcPr>
            <w:tcW w:w="12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1,049</w:t>
            </w:r>
            <w:r>
              <w:rPr>
                <w:color w:val="000000"/>
              </w:rPr>
              <w:t> </w:t>
            </w:r>
          </w:p>
        </w:tc>
        <w:tc>
          <w:tcPr>
            <w:tcW w:w="125"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(9.5)</w:t>
            </w:r>
          </w:p>
        </w:tc>
        <w:tc>
          <w:tcPr>
            <w:tcW w:w="69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Add: Non-operating benefit (income) costs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Restructuring costs</w:t>
            </w:r>
            <w:r>
              <w:rPr>
                <w:rFonts w:ascii="Source Sans Pro;sans-serif" w:hAnsi="Source Sans Pro;sans-serif"/>
                <w:b w:val="false"/>
                <w:color w:val="000000"/>
                <w:sz w:val="12"/>
              </w:rPr>
              <w:t>(1)</w:t>
            </w:r>
            <w:r>
              <w:rPr>
                <w:color w:val="000000"/>
              </w:rPr>
              <w:t>    </w:t>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27 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76 </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40 </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Acquisition and disposition-related charges (benefits)</w:t>
            </w:r>
            <w:r>
              <w:rPr>
                <w:rFonts w:ascii="Source Sans Pro;sans-serif" w:hAnsi="Source Sans Pro;sans-serif"/>
                <w:b w:val="false"/>
                <w:color w:val="000000"/>
                <w:sz w:val="12"/>
              </w:rPr>
              <w:t>(2)</w:t>
            </w:r>
            <w:r>
              <w:rPr>
                <w:color w:val="000000"/>
              </w:rPr>
              <w:t>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Spin-Off and separation costs and other adjustments</w:t>
            </w:r>
            <w:r>
              <w:rPr>
                <w:rFonts w:ascii="Source Sans Pro;sans-serif" w:hAnsi="Source Sans Pro;sans-serif"/>
                <w:b w:val="false"/>
                <w:color w:val="000000"/>
                <w:sz w:val="12"/>
              </w:rPr>
              <w:t>(3)</w:t>
            </w:r>
            <w:r>
              <w:rPr>
                <w:color w:val="000000"/>
              </w:rPr>
              <w:t>    </w:t>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34 </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(Gain) loss on business and asset dispositions</w:t>
            </w:r>
            <w:r>
              <w:rPr>
                <w:rFonts w:ascii="Source Sans Pro;sans-serif" w:hAnsi="Source Sans Pro;sans-serif"/>
                <w:b w:val="false"/>
                <w:color w:val="000000"/>
                <w:sz w:val="12"/>
              </w:rPr>
              <w:t>(4)</w:t>
            </w:r>
            <w:r>
              <w:rPr>
                <w:color w:val="000000"/>
              </w:rPr>
              <w:t>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Add: Amortization of acquisition-related intangible assets    </w:t>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61 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40 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108 </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75 </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Investment revaluation (gain) loss</w:t>
            </w:r>
            <w:r>
              <w:rPr>
                <w:rFonts w:ascii="Source Sans Pro;sans-serif" w:hAnsi="Source Sans Pro;sans-serif"/>
                <w:b w:val="false"/>
                <w:color w:val="000000"/>
                <w:sz w:val="12"/>
              </w:rPr>
              <w:t>(5)</w:t>
            </w:r>
            <w:r>
              <w:rPr>
                <w:color w:val="000000"/>
              </w:rPr>
              <w:t>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(92)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E4E4E4" w:val="clear"/>
            <w:tcMar>
              <w:top w:w="0" w:type="dxa"/>
              <w:left w:w="0" w:type="dxa"/>
              <w:bottom w:w="0" w:type="dxa"/>
              <w:right w:w="0" w:type="dxa"/>
            </w:tcMar>
            <w:vAlign w:val="center"/>
          </w:tcPr>
          <w:p>
            <w:pPr>
              <w:pStyle w:val="TableContents"/>
              <w:bidi w:val="0"/>
              <w:spacing w:lineRule="auto" w:line="297" w:before="0" w:after="2"/>
              <w:jc w:val="left"/>
              <w:rPr/>
            </w:pPr>
            <w:r>
              <w:rPr>
                <w:rFonts w:ascii="Source Sans Pro;sans-serif" w:hAnsi="Source Sans Pro;sans-serif"/>
                <w:b w:val="false"/>
                <w:color w:val="000000"/>
                <w:sz w:val="18"/>
              </w:rPr>
              <w:t>Less: Tariff refunds</w:t>
            </w:r>
            <w:r>
              <w:rPr>
                <w:rFonts w:ascii="Source Sans Pro;sans-serif" w:hAnsi="Source Sans Pro;sans-serif"/>
                <w:b w:val="false"/>
                <w:color w:val="000000"/>
                <w:sz w:val="12"/>
              </w:rPr>
              <w:t>(6)</w:t>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106 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106 </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Source Sans Pro;sans-serif" w:hAnsi="Source Sans Pro;sans-serif"/>
                <w:b w:val="false"/>
                <w:color w:val="000000"/>
                <w:sz w:val="18"/>
              </w:rPr>
              <w:t>Add: Tax effect of reconciling items</w:t>
            </w:r>
            <w:r>
              <w:rPr>
                <w:rFonts w:ascii="Source Sans Pro;sans-serif" w:hAnsi="Source Sans Pro;sans-serif"/>
                <w:b w:val="false"/>
                <w:color w:val="000000"/>
                <w:sz w:val="12"/>
              </w:rPr>
              <w:t>(7)</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E4E4E4" w:val="clear"/>
            <w:tcMar>
              <w:top w:w="0" w:type="dxa"/>
              <w:left w:w="0" w:type="dxa"/>
              <w:bottom w:w="0" w:type="dxa"/>
              <w:right w:w="0" w:type="dxa"/>
            </w:tcMar>
            <w:vAlign w:val="center"/>
          </w:tcPr>
          <w:p>
            <w:pPr>
              <w:pStyle w:val="TableContents"/>
              <w:bidi w:val="0"/>
              <w:spacing w:lineRule="auto" w:line="300" w:before="0" w:after="40"/>
              <w:jc w:val="left"/>
              <w:rPr/>
            </w:pPr>
            <w:r>
              <w:rPr>
                <w:rFonts w:ascii="Source Sans Pro;sans-serif" w:hAnsi="Source Sans Pro;sans-serif"/>
                <w:b w:val="false"/>
                <w:color w:val="000000"/>
                <w:sz w:val="18"/>
              </w:rPr>
              <w:t>Add: Spin-Off and other tax adjustments</w:t>
            </w:r>
            <w:r>
              <w:rPr>
                <w:rFonts w:ascii="Source Sans Pro;sans-serif" w:hAnsi="Source Sans Pro;sans-serif"/>
                <w:b w:val="false"/>
                <w:color w:val="000000"/>
                <w:sz w:val="12"/>
              </w:rPr>
              <w:t>(8)</w:t>
            </w:r>
            <w:r>
              <w:rPr>
                <w:color w:val="000000"/>
              </w:rPr>
              <w:t>    </w:t>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134"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w:t>
            </w:r>
          </w:p>
        </w:tc>
        <w:tc>
          <w:tcPr>
            <w:tcW w:w="12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Adjusted net income*    </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515</w:t>
            </w: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487</w:t>
            </w: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5.6</w:t>
            </w:r>
            <w:r>
              <w:rPr>
                <w:color w:val="000000"/>
              </w:rPr>
              <w:t> </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967</w:t>
            </w:r>
            <w:r>
              <w:rPr>
                <w:color w:val="000000"/>
              </w:rPr>
              <w:t>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951</w:t>
            </w:r>
            <w:r>
              <w:rPr>
                <w:color w:val="000000"/>
              </w:rPr>
              <w:t>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1.7</w:t>
            </w:r>
            <w:r>
              <w:rPr>
                <w:color w:val="000000"/>
              </w:rPr>
              <w:t> </w:t>
            </w:r>
          </w:p>
        </w:tc>
        <w:tc>
          <w:tcPr>
            <w:tcW w:w="6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7"/>
        <w:gridCol w:w="111"/>
        <w:gridCol w:w="111"/>
        <w:gridCol w:w="3096"/>
        <w:gridCol w:w="2791"/>
        <w:gridCol w:w="3969"/>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98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severance, facility closures, and other charges associated with restructuring programs.</w:t>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98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legal, consulting, and other transaction and integration fees, and adjustments to contingent consideration, as well as other purchase accounting related charges and other costs directly related to the transactions.</w:t>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(3)</w:t>
            </w:r>
          </w:p>
        </w:tc>
        <w:tc>
          <w:tcPr>
            <w:tcW w:w="98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Costs and other adjustments related to the Spin-Off and separation from GE, including system implementations, audit and advisory fees, legal entity separation, Founders Grant equity awards, separation agreements with GE, and other one-time costs. For the six months ended June 30, 2025, an adjustment is included to eliminate the associated impact on Net (income) loss attributable to noncontrolling interests for applicable costs that impact earnings attributable to noncontrolling interests.</w:t>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(4)</w:t>
            </w:r>
          </w:p>
        </w:tc>
        <w:tc>
          <w:tcPr>
            <w:tcW w:w="98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gains and losses resulting from the sale of assets and investments.</w:t>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98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Primarily relates to valuation adjustments for equity investments and for the six months ended June 30, 2025, includes the impact from the revaluation of our existing 50% interest in NMP as part of the acquisition transaction.</w:t>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9856"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the pre-tax impact of refunds pertaining to IEEPA tariffs incurred in the year ended December 31, 2025. The associated tax effect is presented on the Tax effect of reconciling items line. The net of tax impact of tariff refunds is $81 million for the three and six months ended June 30, 2026.</w:t>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(7)</w:t>
            </w:r>
          </w:p>
        </w:tc>
        <w:tc>
          <w:tcPr>
            <w:tcW w:w="9856"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The tax effect of reconciling items is calculated using the statutory tax rate, taking into consideration the nature of the items and the relevant taxing jurisdiction.</w:t>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9856"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certain income tax adjustments, including foreign income tax reserve releases and discrete tax impacts resulting from the Spin-Off and separation from GE and for the six months ended June 30, 2025, includes tax impacts of the NMP acquisition.</w:t>
            </w:r>
          </w:p>
        </w:tc>
      </w:tr>
    </w:tbl>
    <w:p>
      <w:pPr>
        <w:pStyle w:val="TextBody"/>
        <w:bidi w:val="0"/>
        <w:spacing w:before="0" w:after="2"/>
        <w:ind w:left="0" w:right="0" w:hanging="270"/>
        <w:jc w:val="left"/>
        <w:rPr/>
      </w:pPr>
      <w:r>
        <w:rPr/>
      </w:r>
    </w:p>
    <w:p>
      <w:pPr>
        <w:pStyle w:val="TextBody"/>
        <w:bidi w:val="0"/>
        <w:spacing w:before="0" w:after="2"/>
        <w:jc w:val="lef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8610"/>
                <wp:effectExtent l="0" t="0" r="0" b="0"/>
                <wp:wrapNone/>
                <wp:docPr id="14" name="Frame13"/>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81"/>
        <w:gridCol w:w="943"/>
        <w:gridCol w:w="949"/>
        <w:gridCol w:w="332"/>
        <w:gridCol w:w="884"/>
        <w:gridCol w:w="160"/>
        <w:gridCol w:w="226"/>
        <w:gridCol w:w="601"/>
        <w:gridCol w:w="109"/>
        <w:gridCol w:w="250"/>
        <w:gridCol w:w="665"/>
        <w:gridCol w:w="121"/>
        <w:gridCol w:w="109"/>
        <w:gridCol w:w="109"/>
        <w:gridCol w:w="109"/>
        <w:gridCol w:w="241"/>
        <w:gridCol w:w="643"/>
        <w:gridCol w:w="116"/>
        <w:gridCol w:w="241"/>
        <w:gridCol w:w="643"/>
        <w:gridCol w:w="116"/>
        <w:gridCol w:w="275"/>
        <w:gridCol w:w="712"/>
        <w:gridCol w:w="170"/>
      </w:tblGrid>
      <w:tr>
        <w:trPr/>
        <w:tc>
          <w:tcPr>
            <w:tcW w:w="148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4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Adjusted Earnings Per Share*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Unaudited</w:t>
            </w:r>
          </w:p>
        </w:tc>
        <w:tc>
          <w:tcPr>
            <w:tcW w:w="334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r>
      <w:tr>
        <w:trPr/>
        <w:tc>
          <w:tcPr>
            <w:tcW w:w="337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i/>
                <w:color w:val="454545"/>
                <w:sz w:val="18"/>
              </w:rPr>
            </w:pPr>
            <w:r>
              <w:rPr>
                <w:rFonts w:ascii="Source Sans Pro;sans-serif" w:hAnsi="Source Sans Pro;sans-serif"/>
                <w:b/>
                <w:i/>
                <w:color w:val="454545"/>
                <w:sz w:val="18"/>
              </w:rPr>
              <w:t>(In dollars, except shares outstanding presented in millions)</w:t>
            </w:r>
          </w:p>
        </w:tc>
        <w:tc>
          <w:tcPr>
            <w:tcW w:w="137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93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03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00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1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r>
      <w:tr>
        <w:trPr/>
        <w:tc>
          <w:tcPr>
            <w:tcW w:w="3373"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Diluted earnings per share</w:t>
            </w:r>
          </w:p>
        </w:tc>
        <w:tc>
          <w:tcPr>
            <w:tcW w:w="33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8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1.24</w:t>
            </w:r>
            <w:r>
              <w:rPr>
                <w:color w:val="000000"/>
              </w:rPr>
              <w:t> </w:t>
            </w:r>
          </w:p>
        </w:tc>
        <w:tc>
          <w:tcPr>
            <w:tcW w:w="16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1.06</w:t>
            </w:r>
            <w:r>
              <w:rPr>
                <w:color w:val="000000"/>
              </w:rPr>
              <w:t> </w:t>
            </w:r>
          </w:p>
        </w:tc>
        <w:tc>
          <w:tcPr>
            <w:tcW w:w="10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0.18</w:t>
            </w:r>
            <w:r>
              <w:rPr>
                <w:color w:val="000000"/>
              </w:rPr>
              <w:t> </w:t>
            </w:r>
          </w:p>
        </w:tc>
        <w:tc>
          <w:tcPr>
            <w:tcW w:w="121"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2.08</w:t>
            </w:r>
            <w:r>
              <w:rPr>
                <w:color w:val="000000"/>
              </w:rPr>
              <w:t> </w:t>
            </w:r>
          </w:p>
        </w:tc>
        <w:tc>
          <w:tcPr>
            <w:tcW w:w="11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pPr>
            <w:r>
              <w:rPr>
                <w:rFonts w:ascii="Source Sans Pro;sans-serif" w:hAnsi="Source Sans Pro;sans-serif"/>
                <w:b/>
                <w:color w:val="000000"/>
                <w:sz w:val="18"/>
              </w:rPr>
              <w:t>2.29</w:t>
            </w:r>
            <w:r>
              <w:rPr>
                <w:color w:val="000000"/>
              </w:rPr>
              <w:t> </w:t>
            </w:r>
          </w:p>
        </w:tc>
        <w:tc>
          <w:tcPr>
            <w:tcW w:w="11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1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(0.20)</w:t>
            </w:r>
          </w:p>
        </w:tc>
        <w:tc>
          <w:tcPr>
            <w:tcW w:w="170"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Add: Non-operating benefit (income) costs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Restructuring costs</w:t>
            </w:r>
            <w:r>
              <w:rPr>
                <w:rFonts w:ascii="Source Sans Pro;sans-serif" w:hAnsi="Source Sans Pro;sans-serif"/>
                <w:b w:val="false"/>
                <w:color w:val="000000"/>
                <w:sz w:val="12"/>
              </w:rPr>
              <w:t>(1)</w:t>
            </w:r>
            <w:r>
              <w:rPr>
                <w:color w:val="000000"/>
              </w:rPr>
              <w:t>    </w:t>
            </w:r>
          </w:p>
        </w:tc>
        <w:tc>
          <w:tcPr>
            <w:tcW w:w="1216"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0.06 </w:t>
            </w:r>
          </w:p>
        </w:tc>
        <w:tc>
          <w:tcPr>
            <w:tcW w:w="16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0.04 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0.17 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0.09 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Acquisition and disposition-related charges (benefits)</w:t>
            </w:r>
            <w:r>
              <w:rPr>
                <w:rFonts w:ascii="Source Sans Pro;sans-serif" w:hAnsi="Source Sans Pro;sans-serif"/>
                <w:b w:val="false"/>
                <w:color w:val="000000"/>
                <w:sz w:val="12"/>
              </w:rPr>
              <w:t>(2)</w:t>
            </w:r>
            <w:r>
              <w:rPr>
                <w:color w:val="000000"/>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Spin-Off and separation costs and other adjustments</w:t>
            </w:r>
            <w:r>
              <w:rPr>
                <w:rFonts w:ascii="Source Sans Pro;sans-serif" w:hAnsi="Source Sans Pro;sans-serif"/>
                <w:b w:val="false"/>
                <w:color w:val="000000"/>
                <w:sz w:val="12"/>
              </w:rPr>
              <w:t>(3)</w:t>
            </w:r>
            <w:r>
              <w:rPr>
                <w:color w:val="000000"/>
              </w:rPr>
              <w:t>    </w:t>
            </w:r>
          </w:p>
        </w:tc>
        <w:tc>
          <w:tcPr>
            <w:tcW w:w="1216"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(0.01)</w:t>
            </w:r>
          </w:p>
        </w:tc>
        <w:tc>
          <w:tcPr>
            <w:tcW w:w="16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0.01 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(0.01)</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0.07 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(Gain) loss on business and asset dispositions</w:t>
            </w:r>
            <w:r>
              <w:rPr>
                <w:rFonts w:ascii="Source Sans Pro;sans-serif" w:hAnsi="Source Sans Pro;sans-serif"/>
                <w:b w:val="false"/>
                <w:color w:val="000000"/>
                <w:sz w:val="12"/>
              </w:rPr>
              <w:t>(4)</w:t>
            </w:r>
            <w:r>
              <w:rPr>
                <w:color w:val="000000"/>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rFonts w:ascii="Source Sans Pro;sans-serif" w:hAnsi="Source Sans Pro;sans-serif"/>
                <w:b w:val="false"/>
                <w:color w:val="000000"/>
                <w:sz w:val="18"/>
              </w:rPr>
            </w:pPr>
            <w:r>
              <w:rPr>
                <w:rFonts w:ascii="Source Sans Pro;sans-serif" w:hAnsi="Source Sans Pro;sans-serif"/>
                <w:b w:val="false"/>
                <w:color w:val="000000"/>
                <w:sz w:val="18"/>
              </w:rPr>
              <w:t>Add: Amortization of acquisition-related intangible assets    </w:t>
            </w:r>
          </w:p>
        </w:tc>
        <w:tc>
          <w:tcPr>
            <w:tcW w:w="1216"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0.13 </w:t>
            </w:r>
          </w:p>
        </w:tc>
        <w:tc>
          <w:tcPr>
            <w:tcW w:w="16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0.09 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0.24 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0.16 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Investment revaluation (gain) loss</w:t>
            </w:r>
            <w:r>
              <w:rPr>
                <w:rFonts w:ascii="Source Sans Pro;sans-serif" w:hAnsi="Source Sans Pro;sans-serif"/>
                <w:b w:val="false"/>
                <w:color w:val="000000"/>
                <w:sz w:val="12"/>
              </w:rPr>
              <w:t>(5)</w:t>
            </w:r>
            <w:r>
              <w:rPr>
                <w:color w:val="000000"/>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E4E4E4" w:val="clear"/>
            <w:tcMar>
              <w:top w:w="0" w:type="dxa"/>
              <w:left w:w="0" w:type="dxa"/>
              <w:bottom w:w="0" w:type="dxa"/>
              <w:right w:w="0" w:type="dxa"/>
            </w:tcMar>
            <w:vAlign w:val="center"/>
          </w:tcPr>
          <w:p>
            <w:pPr>
              <w:pStyle w:val="TableContents"/>
              <w:bidi w:val="0"/>
              <w:spacing w:lineRule="auto" w:line="297" w:before="0" w:after="2"/>
              <w:jc w:val="left"/>
              <w:rPr/>
            </w:pPr>
            <w:r>
              <w:rPr>
                <w:rFonts w:ascii="Source Sans Pro;sans-serif" w:hAnsi="Source Sans Pro;sans-serif"/>
                <w:b w:val="false"/>
                <w:color w:val="000000"/>
                <w:sz w:val="18"/>
              </w:rPr>
              <w:t>Less: Tariff refunds</w:t>
            </w:r>
            <w:r>
              <w:rPr>
                <w:rFonts w:ascii="Source Sans Pro;sans-serif" w:hAnsi="Source Sans Pro;sans-serif"/>
                <w:b w:val="false"/>
                <w:color w:val="000000"/>
                <w:sz w:val="12"/>
              </w:rPr>
              <w:t>(6)</w:t>
            </w:r>
          </w:p>
        </w:tc>
        <w:tc>
          <w:tcPr>
            <w:tcW w:w="1216"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0.23 </w:t>
            </w:r>
          </w:p>
        </w:tc>
        <w:tc>
          <w:tcPr>
            <w:tcW w:w="16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0.23 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97" w:before="0" w:after="2"/>
              <w:jc w:val="left"/>
              <w:rPr/>
            </w:pPr>
            <w:r>
              <w:rPr>
                <w:rFonts w:ascii="Source Sans Pro;sans-serif" w:hAnsi="Source Sans Pro;sans-serif"/>
                <w:b w:val="false"/>
                <w:color w:val="000000"/>
                <w:sz w:val="18"/>
              </w:rPr>
              <w:t>Add: Tax effect of reconciling items</w:t>
            </w:r>
            <w:r>
              <w:rPr>
                <w:rFonts w:ascii="Source Sans Pro;sans-serif" w:hAnsi="Source Sans Pro;sans-serif"/>
                <w:b w:val="false"/>
                <w:color w:val="000000"/>
                <w:sz w:val="12"/>
              </w:rPr>
              <w:t>(7)</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Spin-Off and other tax adjustments</w:t>
            </w:r>
            <w:r>
              <w:rPr>
                <w:rFonts w:ascii="Source Sans Pro;sans-serif" w:hAnsi="Source Sans Pro;sans-serif"/>
                <w:b w:val="false"/>
                <w:color w:val="000000"/>
                <w:sz w:val="12"/>
              </w:rPr>
              <w:t>(8)</w:t>
            </w:r>
            <w:r>
              <w:rPr>
                <w:color w:val="000000"/>
              </w:rPr>
              <w:t>    </w:t>
            </w:r>
          </w:p>
        </w:tc>
        <w:tc>
          <w:tcPr>
            <w:tcW w:w="1216"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16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color w:val="000000"/>
              </w:rPr>
            </w:pPr>
            <w:r>
              <w:rPr>
                <w:color w:val="000000"/>
              </w:rPr>
              <w:t>— </w:t>
            </w:r>
          </w:p>
        </w:tc>
        <w:tc>
          <w:tcPr>
            <w:tcW w:w="109"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(0.02)</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4E4E4" w:val="clear"/>
            <w:tcMar>
              <w:top w:w="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(0.04)</w:t>
            </w:r>
          </w:p>
        </w:tc>
        <w:tc>
          <w:tcPr>
            <w:tcW w:w="11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Adjusted earnings per share*</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1.13</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0.07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2.12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2.07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0.05</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Diluted weighted-average shares outstanding</w:t>
            </w:r>
          </w:p>
        </w:tc>
        <w:tc>
          <w:tcPr>
            <w:tcW w:w="121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454</w:t>
            </w:r>
            <w:r>
              <w:rPr>
                <w:color w:val="000000"/>
              </w:rPr>
              <w:t> </w:t>
            </w:r>
          </w:p>
        </w:tc>
        <w:tc>
          <w:tcPr>
            <w:tcW w:w="16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458</w:t>
            </w:r>
            <w:r>
              <w:rPr>
                <w:color w:val="000000"/>
              </w:rPr>
              <w:t> </w:t>
            </w:r>
          </w:p>
        </w:tc>
        <w:tc>
          <w:tcPr>
            <w:tcW w:w="109"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456</w:t>
            </w:r>
            <w:r>
              <w:rPr>
                <w:color w:val="000000"/>
              </w:rPr>
              <w:t> </w:t>
            </w:r>
          </w:p>
        </w:tc>
        <w:tc>
          <w:tcPr>
            <w:tcW w:w="1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348" w:before="0" w:after="2"/>
              <w:jc w:val="right"/>
              <w:rPr/>
            </w:pPr>
            <w:r>
              <w:rPr>
                <w:rFonts w:ascii="Source Sans Pro;sans-serif" w:hAnsi="Source Sans Pro;sans-serif"/>
                <w:b/>
                <w:color w:val="000000"/>
                <w:sz w:val="18"/>
              </w:rPr>
              <w:t>459</w:t>
            </w:r>
            <w:r>
              <w:rPr>
                <w:color w:val="000000"/>
              </w:rPr>
              <w:t> </w:t>
            </w:r>
          </w:p>
        </w:tc>
        <w:tc>
          <w:tcPr>
            <w:tcW w:w="1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
        <w:gridCol w:w="111"/>
        <w:gridCol w:w="111"/>
        <w:gridCol w:w="3435"/>
        <w:gridCol w:w="3129"/>
        <w:gridCol w:w="3135"/>
        <w:gridCol w:w="157"/>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969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severance, facility closures, and other charges associated with restructuring programs.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96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legal, consulting, and other transaction and integration fees, and adjustments to contingent consideration, as well as other purchase accounting related charges and other costs directly related to the transactions.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(3)</w:t>
            </w:r>
          </w:p>
        </w:tc>
        <w:tc>
          <w:tcPr>
            <w:tcW w:w="96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Costs and other adjustments related to the Spin-Off and separation from GE, including system implementations, audit and advisory fees, legal entity separation, Founders Grant equity awards, separation agreements with GE, and other one-time costs. For the six months ended June 30, 2025, an adjustment is included to eliminate the associated impact on Net (income) loss attributable to noncontrolling interests for applicable costs that impact earnings attributable to noncontrolling interests.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(4)</w:t>
            </w:r>
          </w:p>
        </w:tc>
        <w:tc>
          <w:tcPr>
            <w:tcW w:w="96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gains and losses resulting from the sale of assets and investments.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(5)</w:t>
            </w:r>
          </w:p>
        </w:tc>
        <w:tc>
          <w:tcPr>
            <w:tcW w:w="96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Primarily relates to valuation adjustments for equity investments and for the six months ended June 30, 2025, includes the impact from the revaluation of our existing 50% interest in NMP as part of the acquisition transaction.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(6)</w:t>
            </w:r>
          </w:p>
        </w:tc>
        <w:tc>
          <w:tcPr>
            <w:tcW w:w="969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the pre-tax impact of refunds pertaining to IEEPA tariffs incurred in the year ended December 31, 2025. The associated tax effect is presented on the Tax effect of reconciling items line. The net of tax impact of tariff refunds is $0.18 for the three and six months ended June 30, 2026.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(7)</w:t>
            </w:r>
          </w:p>
        </w:tc>
        <w:tc>
          <w:tcPr>
            <w:tcW w:w="9699"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The tax effect of reconciling items is calculated using the statutory tax rate, taking into consideration the nature of the items and the relevant taxing jurisdiction.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969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certain income tax adjustments, including foreign income tax reserve releases and discrete tax impacts resulting from the Spin-Off and separation from GE and for the six months ended June 30, 2025, includes tax impacts of the NMP acquisition.</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8610"/>
                <wp:effectExtent l="0" t="0" r="0" b="0"/>
                <wp:wrapNone/>
                <wp:docPr id="15" name="Frame14"/>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19"/>
        <w:gridCol w:w="1103"/>
        <w:gridCol w:w="1110"/>
        <w:gridCol w:w="800"/>
        <w:gridCol w:w="457"/>
        <w:gridCol w:w="366"/>
        <w:gridCol w:w="800"/>
        <w:gridCol w:w="457"/>
        <w:gridCol w:w="366"/>
        <w:gridCol w:w="109"/>
        <w:gridCol w:w="109"/>
        <w:gridCol w:w="109"/>
        <w:gridCol w:w="727"/>
        <w:gridCol w:w="418"/>
        <w:gridCol w:w="335"/>
        <w:gridCol w:w="727"/>
        <w:gridCol w:w="418"/>
        <w:gridCol w:w="475"/>
      </w:tblGrid>
      <w:tr>
        <w:trPr/>
        <w:tc>
          <w:tcPr>
            <w:tcW w:w="131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Adjusted Tax Expense* and Adjusted ETR*</w:t>
            </w:r>
          </w:p>
        </w:tc>
        <w:tc>
          <w:tcPr>
            <w:tcW w:w="32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Unaudited</w:t>
            </w:r>
          </w:p>
        </w:tc>
        <w:tc>
          <w:tcPr>
            <w:tcW w:w="3246"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6"/>
            <w:tcBorders/>
            <w:tcMar>
              <w:top w:w="0" w:type="dxa"/>
              <w:left w:w="0" w:type="dxa"/>
              <w:bottom w:w="0" w:type="dxa"/>
              <w:right w:w="0" w:type="dxa"/>
            </w:tcMar>
            <w:vAlign w:val="center"/>
          </w:tcPr>
          <w:p>
            <w:pPr>
              <w:pStyle w:val="TableContents"/>
              <w:bidi w:val="0"/>
              <w:spacing w:lineRule="auto" w:line="300" w:before="0" w:after="2"/>
              <w:ind w:left="0" w:right="0" w:hanging="270"/>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r>
      <w:tr>
        <w:trPr/>
        <w:tc>
          <w:tcPr>
            <w:tcW w:w="3532" w:type="dxa"/>
            <w:gridSpan w:val="3"/>
            <w:tcBorders/>
            <w:tcMar>
              <w:top w:w="0" w:type="dxa"/>
              <w:left w:w="0" w:type="dxa"/>
              <w:bottom w:w="0" w:type="dxa"/>
              <w:right w:w="0" w:type="dxa"/>
            </w:tcMar>
            <w:vAlign w:val="center"/>
          </w:tcPr>
          <w:p>
            <w:pPr>
              <w:pStyle w:val="TableContents"/>
              <w:bidi w:val="0"/>
              <w:spacing w:lineRule="auto" w:line="295" w:before="0" w:after="2"/>
              <w:ind w:left="0" w:right="0" w:hanging="270"/>
              <w:jc w:val="left"/>
              <w:rPr>
                <w:rFonts w:ascii="Source Sans Pro;sans-serif" w:hAnsi="Source Sans Pro;sans-serif"/>
                <w:b/>
                <w:i/>
                <w:color w:val="454545"/>
                <w:sz w:val="18"/>
              </w:rPr>
            </w:pPr>
            <w:r>
              <w:rPr>
                <w:rFonts w:ascii="Source Sans Pro;sans-serif" w:hAnsi="Source Sans Pro;sans-serif"/>
                <w:b/>
                <w:i/>
                <w:color w:val="454545"/>
                <w:sz w:val="18"/>
              </w:rPr>
              <w:t>($ in millions)</w:t>
            </w:r>
          </w:p>
        </w:tc>
        <w:tc>
          <w:tcPr>
            <w:tcW w:w="162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62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6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r>
      <w:tr>
        <w:trPr/>
        <w:tc>
          <w:tcPr>
            <w:tcW w:w="3532"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2"/>
              <w:jc w:val="left"/>
              <w:rPr>
                <w:rFonts w:ascii="Source Sans Pro;sans-serif" w:hAnsi="Source Sans Pro;sans-serif"/>
                <w:b/>
                <w:color w:val="000000"/>
                <w:sz w:val="18"/>
              </w:rPr>
            </w:pPr>
            <w:r>
              <w:rPr>
                <w:rFonts w:ascii="Source Sans Pro;sans-serif" w:hAnsi="Source Sans Pro;sans-serif"/>
                <w:b/>
                <w:color w:val="000000"/>
                <w:sz w:val="18"/>
              </w:rPr>
              <w:t>Benefit (provision) for income taxes</w:t>
            </w:r>
          </w:p>
        </w:tc>
        <w:tc>
          <w:tcPr>
            <w:tcW w:w="80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(119)</w:t>
            </w:r>
          </w:p>
        </w:tc>
        <w:tc>
          <w:tcPr>
            <w:tcW w:w="80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(113)</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5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(213)</w:t>
            </w:r>
          </w:p>
        </w:tc>
        <w:tc>
          <w:tcPr>
            <w:tcW w:w="727"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9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(216)</w:t>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97" w:before="0" w:after="2"/>
              <w:ind w:left="0" w:right="0" w:hanging="0"/>
              <w:jc w:val="left"/>
              <w:rPr/>
            </w:pPr>
            <w:r>
              <w:rPr>
                <w:rFonts w:ascii="Source Sans Pro;sans-serif" w:hAnsi="Source Sans Pro;sans-serif"/>
                <w:b w:val="false"/>
                <w:color w:val="000000"/>
                <w:sz w:val="18"/>
              </w:rPr>
              <w:t>Add: Tax effect of reconciling items</w:t>
            </w:r>
            <w:r>
              <w:rPr>
                <w:rFonts w:ascii="Source Sans Pro;sans-serif" w:hAnsi="Source Sans Pro;sans-serif"/>
                <w:b w:val="false"/>
                <w:color w:val="000000"/>
                <w:sz w:val="12"/>
              </w:rPr>
              <w:t>(1)</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11</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w:t>
            </w:r>
          </w:p>
        </w:tc>
      </w:tr>
      <w:tr>
        <w:trPr/>
        <w:tc>
          <w:tcPr>
            <w:tcW w:w="3532" w:type="dxa"/>
            <w:gridSpan w:val="3"/>
            <w:tcBorders/>
            <w:shd w:fill="E4E4E4" w:val="clear"/>
            <w:tcMar>
              <w:top w:w="0" w:type="dxa"/>
              <w:left w:w="0" w:type="dxa"/>
              <w:bottom w:w="0" w:type="dxa"/>
              <w:right w:w="0" w:type="dxa"/>
            </w:tcMar>
            <w:vAlign w:val="center"/>
          </w:tcPr>
          <w:p>
            <w:pPr>
              <w:pStyle w:val="TableContents"/>
              <w:bidi w:val="0"/>
              <w:spacing w:lineRule="auto" w:line="297" w:before="0" w:after="40"/>
              <w:jc w:val="left"/>
              <w:rPr/>
            </w:pPr>
            <w:r>
              <w:rPr>
                <w:rFonts w:ascii="Source Sans Pro;sans-serif" w:hAnsi="Source Sans Pro;sans-serif"/>
                <w:b w:val="false"/>
                <w:color w:val="000000"/>
                <w:sz w:val="18"/>
              </w:rPr>
              <w:t>Add: Spin-Off and other tax adjustments</w:t>
            </w:r>
            <w:r>
              <w:rPr>
                <w:rFonts w:ascii="Source Sans Pro;sans-serif" w:hAnsi="Source Sans Pro;sans-serif"/>
                <w:b w:val="false"/>
                <w:color w:val="000000"/>
                <w:sz w:val="12"/>
              </w:rPr>
              <w:t>(2)</w:t>
            </w:r>
            <w:r>
              <w:rPr>
                <w:color w:val="000000"/>
              </w:rPr>
              <w:t>    </w:t>
            </w:r>
          </w:p>
        </w:tc>
        <w:tc>
          <w:tcPr>
            <w:tcW w:w="162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623"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(7)</w:t>
            </w:r>
          </w:p>
        </w:tc>
        <w:tc>
          <w:tcPr>
            <w:tcW w:w="1620"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(18)</w:t>
            </w:r>
          </w:p>
        </w:tc>
      </w:tr>
      <w:tr>
        <w:trPr/>
        <w:tc>
          <w:tcPr>
            <w:tcW w:w="3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95" w:before="0" w:after="2"/>
              <w:jc w:val="left"/>
              <w:rPr>
                <w:rFonts w:ascii="Source Sans Pro;sans-serif" w:hAnsi="Source Sans Pro;sans-serif"/>
                <w:b/>
                <w:color w:val="000000"/>
                <w:sz w:val="18"/>
              </w:rPr>
            </w:pPr>
            <w:r>
              <w:rPr>
                <w:rFonts w:ascii="Source Sans Pro;sans-serif" w:hAnsi="Source Sans Pro;sans-serif"/>
                <w:b/>
                <w:color w:val="000000"/>
                <w:sz w:val="18"/>
              </w:rPr>
              <w:t>Adjusted tax expense*</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(108)</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(229)</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(235)</w:t>
            </w:r>
          </w:p>
        </w:tc>
      </w:tr>
      <w:tr>
        <w:trPr/>
        <w:tc>
          <w:tcPr>
            <w:tcW w:w="3532"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95" w:before="0" w:after="2"/>
              <w:jc w:val="left"/>
              <w:rPr>
                <w:rFonts w:ascii="Source Sans Pro;sans-serif" w:hAnsi="Source Sans Pro;sans-serif"/>
                <w:b/>
                <w:color w:val="000000"/>
                <w:sz w:val="18"/>
              </w:rPr>
            </w:pPr>
            <w:r>
              <w:rPr>
                <w:rFonts w:ascii="Source Sans Pro;sans-serif" w:hAnsi="Source Sans Pro;sans-serif"/>
                <w:b/>
                <w:color w:val="000000"/>
                <w:sz w:val="18"/>
              </w:rPr>
              <w:t>Effective tax rate</w:t>
            </w:r>
          </w:p>
        </w:tc>
        <w:tc>
          <w:tcPr>
            <w:tcW w:w="162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17.2%</w:t>
            </w:r>
          </w:p>
        </w:tc>
        <w:tc>
          <w:tcPr>
            <w:tcW w:w="162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18.4%</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17.8%</w:t>
            </w:r>
          </w:p>
        </w:tc>
        <w:tc>
          <w:tcPr>
            <w:tcW w:w="162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16.6%</w:t>
            </w:r>
          </w:p>
        </w:tc>
      </w:tr>
      <w:tr>
        <w:trPr/>
        <w:tc>
          <w:tcPr>
            <w:tcW w:w="353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95" w:before="0" w:after="2"/>
              <w:jc w:val="left"/>
              <w:rPr>
                <w:rFonts w:ascii="Source Sans Pro;sans-serif" w:hAnsi="Source Sans Pro;sans-serif"/>
                <w:b/>
                <w:color w:val="000000"/>
                <w:sz w:val="18"/>
              </w:rPr>
            </w:pPr>
            <w:r>
              <w:rPr>
                <w:rFonts w:ascii="Source Sans Pro;sans-serif" w:hAnsi="Source Sans Pro;sans-serif"/>
                <w:b/>
                <w:color w:val="000000"/>
                <w:sz w:val="18"/>
              </w:rPr>
              <w:t>Adjusted effective tax rate*</w:t>
            </w:r>
          </w:p>
        </w:tc>
        <w:tc>
          <w:tcPr>
            <w:tcW w:w="16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17.1%</w:t>
            </w:r>
          </w:p>
        </w:tc>
        <w:tc>
          <w:tcPr>
            <w:tcW w:w="16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18.5%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18.6%</w:t>
            </w:r>
          </w:p>
        </w:tc>
        <w:tc>
          <w:tcPr>
            <w:tcW w:w="1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19.3%</w:t>
            </w:r>
          </w:p>
        </w:tc>
      </w:tr>
    </w:tbl>
    <w:tbl>
      <w:tblPr>
        <w:tblW w:w="10205" w:type="dxa"/>
        <w:jc w:val="left"/>
        <w:tblInd w:w="0" w:type="dxa"/>
        <w:tblLayout w:type="fixed"/>
        <w:tblCellMar>
          <w:top w:w="28" w:type="dxa"/>
          <w:left w:w="28" w:type="dxa"/>
          <w:bottom w:w="28" w:type="dxa"/>
          <w:right w:w="28" w:type="dxa"/>
        </w:tblCellMar>
      </w:tblPr>
      <w:tblGrid>
        <w:gridCol w:w="130"/>
        <w:gridCol w:w="114"/>
        <w:gridCol w:w="114"/>
        <w:gridCol w:w="2882"/>
        <w:gridCol w:w="2882"/>
        <w:gridCol w:w="4083"/>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9847"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The tax effect of reconciling items is calculated using the statutory tax rate, taking into consideration the nature of the items and the relevant taxing jurisdiction.</w:t>
            </w:r>
          </w:p>
        </w:tc>
      </w:tr>
      <w:tr>
        <w:trPr/>
        <w:tc>
          <w:tcPr>
            <w:tcW w:w="3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9847"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Consists of certain income tax adjustments, including foreign income tax reserve releases and discrete tax impacts resulting from the Spin-Off and separation from GE and for the six months ended June 30, 2025, includes tax impacts of the NMP acquisition.</w:t>
            </w:r>
          </w:p>
        </w:tc>
      </w:tr>
    </w:tbl>
    <w:tbl>
      <w:tblPr>
        <w:tblW w:w="10205" w:type="dxa"/>
        <w:jc w:val="left"/>
        <w:tblInd w:w="0" w:type="dxa"/>
        <w:tblLayout w:type="fixed"/>
        <w:tblCellMar>
          <w:top w:w="28" w:type="dxa"/>
          <w:left w:w="28" w:type="dxa"/>
          <w:bottom w:w="28" w:type="dxa"/>
          <w:right w:w="28" w:type="dxa"/>
        </w:tblCellMar>
      </w:tblPr>
      <w:tblGrid>
        <w:gridCol w:w="1311"/>
        <w:gridCol w:w="969"/>
        <w:gridCol w:w="956"/>
        <w:gridCol w:w="561"/>
        <w:gridCol w:w="341"/>
        <w:gridCol w:w="247"/>
        <w:gridCol w:w="561"/>
        <w:gridCol w:w="296"/>
        <w:gridCol w:w="240"/>
        <w:gridCol w:w="365"/>
        <w:gridCol w:w="365"/>
        <w:gridCol w:w="366"/>
        <w:gridCol w:w="109"/>
        <w:gridCol w:w="109"/>
        <w:gridCol w:w="109"/>
        <w:gridCol w:w="524"/>
        <w:gridCol w:w="310"/>
        <w:gridCol w:w="243"/>
        <w:gridCol w:w="524"/>
        <w:gridCol w:w="310"/>
        <w:gridCol w:w="243"/>
        <w:gridCol w:w="334"/>
        <w:gridCol w:w="334"/>
        <w:gridCol w:w="478"/>
      </w:tblGrid>
      <w:tr>
        <w:trPr/>
        <w:tc>
          <w:tcPr>
            <w:tcW w:w="131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color w:val="000000"/>
                <w:sz w:val="18"/>
              </w:rPr>
            </w:pPr>
            <w:r>
              <w:rPr>
                <w:rFonts w:ascii="Source Sans Pro;sans-serif" w:hAnsi="Source Sans Pro;sans-serif"/>
                <w:b/>
                <w:color w:val="000000"/>
                <w:sz w:val="18"/>
              </w:rPr>
              <w:t>Free Cash Flow*</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Unaudited</w:t>
            </w:r>
          </w:p>
        </w:tc>
        <w:tc>
          <w:tcPr>
            <w:tcW w:w="334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300" w:before="0" w:after="2"/>
              <w:ind w:left="0" w:right="0" w:hanging="270"/>
              <w:jc w:val="center"/>
              <w:rPr>
                <w:rFonts w:ascii="Source Sans Pro;sans-serif" w:hAnsi="Source Sans Pro;sans-serif"/>
                <w:b/>
                <w:color w:val="454545"/>
                <w:sz w:val="18"/>
              </w:rPr>
            </w:pPr>
            <w:r>
              <w:rPr>
                <w:rFonts w:ascii="Source Sans Pro;sans-serif" w:hAnsi="Source Sans Pro;sans-serif"/>
                <w:b/>
                <w:color w:val="454545"/>
                <w:sz w:val="18"/>
              </w:rPr>
              <w:t>For the six months ended June 30</w:t>
            </w:r>
          </w:p>
        </w:tc>
      </w:tr>
      <w:tr>
        <w:trPr/>
        <w:tc>
          <w:tcPr>
            <w:tcW w:w="3236" w:type="dxa"/>
            <w:gridSpan w:val="3"/>
            <w:tcBorders/>
            <w:tcMar>
              <w:top w:w="0" w:type="dxa"/>
              <w:left w:w="0" w:type="dxa"/>
              <w:bottom w:w="0" w:type="dxa"/>
              <w:right w:w="0" w:type="dxa"/>
            </w:tcMar>
            <w:vAlign w:val="center"/>
          </w:tcPr>
          <w:p>
            <w:pPr>
              <w:pStyle w:val="TableContents"/>
              <w:bidi w:val="0"/>
              <w:spacing w:lineRule="auto" w:line="295" w:before="0" w:after="2"/>
              <w:ind w:left="0" w:right="0" w:hanging="270"/>
              <w:jc w:val="left"/>
              <w:rPr>
                <w:rFonts w:ascii="Source Sans Pro;sans-serif" w:hAnsi="Source Sans Pro;sans-serif"/>
                <w:b/>
                <w:i/>
                <w:color w:val="454545"/>
                <w:sz w:val="18"/>
              </w:rPr>
            </w:pPr>
            <w:r>
              <w:rPr>
                <w:rFonts w:ascii="Source Sans Pro;sans-serif" w:hAnsi="Source Sans Pro;sans-serif"/>
                <w:b/>
                <w:i/>
                <w:color w:val="454545"/>
                <w:sz w:val="18"/>
              </w:rPr>
              <w:t>($ in millions)</w:t>
            </w:r>
          </w:p>
        </w:tc>
        <w:tc>
          <w:tcPr>
            <w:tcW w:w="114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0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0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07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14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300" w:before="0" w:after="2"/>
              <w:jc w:val="center"/>
              <w:rPr>
                <w:rFonts w:ascii="Source Sans Pro;sans-serif" w:hAnsi="Source Sans Pro;sans-serif"/>
                <w:b/>
                <w:color w:val="454545"/>
                <w:sz w:val="18"/>
              </w:rPr>
            </w:pPr>
            <w:r>
              <w:rPr>
                <w:rFonts w:ascii="Source Sans Pro;sans-serif" w:hAnsi="Source Sans Pro;sans-serif"/>
                <w:b/>
                <w:color w:val="454545"/>
                <w:sz w:val="18"/>
              </w:rPr>
              <w:t>% change</w:t>
            </w:r>
          </w:p>
        </w:tc>
      </w:tr>
      <w:tr>
        <w:trPr/>
        <w:tc>
          <w:tcPr>
            <w:tcW w:w="323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95" w:before="0" w:after="2"/>
              <w:jc w:val="left"/>
              <w:rPr>
                <w:rFonts w:ascii="Source Sans Pro;sans-serif" w:hAnsi="Source Sans Pro;sans-serif"/>
                <w:b/>
                <w:color w:val="000000"/>
                <w:sz w:val="18"/>
              </w:rPr>
            </w:pPr>
            <w:r>
              <w:rPr>
                <w:rFonts w:ascii="Source Sans Pro;sans-serif" w:hAnsi="Source Sans Pro;sans-serif"/>
                <w:b/>
                <w:color w:val="000000"/>
                <w:sz w:val="18"/>
              </w:rPr>
              <w:t>Cash from (used for) operating activities</w:t>
            </w:r>
          </w:p>
        </w:tc>
        <w:tc>
          <w:tcPr>
            <w:tcW w:w="56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88"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168</w:t>
            </w:r>
          </w:p>
        </w:tc>
        <w:tc>
          <w:tcPr>
            <w:tcW w:w="56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3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94</w:t>
            </w:r>
          </w:p>
        </w:tc>
        <w:tc>
          <w:tcPr>
            <w:tcW w:w="109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78.5%</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5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458</w:t>
            </w:r>
          </w:p>
        </w:tc>
        <w:tc>
          <w:tcPr>
            <w:tcW w:w="52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53"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344</w:t>
            </w:r>
          </w:p>
        </w:tc>
        <w:tc>
          <w:tcPr>
            <w:tcW w:w="114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33.0%</w:t>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Add: Additions to PP&amp;E and internal-use software    </w:t>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(100)</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(87)</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(278)</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ource Sans Pro;sans-serif" w:hAnsi="Source Sans Pro;sans-serif"/>
                <w:b w:val="false"/>
                <w:color w:val="000000"/>
                <w:sz w:val="18"/>
              </w:rPr>
            </w:pPr>
            <w:r>
              <w:rPr>
                <w:rFonts w:ascii="Source Sans Pro;sans-serif" w:hAnsi="Source Sans Pro;sans-serif"/>
                <w:b w:val="false"/>
                <w:color w:val="000000"/>
                <w:sz w:val="18"/>
              </w:rPr>
              <w:t>(238)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left"/>
              <w:rPr>
                <w:rFonts w:ascii="Source Sans Pro;sans-serif" w:hAnsi="Source Sans Pro;sans-serif"/>
                <w:b w:val="false"/>
                <w:color w:val="000000"/>
                <w:sz w:val="18"/>
              </w:rPr>
            </w:pPr>
            <w:r>
              <w:rPr>
                <w:rFonts w:ascii="Source Sans Pro;sans-serif" w:hAnsi="Source Sans Pro;sans-serif"/>
                <w:b w:val="false"/>
                <w:color w:val="000000"/>
                <w:sz w:val="18"/>
              </w:rPr>
              <w:t>Add: Dispositions of PP&amp;E    </w:t>
            </w:r>
          </w:p>
        </w:tc>
        <w:tc>
          <w:tcPr>
            <w:tcW w:w="1149"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77" w:type="dxa"/>
            <w:gridSpan w:val="3"/>
            <w:tcBorders/>
            <w:shd w:fill="E4E4E4"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14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95" w:before="0" w:after="2"/>
              <w:jc w:val="left"/>
              <w:rPr>
                <w:rFonts w:ascii="Source Sans Pro;sans-serif" w:hAnsi="Source Sans Pro;sans-serif"/>
                <w:b/>
                <w:color w:val="000000"/>
                <w:sz w:val="18"/>
              </w:rPr>
            </w:pPr>
            <w:r>
              <w:rPr>
                <w:rFonts w:ascii="Source Sans Pro;sans-serif" w:hAnsi="Source Sans Pro;sans-serif"/>
                <w:b/>
                <w:color w:val="000000"/>
                <w:sz w:val="18"/>
              </w:rPr>
              <w:t>Free cash flow*</w:t>
            </w:r>
          </w:p>
        </w:tc>
        <w:tc>
          <w:tcPr>
            <w:tcW w:w="5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68</w:t>
            </w:r>
          </w:p>
        </w:tc>
        <w:tc>
          <w:tcPr>
            <w:tcW w:w="5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w:t>
            </w:r>
          </w:p>
        </w:tc>
        <w:tc>
          <w:tcPr>
            <w:tcW w:w="10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835.5%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5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180</w:t>
            </w:r>
          </w:p>
        </w:tc>
        <w:tc>
          <w:tcPr>
            <w:tcW w:w="5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w:t>
            </w:r>
          </w:p>
        </w:tc>
        <w:tc>
          <w:tcPr>
            <w:tcW w:w="55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106</w:t>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Source Sans Pro;sans-serif" w:hAnsi="Source Sans Pro;sans-serif"/>
                <w:b/>
                <w:color w:val="000000"/>
                <w:sz w:val="18"/>
              </w:rPr>
            </w:pPr>
            <w:r>
              <w:rPr>
                <w:rFonts w:ascii="Source Sans Pro;sans-serif" w:hAnsi="Source Sans Pro;sans-serif"/>
                <w:b/>
                <w:color w:val="000000"/>
                <w:sz w:val="18"/>
              </w:rPr>
              <w:t>70.0%</w:t>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Source Sans Pro;sans-serif" w:hAnsi="Source Sans Pro;sans-serif"/>
          <w:b/>
          <w:color w:val="6022A6"/>
          <w:sz w:val="20"/>
        </w:rPr>
      </w:pPr>
      <w:r>
        <w:rPr>
          <w:rFonts w:ascii="Source Sans Pro;sans-serif" w:hAnsi="Source Sans Pro;sans-serif"/>
          <w:b/>
          <w:color w:val="6022A6"/>
          <w:sz w:val="20"/>
        </w:rPr>
        <w:t>Non-GAAP financial measures in outlook</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GE HealthCare calculates forward-looking non-GAAP financial measures, including Organic revenue growth, Adjusted EBIT margin, Adjusted ETR, Adjusted EPS, and Free cash flow based on internal forecasts that omit certain amounts that would be included in U.S. GAAP financial measures. GE HealthCare does not provide reconciliations of these forward-looking non-GAAP financial measures to the respective U.S. GAAP metrics as it is unable to predict with reasonable certainty and without unreasonable effort certain items such as the impact of changes in currency exchange rates, impacts associated with business acquisitions or dispositions, timing and magnitude of restructuring activities, and revaluation of strategic investments, amongst other items. The timing and amounts of these items are uncertain and could have a substantial impact on GE HealthCare’s results in accordance with U.S.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Source Sans Pro;sans-serif" w:hAnsi="Source Sans Pro;sans-serif"/>
          <w:b/>
          <w:color w:val="6022A6"/>
          <w:sz w:val="20"/>
        </w:rPr>
      </w:pPr>
      <w:r>
        <w:rPr>
          <w:rFonts w:ascii="Source Sans Pro;sans-serif" w:hAnsi="Source Sans Pro;sans-serif"/>
          <w:b/>
          <w:color w:val="6022A6"/>
          <w:sz w:val="20"/>
        </w:rPr>
        <w:t xml:space="preserve">Key performance indicators </w:t>
      </w:r>
    </w:p>
    <w:p>
      <w:pPr>
        <w:pStyle w:val="TextBody"/>
        <w:bidi w:val="0"/>
        <w:spacing w:before="0" w:after="2"/>
        <w:jc w:val="both"/>
        <w:rPr/>
      </w:pPr>
      <w:r>
        <w:rPr/>
      </w:r>
    </w:p>
    <w:p>
      <w:pPr>
        <w:pStyle w:val="TextBody"/>
        <w:bidi w:val="0"/>
        <w:spacing w:lineRule="auto" w:line="300" w:before="0" w:after="2"/>
        <w:jc w:val="both"/>
        <w:rPr>
          <w:rFonts w:ascii="Source Sans Pro;sans-serif" w:hAnsi="Source Sans Pro;sans-serif"/>
          <w:b w:val="false"/>
          <w:color w:val="231F20"/>
          <w:sz w:val="20"/>
        </w:rPr>
      </w:pPr>
      <w:r>
        <w:rPr>
          <w:rFonts w:ascii="Source Sans Pro;sans-serif" w:hAnsi="Source Sans Pro;sans-serif"/>
          <w:b w:val="false"/>
          <w:color w:val="231F20"/>
          <w:sz w:val="20"/>
        </w:rPr>
        <w:t>Management uses the following metrics to provide a leading indicator of current business demand from customers for products and services.</w:t>
      </w:r>
    </w:p>
    <w:p>
      <w:pPr>
        <w:pStyle w:val="TextBody"/>
        <w:bidi w:val="0"/>
        <w:spacing w:lineRule="auto" w:line="288" w:before="0" w:after="2"/>
        <w:ind w:left="0" w:right="0" w:hanging="360"/>
        <w:jc w:val="left"/>
        <w:rPr/>
      </w:pPr>
      <w:r>
        <w:rPr>
          <w:color w:val="231F20"/>
        </w:rPr>
        <w:t>•</w:t>
      </w:r>
      <w:r>
        <w:rPr>
          <w:rFonts w:ascii="Source Sans Pro;sans-serif" w:hAnsi="Source Sans Pro;sans-serif"/>
          <w:b w:val="false"/>
          <w:color w:val="231F20"/>
          <w:sz w:val="20"/>
        </w:rPr>
        <w:t>Organic orders growth: Rate of change period-over-period of contractual commitments with customers to provide specified goods or services for an agreed upon price, and excluding the effects of: (1) recent acquisitions and dispositions with less than a full year of comparable orders; and (2) foreign currency exchange rate fluctuations in order to present orders on a constant currency basis.</w:t>
      </w:r>
    </w:p>
    <w:p>
      <w:pPr>
        <w:pStyle w:val="TextBody"/>
        <w:bidi w:val="0"/>
        <w:spacing w:lineRule="auto" w:line="288" w:before="0" w:after="2"/>
        <w:ind w:left="0" w:right="0" w:hanging="360"/>
        <w:jc w:val="left"/>
        <w:rPr/>
      </w:pPr>
      <w:r>
        <w:rPr>
          <w:color w:val="231F20"/>
        </w:rPr>
        <w:t>•</w:t>
      </w:r>
      <w:r>
        <w:rPr>
          <w:rFonts w:ascii="Source Sans Pro;sans-serif" w:hAnsi="Source Sans Pro;sans-serif"/>
          <w:b w:val="false"/>
          <w:color w:val="231F20"/>
          <w:sz w:val="20"/>
        </w:rPr>
        <w:t>Book-to-bill: Total orders divided by Total revenues within a given financial period (e.g., quarter or FY).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Source Sans Pro;sans-serif" w:hAnsi="Source Sans Pro;sans-serif"/>
          <w:b/>
          <w:color w:val="6022A6"/>
          <w:sz w:val="20"/>
        </w:rPr>
      </w:pPr>
      <w:r>
        <w:rPr>
          <w:rFonts w:ascii="Source Sans Pro;sans-serif" w:hAnsi="Source Sans Pro;sans-serif"/>
          <w:b/>
          <w:color w:val="6022A6"/>
          <w:sz w:val="20"/>
        </w:rPr>
        <w:t xml:space="preserve">Conference call and webcast information </w:t>
      </w:r>
    </w:p>
    <w:p>
      <w:pPr>
        <w:pStyle w:val="TextBody"/>
        <w:bidi w:val="0"/>
        <w:spacing w:before="0" w:after="0"/>
        <w:jc w:val="left"/>
        <w:rPr/>
      </w:pPr>
      <w:r>
        <w:rPr/>
      </w:r>
    </w:p>
    <w:p>
      <w:pPr>
        <w:pStyle w:val="TextBody"/>
        <w:bidi w:val="0"/>
        <w:spacing w:lineRule="auto" w:line="300" w:before="0" w:after="2"/>
        <w:jc w:val="left"/>
        <w:rPr/>
      </w:pPr>
      <w:r>
        <w:rPr>
          <w:rFonts w:ascii="Source Sans Pro;sans-serif" w:hAnsi="Source Sans Pro;sans-serif"/>
          <w:b w:val="false"/>
          <w:color w:val="000000"/>
          <w:sz w:val="20"/>
        </w:rPr>
        <w:t>GE HealthCare will discuss its results during its live earnings c</w:t>
      </w:r>
      <w:r>
        <w:rPr>
          <w:rFonts w:ascii="Source Sans Pro;sans-serif" w:hAnsi="Source Sans Pro;sans-serif"/>
          <w:b w:val="false"/>
          <w:color w:val="000000"/>
          <w:sz w:val="20"/>
          <w:shd w:fill="FFFFFF" w:val="clear"/>
        </w:rPr>
        <w:t>all tod</w:t>
      </w:r>
      <w:r>
        <w:rPr>
          <w:rFonts w:ascii="Source Sans Pro;sans-serif" w:hAnsi="Source Sans Pro;sans-serif"/>
          <w:b w:val="false"/>
          <w:color w:val="000000"/>
          <w:sz w:val="20"/>
        </w:rPr>
        <w:t>ay, July 29, 2026 at 8:30 am ET/7:30 am CT. The webcast and accompanying slide presentation containing financial information can be accessed by visiting the investor section of the website at https://investor.gehealthcare.com/news-events/events. An archived version of the webcast will be available on the website after the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8610"/>
                <wp:effectExtent l="0" t="0" r="0" b="0"/>
                <wp:wrapNone/>
                <wp:docPr id="16" name="Frame15"/>
                <a:graphic xmlns:a="http://schemas.openxmlformats.org/drawingml/2006/main">
                  <a:graphicData uri="http://schemas.microsoft.com/office/word/2010/wordprocessingShape">
                    <wps:wsp>
                      <wps:cNvSpPr txBox="1"/>
                      <wps:spPr>
                        <a:xfrm>
                          <a:off x="0" y="0"/>
                          <a:ext cx="6480175" cy="308610"/>
                        </a:xfrm>
                        <a:prstGeom prst="rect"/>
                        <a:solidFill>
                          <a:srgbClr val="FFFFFF"/>
                        </a:solidFill>
                      </wps:spPr>
                      <wps:txb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2"/>
        <w:jc w:val="left"/>
        <w:rPr>
          <w:rFonts w:ascii="Source Sans Pro;sans-serif" w:hAnsi="Source Sans Pro;sans-serif"/>
          <w:b/>
          <w:color w:val="6022A6"/>
          <w:sz w:val="20"/>
        </w:rPr>
      </w:pPr>
      <w:r>
        <w:rPr>
          <w:rFonts w:ascii="Source Sans Pro;sans-serif" w:hAnsi="Source Sans Pro;sans-serif"/>
          <w:b/>
          <w:color w:val="6022A6"/>
          <w:sz w:val="20"/>
        </w:rPr>
        <w:t>Forward-looking statements</w:t>
      </w:r>
    </w:p>
    <w:p>
      <w:pPr>
        <w:pStyle w:val="TextBody"/>
        <w:bidi w:val="0"/>
        <w:spacing w:before="0" w:after="2"/>
        <w:jc w:val="left"/>
        <w:rPr/>
      </w:pPr>
      <w:r>
        <w:rPr/>
      </w:r>
    </w:p>
    <w:p>
      <w:pPr>
        <w:pStyle w:val="TextBody"/>
        <w:bidi w:val="0"/>
        <w:spacing w:lineRule="auto" w:line="26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This release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the Company’s business and expected financial performance, financial condition, and results of operations, including revenue, revenue growth, profit, taxes, earnings per share, and cash flows, and the Company’s outlook; the impacts of macroeconomic and market conditions, including the impact of tariffs and other trade restrictions, and volatility on the Company’s business, operations, financial results, and financial position and on supply chains and the world economy; the Company’s receipt of future tariff refunds and the timing and amount thereof; the impacts on the Company’s business of international conflicts, including the Russia and Ukraine conflict and conflicts in the Middle East; share repurchases; risks related to foreign currency exchange, interest rates, and commodity and key material price volatility and availability; and the Company’s strategy, innovation, and acquisitions and investments. These forward-looking statements involve risks and uncertainties, many of which are beyond the Company’s control. Factors that could cause the Company’s actual results to differ materially from those described in its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in the Middle East, and in other regions; public health crises, epidemics, and pandemics, and their effects on the Company’s business; changes in or elimination of government subsidies, and changes in third-party and government reimbursement processes, rates, and contractual relationships, including related to government shutdowns, and changes in the mix of public and private payers; demand for the Company’s products, services, or solutions and factors that affect that demand; developments in the market in China; the Company’s ability to control increases in healthcare costs and any subsequent effect on demand for the Company’s products, services, or solutions; the Company’s ability to successfully complete strategic transactions; the actions or inactions of third parties with whom the Company partners and the various collaboration, licensing, and other partnerships and alliances the Company has with third parties; the impacts related to the Company’s increasing focus on and investment in cloud, edge computing, artificial intelligence, and software offerings; management of the Company’s supply chain and the Company’s ability to cost-effectively secure the materials it needs to operate its business; disruptions in the Company’s operations; the impact of potential information technology, cybersecurity, or data security breaches; maintenance and protection of the Company’s intellectual property rights, as well as maintenance of successful research and development efforts with respect to commercially successful products and technologies; the Company’s ability to attract and/or retain key talent and qualified employees; increasing attention to sustainability matters; compliance with the various legal, regulatory, tax, privacy, and other laws to which the Company is subject, such as the Foreign Corrupt Practices Act and similar anti-corruption and anti-bribery laws globally, and related changes, claims, inquiries, investigations, or actions; the impact of potential product liability claims or potential litigation, arbitration, or similar proceedings; the Company’s level of indebtedness and the impact of complying with the covenants and other terms of the Company’s debt instruments on its business. Please also see Item 1A, “Risk Factors” of the Company’s Annual Report on Form 10-K for the fiscal year ended December 31, 2025, filed with the U.S. Securities and Exchange Commission and any updates or amendments it makes in future filings. There may be other factors not presently known to the Company or which it currently considers to be immaterial that could cause the Company’s actual results to differ materially from those projected in any forward-looking statements the Company makes. The Company does not undertake any obligation to update or revise its forward-looking statements except as required by applicable law or regulation.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txbxContent>
                </v:textbox>
                <w10:wrap type="none"/>
              </v:rect>
            </w:pict>
          </mc:Fallback>
        </mc:AlternateContent>
      </w:r>
    </w:p>
    <w:p>
      <w:pPr>
        <w:pStyle w:val="TextBody"/>
        <w:bidi w:val="0"/>
        <w:spacing w:lineRule="auto" w:line="288" w:before="0" w:after="160"/>
        <w:jc w:val="left"/>
        <w:rPr>
          <w:rFonts w:ascii="Source Sans Pro;sans-serif" w:hAnsi="Source Sans Pro;sans-serif"/>
          <w:b/>
          <w:color w:val="6022A6"/>
          <w:sz w:val="20"/>
        </w:rPr>
      </w:pPr>
      <w:r>
        <w:rPr>
          <w:rFonts w:ascii="Source Sans Pro;sans-serif" w:hAnsi="Source Sans Pro;sans-serif"/>
          <w:b/>
          <w:color w:val="6022A6"/>
          <w:sz w:val="20"/>
        </w:rPr>
        <w:t>About GE HealthCare Technologies Inc.</w:t>
      </w:r>
    </w:p>
    <w:p>
      <w:pPr>
        <w:pStyle w:val="TextBody"/>
        <w:bidi w:val="0"/>
        <w:spacing w:lineRule="auto" w:line="288"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GE HealthCare is a leading global healthcare solutions provider of advanced medical technology, pharmaceutical diagnostics, and AI, cloud and software solutions that help clinicians tackle the world’s most complex diseases. Serving patients and providers for 130 years, GE HealthCare is delivering bold innovations designed for the next era of medicine across its Advanced Imaging Solutions, Pharmaceutical Diagnostics, and Patient Care Solutions segments to help clinicians deliver more personalized, precise patient care. We are a $20.6 billion business with approximately 54,000 colleagues working to create a world where healthcare has no limits. </w:t>
      </w:r>
    </w:p>
    <w:p>
      <w:pPr>
        <w:pStyle w:val="TextBody"/>
        <w:bidi w:val="0"/>
        <w:spacing w:lineRule="auto" w:line="300"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GE HealthCare is proud to be among 2026 Fortune World’s Most Admired Companies™.  </w:t>
      </w:r>
    </w:p>
    <w:p>
      <w:pPr>
        <w:pStyle w:val="TextBody"/>
        <w:bidi w:val="0"/>
        <w:spacing w:lineRule="auto" w:line="300" w:before="0" w:after="2"/>
        <w:jc w:val="left"/>
        <w:rPr>
          <w:color w:val="000000"/>
        </w:rPr>
      </w:pPr>
      <w:r>
        <w:rPr>
          <w:color w:val="000000"/>
        </w:rPr>
        <w:t xml:space="preserve">  </w:t>
      </w:r>
    </w:p>
    <w:p>
      <w:pPr>
        <w:pStyle w:val="TextBody"/>
        <w:bidi w:val="0"/>
        <w:spacing w:lineRule="auto" w:line="300" w:before="0" w:after="2"/>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Follow us on LinkedIn, Facebook, Instagram, or visit our website for our latest news and perspectives.  </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40"/>
        <w:jc w:val="left"/>
        <w:rPr>
          <w:rFonts w:ascii="Source Sans Pro;sans-serif" w:hAnsi="Source Sans Pro;sans-serif"/>
          <w:b/>
          <w:color w:val="6022A6"/>
          <w:sz w:val="20"/>
        </w:rPr>
      </w:pPr>
      <w:r>
        <w:rPr>
          <w:rFonts w:ascii="Source Sans Pro;sans-serif" w:hAnsi="Source Sans Pro;sans-serif"/>
          <w:b/>
          <w:color w:val="6022A6"/>
          <w:sz w:val="20"/>
        </w:rPr>
        <w:t>Investor Relations Contact:</w:t>
      </w:r>
    </w:p>
    <w:p>
      <w:pPr>
        <w:pStyle w:val="TextBody"/>
        <w:bidi w:val="0"/>
        <w:spacing w:lineRule="auto" w:line="300" w:before="0" w:after="100"/>
        <w:jc w:val="left"/>
        <w:rPr>
          <w:rFonts w:ascii="Source Sans Pro;sans-serif" w:hAnsi="Source Sans Pro;sans-serif"/>
          <w:b w:val="false"/>
          <w:color w:val="000000"/>
          <w:sz w:val="20"/>
        </w:rPr>
      </w:pPr>
      <w:r>
        <w:rPr>
          <w:rFonts w:ascii="Source Sans Pro;sans-serif" w:hAnsi="Source Sans Pro;sans-serif"/>
          <w:b w:val="false"/>
          <w:color w:val="000000"/>
          <w:sz w:val="20"/>
        </w:rPr>
        <w:t>Carolynne Borders</w:t>
      </w:r>
    </w:p>
    <w:p>
      <w:pPr>
        <w:pStyle w:val="TextBody"/>
        <w:bidi w:val="0"/>
        <w:spacing w:lineRule="auto" w:line="300" w:before="0" w:after="100"/>
        <w:jc w:val="left"/>
        <w:rPr>
          <w:rFonts w:ascii="Source Sans Pro;sans-serif" w:hAnsi="Source Sans Pro;sans-serif"/>
          <w:b w:val="false"/>
          <w:color w:val="000000"/>
          <w:sz w:val="20"/>
        </w:rPr>
      </w:pPr>
      <w:r>
        <w:rPr>
          <w:rFonts w:ascii="Source Sans Pro;sans-serif" w:hAnsi="Source Sans Pro;sans-serif"/>
          <w:b w:val="false"/>
          <w:color w:val="000000"/>
          <w:sz w:val="20"/>
        </w:rPr>
        <w:t>+1-631-662-4317</w:t>
      </w:r>
    </w:p>
    <w:p>
      <w:pPr>
        <w:pStyle w:val="TextBody"/>
        <w:bidi w:val="0"/>
        <w:spacing w:lineRule="auto" w:line="300" w:before="0" w:after="100"/>
        <w:jc w:val="left"/>
        <w:rPr>
          <w:rFonts w:ascii="Source Sans Pro;sans-serif" w:hAnsi="Source Sans Pro;sans-serif"/>
          <w:b w:val="false"/>
          <w:color w:val="0563C1"/>
          <w:sz w:val="20"/>
          <w:u w:val="single"/>
        </w:rPr>
      </w:pPr>
      <w:r>
        <w:rPr>
          <w:rFonts w:ascii="Source Sans Pro;sans-serif" w:hAnsi="Source Sans Pro;sans-serif"/>
          <w:b w:val="false"/>
          <w:color w:val="0563C1"/>
          <w:sz w:val="20"/>
          <w:u w:val="single"/>
        </w:rPr>
        <w:t>carolynne.borders@gehealthcare.com</w:t>
      </w:r>
    </w:p>
    <w:p>
      <w:pPr>
        <w:pStyle w:val="TextBody"/>
        <w:bidi w:val="0"/>
        <w:spacing w:before="0" w:after="0"/>
        <w:jc w:val="left"/>
        <w:rPr/>
      </w:pPr>
      <w:r>
        <w:rPr/>
      </w:r>
    </w:p>
    <w:p>
      <w:pPr>
        <w:pStyle w:val="TextBody"/>
        <w:bidi w:val="0"/>
        <w:spacing w:lineRule="auto" w:line="300" w:before="0" w:after="40"/>
        <w:jc w:val="left"/>
        <w:rPr>
          <w:rFonts w:ascii="Source Sans Pro;sans-serif" w:hAnsi="Source Sans Pro;sans-serif"/>
          <w:b/>
          <w:color w:val="6022A6"/>
          <w:sz w:val="20"/>
        </w:rPr>
      </w:pPr>
      <w:r>
        <w:rPr>
          <w:rFonts w:ascii="Source Sans Pro;sans-serif" w:hAnsi="Source Sans Pro;sans-serif"/>
          <w:b/>
          <w:color w:val="6022A6"/>
          <w:sz w:val="20"/>
        </w:rPr>
        <w:t>Media Contact:</w:t>
      </w:r>
    </w:p>
    <w:p>
      <w:pPr>
        <w:pStyle w:val="TextBody"/>
        <w:bidi w:val="0"/>
        <w:spacing w:lineRule="auto" w:line="300" w:before="0" w:after="100"/>
        <w:jc w:val="left"/>
        <w:rPr>
          <w:rFonts w:ascii="Source Sans Pro;sans-serif" w:hAnsi="Source Sans Pro;sans-serif"/>
          <w:b w:val="false"/>
          <w:color w:val="000000"/>
          <w:sz w:val="20"/>
        </w:rPr>
      </w:pPr>
      <w:r>
        <w:rPr>
          <w:rFonts w:ascii="Source Sans Pro;sans-serif" w:hAnsi="Source Sans Pro;sans-serif"/>
          <w:b w:val="false"/>
          <w:color w:val="000000"/>
          <w:sz w:val="20"/>
        </w:rPr>
        <w:t>Jennifer Fox</w:t>
      </w:r>
    </w:p>
    <w:p>
      <w:pPr>
        <w:pStyle w:val="TextBody"/>
        <w:bidi w:val="0"/>
        <w:spacing w:lineRule="auto" w:line="300" w:before="0" w:after="100"/>
        <w:jc w:val="left"/>
        <w:rPr>
          <w:rFonts w:ascii="Source Sans Pro;sans-serif" w:hAnsi="Source Sans Pro;sans-serif"/>
          <w:b w:val="false"/>
          <w:color w:val="000000"/>
          <w:sz w:val="20"/>
        </w:rPr>
      </w:pPr>
      <w:r>
        <w:rPr>
          <w:rFonts w:ascii="Source Sans Pro;sans-serif" w:hAnsi="Source Sans Pro;sans-serif"/>
          <w:b w:val="false"/>
          <w:color w:val="000000"/>
          <w:sz w:val="20"/>
        </w:rPr>
        <w:t>+1-414-530-3027</w:t>
      </w:r>
    </w:p>
    <w:p>
      <w:pPr>
        <w:pStyle w:val="TextBody"/>
        <w:bidi w:val="0"/>
        <w:spacing w:lineRule="auto" w:line="300" w:before="0" w:after="100"/>
        <w:jc w:val="left"/>
        <w:rPr>
          <w:rFonts w:ascii="Source Sans Pro;sans-serif" w:hAnsi="Source Sans Pro;sans-serif"/>
          <w:b w:val="false"/>
          <w:color w:val="0563C1"/>
          <w:sz w:val="20"/>
          <w:u w:val="single"/>
        </w:rPr>
      </w:pPr>
      <w:r>
        <w:rPr>
          <w:rFonts w:ascii="Source Sans Pro;sans-serif" w:hAnsi="Source Sans Pro;sans-serif"/>
          <w:b w:val="false"/>
          <w:color w:val="0563C1"/>
          <w:sz w:val="20"/>
          <w:u w:val="single"/>
        </w:rPr>
        <w:t>jennifer.r.fox@gehealthcare.com</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ource Sans Pro">
    <w:altName w:val="sans-serif"/>
    <w:charset w:val="01"/>
    <w:family w:val="auto"/>
    <w:pitch w:val="default"/>
  </w:font>
  <w:font w:name="Arial Narrow">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5810</Words>
  <Characters>32759</Characters>
  <CharactersWithSpaces>38103</CharactersWithSpaces>
  <Paragraphs>1215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