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left="3920" w:right="1560" w:hanging="2352"/>
        <w:spacing w:after="0" w:line="299" w:lineRule="auto"/>
        <w:tabs>
          <w:tab w:leader="none" w:pos="17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2023</w:t>
      </w:r>
    </w:p>
    <w:p>
      <w:pPr>
        <w:ind w:left="42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20955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2"/>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auto"/>
              <w:right w:val="single" w:sz="8" w:color="00000A"/>
            </w:tcBorders>
          </w:tcPr>
          <w:p>
            <w:pPr>
              <w:spacing w:after="0" w:line="20" w:lineRule="exact"/>
              <w:rPr>
                <w:sz w:val="1"/>
                <w:szCs w:val="1"/>
                <w:color w:val="auto"/>
              </w:rPr>
            </w:pPr>
          </w:p>
        </w:tc>
        <w:tc>
          <w:tcPr>
            <w:tcW w:w="2760" w:type="dxa"/>
            <w:vAlign w:val="bottom"/>
            <w:tcBorders>
              <w:bottom w:val="single" w:sz="8" w:color="auto"/>
              <w:right w:val="single" w:sz="8" w:color="00000A"/>
            </w:tcBorders>
          </w:tcPr>
          <w:p>
            <w:pPr>
              <w:spacing w:after="0" w:line="20" w:lineRule="exact"/>
              <w:rPr>
                <w:sz w:val="1"/>
                <w:szCs w:val="1"/>
                <w:color w:val="auto"/>
              </w:rPr>
            </w:pPr>
          </w:p>
        </w:tc>
        <w:tc>
          <w:tcPr>
            <w:tcW w:w="4240" w:type="dxa"/>
            <w:vAlign w:val="bottom"/>
            <w:tcBorders>
              <w:bottom w:val="single" w:sz="8" w:color="auto"/>
              <w:right w:val="single" w:sz="8" w:color="auto"/>
            </w:tcBorders>
          </w:tcPr>
          <w:p>
            <w:pPr>
              <w:spacing w:after="0" w:line="20" w:lineRule="exact"/>
              <w:rPr>
                <w:sz w:val="1"/>
                <w:szCs w:val="1"/>
                <w:color w:val="auto"/>
              </w:rPr>
            </w:pPr>
          </w:p>
        </w:tc>
      </w:tr>
    </w:tbl>
    <w:p>
      <w:pPr>
        <w:spacing w:after="0" w:line="364" w:lineRule="exact"/>
        <w:rPr>
          <w:sz w:val="24"/>
          <w:szCs w:val="24"/>
          <w:color w:val="auto"/>
        </w:rPr>
      </w:pPr>
    </w:p>
    <w:p>
      <w:pPr>
        <w:ind w:right="28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10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500"/>
        <w:spacing w:after="0" w:line="30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Accelerated filer</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Smaller reporting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Emerging growth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1" w:lineRule="exact"/>
        <w:rPr>
          <w:sz w:val="24"/>
          <w:szCs w:val="24"/>
          <w:color w:val="auto"/>
        </w:rPr>
      </w:pPr>
    </w:p>
    <w:p>
      <w:pPr>
        <w:ind w:right="4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outstanding common stock of the Registrant held by non-affiliates as of June 30, 2023, the last day of the registrants most recently</w:t>
      </w:r>
    </w:p>
    <w:p>
      <w:pPr>
        <w:spacing w:after="0" w:line="15" w:lineRule="exact"/>
        <w:rPr>
          <w:sz w:val="24"/>
          <w:szCs w:val="24"/>
          <w:color w:val="auto"/>
        </w:rPr>
      </w:pPr>
    </w:p>
    <w:p>
      <w:pPr>
        <w:ind w:right="620"/>
        <w:spacing w:after="0" w:line="244" w:lineRule="auto"/>
        <w:rPr>
          <w:sz w:val="20"/>
          <w:szCs w:val="20"/>
          <w:color w:val="auto"/>
        </w:rPr>
      </w:pPr>
      <w:r>
        <w:rPr>
          <w:rFonts w:ascii="Arial" w:cs="Arial" w:eastAsia="Arial" w:hAnsi="Arial"/>
          <w:sz w:val="14"/>
          <w:szCs w:val="14"/>
          <w:color w:val="auto"/>
        </w:rPr>
        <w:t>completed second fiscal quarter, was approximately $32 billion. There were 455,357,229 shares of common stock with a par value of $0.01 per share outstanding as of January 30, 2024.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right="440"/>
        <w:spacing w:after="0" w:line="345" w:lineRule="auto"/>
        <w:rPr>
          <w:sz w:val="20"/>
          <w:szCs w:val="20"/>
          <w:color w:val="auto"/>
        </w:rPr>
      </w:pPr>
      <w:r>
        <w:rPr>
          <w:rFonts w:ascii="Arial" w:cs="Arial" w:eastAsia="Arial" w:hAnsi="Arial"/>
          <w:sz w:val="14"/>
          <w:szCs w:val="14"/>
          <w:color w:val="auto"/>
        </w:rPr>
        <w:t>The definitive proxy statement relating to the registrant’s Annual Meeting of Shareholders, to be held May 21, 2024, is incorporated by reference into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98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200" w:type="dxa"/>
            <w:vAlign w:val="bottom"/>
            <w:gridSpan w:val="5"/>
          </w:tcPr>
          <w:p>
            <w:pPr>
              <w:ind w:left="800"/>
              <w:spacing w:after="0"/>
              <w:rPr>
                <w:sz w:val="20"/>
                <w:szCs w:val="20"/>
                <w:color w:val="auto"/>
              </w:rPr>
            </w:pPr>
            <w:r>
              <w:rPr>
                <w:rFonts w:ascii="Arial" w:cs="Arial" w:eastAsia="Arial" w:hAnsi="Arial"/>
                <w:sz w:val="16"/>
                <w:szCs w:val="16"/>
                <w:b w:val="1"/>
                <w:bCs w:val="1"/>
                <w:color w:val="auto"/>
                <w:w w:val="99"/>
              </w:rPr>
              <w:t>Page</w:t>
            </w:r>
          </w:p>
        </w:tc>
      </w:tr>
      <w:tr>
        <w:trPr>
          <w:trHeight w:val="318"/>
        </w:trPr>
        <w:tc>
          <w:tcPr>
            <w:tcW w:w="100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180" w:type="dxa"/>
            <w:vAlign w:val="bottom"/>
            <w:gridSpan w:val="4"/>
          </w:tcPr>
          <w:p>
            <w:pPr>
              <w:jc w:val="right"/>
              <w:spacing w:after="0"/>
              <w:rPr>
                <w:sz w:val="20"/>
                <w:szCs w:val="20"/>
                <w:color w:val="auto"/>
              </w:rPr>
            </w:pPr>
            <w:r>
              <w:rPr>
                <w:rFonts w:ascii="Arial" w:cs="Arial" w:eastAsia="Arial" w:hAnsi="Arial"/>
                <w:sz w:val="16"/>
                <w:szCs w:val="16"/>
                <w:color w:val="0E32E1"/>
              </w:rPr>
              <w:t>3</w:t>
            </w:r>
          </w:p>
        </w:tc>
        <w:tc>
          <w:tcPr>
            <w:tcW w:w="2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06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Item 1.</w:t>
            </w:r>
          </w:p>
        </w:tc>
        <w:tc>
          <w:tcPr>
            <w:tcW w:w="8980" w:type="dxa"/>
            <w:vAlign w:val="bottom"/>
          </w:tcPr>
          <w:p>
            <w:pPr>
              <w:ind w:left="200"/>
              <w:spacing w:after="0" w:line="183" w:lineRule="exact"/>
              <w:rPr>
                <w:sz w:val="20"/>
                <w:szCs w:val="20"/>
                <w:color w:val="auto"/>
              </w:rPr>
            </w:pPr>
            <w:r>
              <w:rPr>
                <w:rFonts w:ascii="Arial" w:cs="Arial" w:eastAsia="Arial" w:hAnsi="Arial"/>
                <w:sz w:val="16"/>
                <w:szCs w:val="16"/>
                <w:color w:val="auto"/>
              </w:rPr>
              <w:t>Business</w:t>
            </w:r>
          </w:p>
        </w:tc>
        <w:tc>
          <w:tcPr>
            <w:tcW w:w="1180" w:type="dxa"/>
            <w:vAlign w:val="bottom"/>
            <w:gridSpan w:val="4"/>
          </w:tcPr>
          <w:p>
            <w:pPr>
              <w:jc w:val="right"/>
              <w:spacing w:after="0" w:line="183" w:lineRule="exact"/>
              <w:rPr>
                <w:sz w:val="20"/>
                <w:szCs w:val="20"/>
                <w:color w:val="auto"/>
              </w:rPr>
            </w:pPr>
            <w:r>
              <w:rPr>
                <w:rFonts w:ascii="Arial" w:cs="Arial" w:eastAsia="Arial" w:hAnsi="Arial"/>
                <w:sz w:val="16"/>
                <w:szCs w:val="16"/>
                <w:color w:val="0E32E1"/>
              </w:rPr>
              <w:t>4</w:t>
            </w: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1A.</w:t>
            </w:r>
          </w:p>
        </w:tc>
        <w:tc>
          <w:tcPr>
            <w:tcW w:w="898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1B.</w:t>
            </w:r>
          </w:p>
        </w:tc>
        <w:tc>
          <w:tcPr>
            <w:tcW w:w="8980" w:type="dxa"/>
            <w:vAlign w:val="bottom"/>
          </w:tcPr>
          <w:p>
            <w:pPr>
              <w:ind w:left="200"/>
              <w:spacing w:after="0"/>
              <w:rPr>
                <w:sz w:val="20"/>
                <w:szCs w:val="20"/>
                <w:color w:val="auto"/>
              </w:rPr>
            </w:pPr>
            <w:r>
              <w:rPr>
                <w:rFonts w:ascii="Arial" w:cs="Arial" w:eastAsia="Arial" w:hAnsi="Arial"/>
                <w:sz w:val="16"/>
                <w:szCs w:val="16"/>
                <w:color w:val="auto"/>
              </w:rPr>
              <w:t>Unresolved Staff Comments</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44</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1C.</w:t>
            </w:r>
          </w:p>
        </w:tc>
        <w:tc>
          <w:tcPr>
            <w:tcW w:w="8980" w:type="dxa"/>
            <w:vAlign w:val="bottom"/>
          </w:tcPr>
          <w:p>
            <w:pPr>
              <w:ind w:left="200"/>
              <w:spacing w:after="0"/>
              <w:rPr>
                <w:sz w:val="20"/>
                <w:szCs w:val="20"/>
                <w:color w:val="auto"/>
              </w:rPr>
            </w:pPr>
            <w:r>
              <w:rPr>
                <w:rFonts w:ascii="Arial" w:cs="Arial" w:eastAsia="Arial" w:hAnsi="Arial"/>
                <w:sz w:val="16"/>
                <w:szCs w:val="16"/>
                <w:color w:val="auto"/>
              </w:rPr>
              <w:t>Cybersecurity</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980" w:type="dxa"/>
            <w:vAlign w:val="bottom"/>
          </w:tcPr>
          <w:p>
            <w:pPr>
              <w:ind w:left="200"/>
              <w:spacing w:after="0"/>
              <w:rPr>
                <w:sz w:val="20"/>
                <w:szCs w:val="20"/>
                <w:color w:val="auto"/>
              </w:rPr>
            </w:pPr>
            <w:r>
              <w:rPr>
                <w:rFonts w:ascii="Arial" w:cs="Arial" w:eastAsia="Arial" w:hAnsi="Arial"/>
                <w:sz w:val="16"/>
                <w:szCs w:val="16"/>
                <w:color w:val="auto"/>
              </w:rPr>
              <w:t>Properties</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45</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98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45</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98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180" w:type="dxa"/>
            <w:vAlign w:val="bottom"/>
            <w:gridSpan w:val="4"/>
          </w:tcPr>
          <w:p>
            <w:pPr>
              <w:jc w:val="right"/>
              <w:spacing w:after="0"/>
              <w:rPr>
                <w:sz w:val="20"/>
                <w:szCs w:val="20"/>
                <w:color w:val="auto"/>
              </w:rPr>
            </w:pPr>
            <w:r>
              <w:rPr>
                <w:rFonts w:ascii="Arial" w:cs="Arial" w:eastAsia="Arial" w:hAnsi="Arial"/>
                <w:sz w:val="16"/>
                <w:szCs w:val="16"/>
                <w:color w:val="0E32E1"/>
              </w:rPr>
              <w:t>45</w:t>
            </w:r>
          </w:p>
        </w:tc>
        <w:tc>
          <w:tcPr>
            <w:tcW w:w="2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06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Item 5.</w:t>
            </w:r>
          </w:p>
        </w:tc>
        <w:tc>
          <w:tcPr>
            <w:tcW w:w="8980" w:type="dxa"/>
            <w:vAlign w:val="bottom"/>
          </w:tcPr>
          <w:p>
            <w:pPr>
              <w:ind w:left="200"/>
              <w:spacing w:after="0" w:line="183" w:lineRule="exact"/>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1000" w:type="dxa"/>
            <w:vAlign w:val="bottom"/>
            <w:gridSpan w:val="2"/>
          </w:tcPr>
          <w:p>
            <w:pPr>
              <w:spacing w:after="0"/>
              <w:rPr>
                <w:sz w:val="15"/>
                <w:szCs w:val="15"/>
                <w:color w:val="auto"/>
              </w:rPr>
            </w:pPr>
          </w:p>
        </w:tc>
        <w:tc>
          <w:tcPr>
            <w:tcW w:w="180" w:type="dxa"/>
            <w:vAlign w:val="bottom"/>
            <w:tcBorders>
              <w:bottom w:val="single" w:sz="8" w:color="0E32E1"/>
            </w:tcBorders>
            <w:gridSpan w:val="2"/>
          </w:tcPr>
          <w:p>
            <w:pPr>
              <w:jc w:val="right"/>
              <w:spacing w:after="0" w:line="183" w:lineRule="exact"/>
              <w:rPr>
                <w:sz w:val="20"/>
                <w:szCs w:val="20"/>
                <w:color w:val="auto"/>
              </w:rPr>
            </w:pPr>
            <w:r>
              <w:rPr>
                <w:rFonts w:ascii="Arial" w:cs="Arial" w:eastAsia="Arial" w:hAnsi="Arial"/>
                <w:sz w:val="16"/>
                <w:szCs w:val="16"/>
                <w:color w:val="0E32E1"/>
                <w:w w:val="89"/>
              </w:rPr>
              <w:t>45</w:t>
            </w:r>
          </w:p>
        </w:tc>
        <w:tc>
          <w:tcPr>
            <w:tcW w:w="20" w:type="dxa"/>
            <w:vAlign w:val="bottom"/>
          </w:tcPr>
          <w:p>
            <w:pPr>
              <w:spacing w:after="0"/>
              <w:rPr>
                <w:sz w:val="15"/>
                <w:szCs w:val="15"/>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6.</w:t>
            </w:r>
          </w:p>
        </w:tc>
        <w:tc>
          <w:tcPr>
            <w:tcW w:w="8980" w:type="dxa"/>
            <w:vAlign w:val="bottom"/>
          </w:tcPr>
          <w:p>
            <w:pPr>
              <w:ind w:left="200"/>
              <w:spacing w:after="0"/>
              <w:rPr>
                <w:sz w:val="20"/>
                <w:szCs w:val="20"/>
                <w:color w:val="auto"/>
              </w:rPr>
            </w:pPr>
            <w:r>
              <w:rPr>
                <w:rFonts w:ascii="Arial" w:cs="Arial" w:eastAsia="Arial" w:hAnsi="Arial"/>
                <w:sz w:val="16"/>
                <w:szCs w:val="16"/>
                <w:color w:val="auto"/>
              </w:rPr>
              <w:t>[Reserved]</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46</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7.</w:t>
            </w:r>
          </w:p>
        </w:tc>
        <w:tc>
          <w:tcPr>
            <w:tcW w:w="898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47</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7A.</w:t>
            </w:r>
          </w:p>
        </w:tc>
        <w:tc>
          <w:tcPr>
            <w:tcW w:w="898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62</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8.</w:t>
            </w:r>
          </w:p>
        </w:tc>
        <w:tc>
          <w:tcPr>
            <w:tcW w:w="8980" w:type="dxa"/>
            <w:vAlign w:val="bottom"/>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100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64</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w:t>
            </w:r>
          </w:p>
        </w:tc>
        <w:tc>
          <w:tcPr>
            <w:tcW w:w="8980" w:type="dxa"/>
            <w:vAlign w:val="bottom"/>
          </w:tcPr>
          <w:p>
            <w:pPr>
              <w:ind w:left="2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92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116</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9A.</w:t>
            </w:r>
          </w:p>
        </w:tc>
        <w:tc>
          <w:tcPr>
            <w:tcW w:w="898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92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116</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9B.</w:t>
            </w:r>
          </w:p>
        </w:tc>
        <w:tc>
          <w:tcPr>
            <w:tcW w:w="898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92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117</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9C.</w:t>
            </w:r>
          </w:p>
        </w:tc>
        <w:tc>
          <w:tcPr>
            <w:tcW w:w="8980" w:type="dxa"/>
            <w:vAlign w:val="bottom"/>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1180" w:type="dxa"/>
            <w:vAlign w:val="bottom"/>
            <w:gridSpan w:val="4"/>
          </w:tcPr>
          <w:p>
            <w:pPr>
              <w:jc w:val="right"/>
              <w:spacing w:after="0"/>
              <w:rPr>
                <w:sz w:val="20"/>
                <w:szCs w:val="20"/>
                <w:color w:val="auto"/>
              </w:rPr>
            </w:pPr>
            <w:r>
              <w:rPr>
                <w:rFonts w:ascii="Arial" w:cs="Arial" w:eastAsia="Arial" w:hAnsi="Arial"/>
                <w:sz w:val="16"/>
                <w:szCs w:val="16"/>
                <w:color w:val="0E32E1"/>
              </w:rPr>
              <w:t>117</w:t>
            </w:r>
          </w:p>
        </w:tc>
        <w:tc>
          <w:tcPr>
            <w:tcW w:w="2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8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06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Item 10.</w:t>
            </w:r>
          </w:p>
        </w:tc>
        <w:tc>
          <w:tcPr>
            <w:tcW w:w="8980" w:type="dxa"/>
            <w:vAlign w:val="bottom"/>
          </w:tcPr>
          <w:p>
            <w:pPr>
              <w:ind w:left="200"/>
              <w:spacing w:after="0" w:line="183" w:lineRule="exact"/>
              <w:rPr>
                <w:sz w:val="20"/>
                <w:szCs w:val="20"/>
                <w:color w:val="auto"/>
              </w:rPr>
            </w:pPr>
            <w:r>
              <w:rPr>
                <w:rFonts w:ascii="Arial" w:cs="Arial" w:eastAsia="Arial" w:hAnsi="Arial"/>
                <w:sz w:val="16"/>
                <w:szCs w:val="16"/>
                <w:color w:val="auto"/>
              </w:rPr>
              <w:t>Directors, Executive Officers and Corporate Governance</w:t>
            </w:r>
          </w:p>
        </w:tc>
        <w:tc>
          <w:tcPr>
            <w:tcW w:w="920" w:type="dxa"/>
            <w:vAlign w:val="bottom"/>
          </w:tcPr>
          <w:p>
            <w:pPr>
              <w:spacing w:after="0"/>
              <w:rPr>
                <w:sz w:val="15"/>
                <w:szCs w:val="15"/>
                <w:color w:val="auto"/>
              </w:rPr>
            </w:pPr>
          </w:p>
        </w:tc>
        <w:tc>
          <w:tcPr>
            <w:tcW w:w="260" w:type="dxa"/>
            <w:vAlign w:val="bottom"/>
            <w:tcBorders>
              <w:bottom w:val="single" w:sz="8" w:color="0E32E1"/>
            </w:tcBorders>
            <w:gridSpan w:val="3"/>
          </w:tcPr>
          <w:p>
            <w:pPr>
              <w:jc w:val="right"/>
              <w:spacing w:after="0" w:line="183" w:lineRule="exact"/>
              <w:rPr>
                <w:sz w:val="20"/>
                <w:szCs w:val="20"/>
                <w:color w:val="auto"/>
              </w:rPr>
            </w:pPr>
            <w:r>
              <w:rPr>
                <w:rFonts w:ascii="Arial" w:cs="Arial" w:eastAsia="Arial" w:hAnsi="Arial"/>
                <w:sz w:val="16"/>
                <w:szCs w:val="16"/>
                <w:color w:val="0E32E1"/>
                <w:w w:val="89"/>
              </w:rPr>
              <w:t>117</w:t>
            </w:r>
          </w:p>
        </w:tc>
        <w:tc>
          <w:tcPr>
            <w:tcW w:w="20" w:type="dxa"/>
            <w:vAlign w:val="bottom"/>
          </w:tcPr>
          <w:p>
            <w:pPr>
              <w:spacing w:after="0"/>
              <w:rPr>
                <w:sz w:val="15"/>
                <w:szCs w:val="15"/>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11.</w:t>
            </w:r>
          </w:p>
        </w:tc>
        <w:tc>
          <w:tcPr>
            <w:tcW w:w="8980" w:type="dxa"/>
            <w:vAlign w:val="bottom"/>
          </w:tcPr>
          <w:p>
            <w:pPr>
              <w:ind w:left="200"/>
              <w:spacing w:after="0"/>
              <w:rPr>
                <w:sz w:val="20"/>
                <w:szCs w:val="20"/>
                <w:color w:val="auto"/>
              </w:rPr>
            </w:pPr>
            <w:r>
              <w:rPr>
                <w:rFonts w:ascii="Arial" w:cs="Arial" w:eastAsia="Arial" w:hAnsi="Arial"/>
                <w:sz w:val="16"/>
                <w:szCs w:val="16"/>
                <w:color w:val="auto"/>
              </w:rPr>
              <w:t>Executive Compensation</w:t>
            </w:r>
          </w:p>
        </w:tc>
        <w:tc>
          <w:tcPr>
            <w:tcW w:w="92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117</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12.</w:t>
            </w:r>
          </w:p>
        </w:tc>
        <w:tc>
          <w:tcPr>
            <w:tcW w:w="8980" w:type="dxa"/>
            <w:vAlign w:val="bottom"/>
          </w:tcPr>
          <w:p>
            <w:pPr>
              <w:ind w:left="2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92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117</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13.</w:t>
            </w:r>
          </w:p>
        </w:tc>
        <w:tc>
          <w:tcPr>
            <w:tcW w:w="8980" w:type="dxa"/>
            <w:vAlign w:val="bottom"/>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92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117</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14.</w:t>
            </w:r>
          </w:p>
        </w:tc>
        <w:tc>
          <w:tcPr>
            <w:tcW w:w="8980" w:type="dxa"/>
            <w:vAlign w:val="bottom"/>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1180" w:type="dxa"/>
            <w:vAlign w:val="bottom"/>
            <w:gridSpan w:val="4"/>
          </w:tcPr>
          <w:p>
            <w:pPr>
              <w:jc w:val="right"/>
              <w:spacing w:after="0"/>
              <w:rPr>
                <w:sz w:val="20"/>
                <w:szCs w:val="20"/>
                <w:color w:val="auto"/>
              </w:rPr>
            </w:pPr>
            <w:r>
              <w:rPr>
                <w:rFonts w:ascii="Arial" w:cs="Arial" w:eastAsia="Arial" w:hAnsi="Arial"/>
                <w:sz w:val="16"/>
                <w:szCs w:val="16"/>
                <w:color w:val="0E32E1"/>
              </w:rPr>
              <w:t>117</w:t>
            </w:r>
          </w:p>
        </w:tc>
        <w:tc>
          <w:tcPr>
            <w:tcW w:w="2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8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06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Item 15.</w:t>
            </w:r>
          </w:p>
        </w:tc>
        <w:tc>
          <w:tcPr>
            <w:tcW w:w="8980" w:type="dxa"/>
            <w:vAlign w:val="bottom"/>
          </w:tcPr>
          <w:p>
            <w:pPr>
              <w:ind w:left="200"/>
              <w:spacing w:after="0" w:line="183" w:lineRule="exact"/>
              <w:rPr>
                <w:sz w:val="20"/>
                <w:szCs w:val="20"/>
                <w:color w:val="auto"/>
              </w:rPr>
            </w:pPr>
            <w:r>
              <w:rPr>
                <w:rFonts w:ascii="Arial" w:cs="Arial" w:eastAsia="Arial" w:hAnsi="Arial"/>
                <w:sz w:val="16"/>
                <w:szCs w:val="16"/>
                <w:color w:val="auto"/>
              </w:rPr>
              <w:t>Exhibits and Financial Statement Schedules</w:t>
            </w:r>
          </w:p>
        </w:tc>
        <w:tc>
          <w:tcPr>
            <w:tcW w:w="920" w:type="dxa"/>
            <w:vAlign w:val="bottom"/>
          </w:tcPr>
          <w:p>
            <w:pPr>
              <w:spacing w:after="0"/>
              <w:rPr>
                <w:sz w:val="15"/>
                <w:szCs w:val="15"/>
                <w:color w:val="auto"/>
              </w:rPr>
            </w:pPr>
          </w:p>
        </w:tc>
        <w:tc>
          <w:tcPr>
            <w:tcW w:w="260" w:type="dxa"/>
            <w:vAlign w:val="bottom"/>
            <w:tcBorders>
              <w:bottom w:val="single" w:sz="8" w:color="0E32E1"/>
            </w:tcBorders>
            <w:gridSpan w:val="3"/>
          </w:tcPr>
          <w:p>
            <w:pPr>
              <w:jc w:val="right"/>
              <w:spacing w:after="0" w:line="183" w:lineRule="exact"/>
              <w:rPr>
                <w:sz w:val="20"/>
                <w:szCs w:val="20"/>
                <w:color w:val="auto"/>
              </w:rPr>
            </w:pPr>
            <w:r>
              <w:rPr>
                <w:rFonts w:ascii="Arial" w:cs="Arial" w:eastAsia="Arial" w:hAnsi="Arial"/>
                <w:sz w:val="16"/>
                <w:szCs w:val="16"/>
                <w:color w:val="0E32E1"/>
                <w:w w:val="89"/>
              </w:rPr>
              <w:t>117</w:t>
            </w:r>
          </w:p>
        </w:tc>
        <w:tc>
          <w:tcPr>
            <w:tcW w:w="20" w:type="dxa"/>
            <w:vAlign w:val="bottom"/>
          </w:tcPr>
          <w:p>
            <w:pPr>
              <w:spacing w:after="0"/>
              <w:rPr>
                <w:sz w:val="15"/>
                <w:szCs w:val="15"/>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16.</w:t>
            </w:r>
          </w:p>
        </w:tc>
        <w:tc>
          <w:tcPr>
            <w:tcW w:w="8980" w:type="dxa"/>
            <w:vAlign w:val="bottom"/>
          </w:tcPr>
          <w:p>
            <w:pPr>
              <w:ind w:left="200"/>
              <w:spacing w:after="0"/>
              <w:rPr>
                <w:sz w:val="20"/>
                <w:szCs w:val="20"/>
                <w:color w:val="auto"/>
              </w:rPr>
            </w:pPr>
            <w:r>
              <w:rPr>
                <w:rFonts w:ascii="Arial" w:cs="Arial" w:eastAsia="Arial" w:hAnsi="Arial"/>
                <w:sz w:val="16"/>
                <w:szCs w:val="16"/>
                <w:color w:val="auto"/>
              </w:rPr>
              <w:t>Form 10-K Summary</w:t>
            </w:r>
          </w:p>
        </w:tc>
        <w:tc>
          <w:tcPr>
            <w:tcW w:w="1180" w:type="dxa"/>
            <w:vAlign w:val="bottom"/>
            <w:gridSpan w:val="4"/>
          </w:tcPr>
          <w:p>
            <w:pPr>
              <w:jc w:val="right"/>
              <w:spacing w:after="0"/>
              <w:rPr>
                <w:sz w:val="20"/>
                <w:szCs w:val="20"/>
                <w:color w:val="auto"/>
              </w:rPr>
            </w:pPr>
            <w:r>
              <w:rPr>
                <w:rFonts w:ascii="Arial" w:cs="Arial" w:eastAsia="Arial" w:hAnsi="Arial"/>
                <w:sz w:val="16"/>
                <w:szCs w:val="16"/>
                <w:color w:val="0E32E1"/>
              </w:rPr>
              <w:t>120</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3"/>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98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color w:val="0E32E1"/>
              </w:rPr>
              <w:t>121</w:t>
            </w:r>
          </w:p>
        </w:tc>
        <w:tc>
          <w:tcPr>
            <w:tcW w:w="2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Annual Report on Form 10-K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information related to our business segment portfolios and strategies; human capital management and environmental, social, and governance (“ESG”) strategies and initiatives;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strategy, innovation, and investments, including research and development activities; our cost structure; our funding and liquidity; the impacts on our business of manufacturing, sourcing, and supply chain management;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our ability to successfully complete strategic transactions;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including related to government shutdowns; our ability to attract and/or retain key personnel and qualified employees; global geopolitical and economic instability, including as a result of the conflict between Ukraine and Russia, the conflict in Israel and surrounding areas, and the actions in the Red Sea region; public health crises, epidemics, and pandemics, such as the Coronavirus Disease 2019 (“COVID-19”) and their effects on our business; maintenance and protection of our intellectual property (“IP”) rights, as well as maintenance of successful research and development efforts with respect to commercially successful products and technologies; the impact of potential information technology, cybersecurity, or data security breaches; compliance with the various legal, regulatory, tax, privacy, and other laws to which we are subject, such as the Foreign Corrupt Practices Act (the “FCPA”) and similar anti-corruption and anti-bribery laws globally, and related changes, claims, inquiries, investigations, or actions; our ability to control increases in healthcare costs and any subsequent effect on demand for our products, services, or solutions; the impacts related to our increasing focus on and investment in cloud, edge, artificial intelligence (“AI”), and software offerings; the impact of potential product liability claims; ESG matters; our ability to operate effectively as an independent, publicly traded company; and our level of indebtedness, as well as our general ability to comply with covenants under our debt instruments, and any related effect on our business. Please also see the “Risk Factors” section of this Annual Report on Form 10-K filed with the United States (“U.S.”)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GE HealthCare Technologies Inc. (“GE HealthCare,” the “Company,” “our,” or “we”) is a leading global medical technology, pharmaceutical diagnostics, and digital solutions innovator. We have approximately 51,000 colleagues dedicated to our mission to create a world where healthcare has no limits. We operate at the center of the healthcare ecosystem, enabling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 We have more than 125 years of experience and one of the strongest reputations in the global healthcare industry, built from our demonstrated record of delivering industry-defining innovation. This is complemented by our broad service capabilities and dedication to quality and integrity with a strong operational culture, deeply embedded in lean continuous improvement.</w:t>
      </w:r>
    </w:p>
    <w:p>
      <w:pPr>
        <w:spacing w:after="0" w:line="7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generate revenue from the sale of medical devices, consumable products, service capabilities, and digital solutions. Precision care is expected to drive continued demand and the need for novel technologies and future innovation, as healthcare providers and researchers seek new solutions and tools for managing existing and new care pathways. The pursuit of precision care opportunities significantly expands our addressable industries to include integrated diagnostics,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care.</w:t>
      </w:r>
    </w:p>
    <w:p>
      <w:pPr>
        <w:spacing w:after="0" w:line="6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GE HealthCare has extensive reach throughout the global healthcare system for medical technology, pharmaceutical diagnostics, and digital solutions, underpinned by resilient, sustainable practices and products, and a commitment to growing access to care. We serve customers in approximately 160 countries with a global team of 9,900 sales professionals, 8,100 field service engineers, and a network of 43 manufacturing, assembly, and pharmaceutical production sites across 17 countries.</w:t>
      </w:r>
    </w:p>
    <w:p>
      <w:pPr>
        <w:spacing w:after="0" w:line="13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customers are healthcare providers and researchers, including public, private, and academic institutions. We are organized into four business segments that are aligned with the industries we serve: Imaging, Ultrasound, Patient Care Solutions (“PCS”), and Pharmaceutical Diagnostics (“PDx”). Our portfolio of solutions addresses the biggest challenges facing healthcare providers and patients today, including helping to drive better patient outcomes and improved productivity for customers. These qualities foster strong trust, loyalty, and partnership with our global customer base.</w:t>
      </w:r>
    </w:p>
    <w:p>
      <w:pPr>
        <w:spacing w:after="0" w:line="11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GE HealthCare Technologies Inc. is a Delaware corporation with corporate headquarters in Chicago, Illinois. On January 3, 2023, the General Electric Company (“GE”) completed the previously announced spin-off of GE HealthCare (the “Spin-Off”). Refer to Note 1, “Organization and Basis of Presentation” for further information regarding the Spin-Off.</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SEGMENTS</w:t>
      </w:r>
    </w:p>
    <w:p>
      <w:pPr>
        <w:spacing w:after="0" w:line="12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We develop, manufacture, and market a broad portfolio of products, services, and complementary digital solutions used in the diagnosis, treatment, and monitoring of patients. We have a large, global installed base of medical imaging, ultrasound, and patient monitoring systems.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comprised of four segments: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IMAGING.</w:t>
      </w:r>
    </w:p>
    <w:p>
      <w:pPr>
        <w:spacing w:after="0" w:line="1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GE HealthCare is a global leader in medical imaging with a comprehensive portfolio of scanning devices, clinical applications, service capabilities, and digital solutions. Our Imaging portfolio spans the care continuum and provides critical tools for physicians, from initial screening and diagnosis, through therapeutic decision-making and monitoring of patient progression. Our products support providers in the delivery of care for a broad spectrum of clinical specialties, including oncology, cardiology, neurology, nuclear medicine, orthopedics, women’s health, pediatrics, and surgery.</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Imaging portfolio is comprised of six product lines and associated service capabilities: Molecular Imaging, Computed Tomography, Magnetic Resonance, Image-Guided Therapies, Women’s Health, and X-ray. We manage our Molecular Imaging and Computed Tomography product lines together (“MI/CT”) and our Women’s Health and X-ray product lines together (“WH/XR”).</w:t>
      </w:r>
    </w:p>
    <w:p>
      <w:pPr>
        <w:spacing w:after="0" w:line="191" w:lineRule="exact"/>
        <w:rPr>
          <w:sz w:val="20"/>
          <w:szCs w:val="20"/>
          <w:color w:val="auto"/>
        </w:rPr>
      </w:pPr>
    </w:p>
    <w:p>
      <w:pPr>
        <w:ind w:left="660" w:right="22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Molecular imaging (“MI”)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We offer a complete MI solution from cyclotrons, chemistry synthesis, positron emission tomography (“PET”), computed tomography (“PET/CT”), PET/MR, and nuclear medicine to advanced digital solutions. Our Molecular Imaging team works closely with the PDx segment and their innovations and collaborations with pharmaceutical companies.</w:t>
      </w:r>
    </w:p>
    <w:p>
      <w:pPr>
        <w:spacing w:after="0" w:line="64"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Computed tomography (“CT”)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Our comprehensive Computed Tomography portfolio includes multi-purpose and specialty scanners.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ind w:left="660" w:right="2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Magnetic resonance (“MR”) is a non-invasive imaging technology that produces detailed anatomical images of almost every internal structure in the human body, such as the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Our Magnetic Resonance portfolio includes scanners for a range of clinical capabilities through different bore sizes, magnetic field strengths, and scalable platforms.</w:t>
      </w:r>
    </w:p>
    <w:p>
      <w:pPr>
        <w:spacing w:after="0" w:line="64" w:lineRule="exact"/>
        <w:rPr>
          <w:rFonts w:ascii="Arial" w:cs="Arial" w:eastAsia="Arial" w:hAnsi="Arial"/>
          <w:sz w:val="16"/>
          <w:szCs w:val="16"/>
          <w:color w:val="auto"/>
        </w:rPr>
      </w:pPr>
    </w:p>
    <w:p>
      <w:pPr>
        <w:ind w:left="660" w:right="140" w:hanging="328"/>
        <w:spacing w:after="0" w:line="25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Image-Guided Therapies business provides technologies that assist clinicians and surgeons during open surgeries and minimally-invasive endovascular procedures. Intraoperative imaging systems are used to visualize procedures that involve implants and devices, such as stents, balloons, pacemakers, and artificial joints. Our Image-Guided Therapies business includes two business lines: interventional systems and surgery systems. Our interventional systems are comprised of a broad portfolio of products that provide real-time advanced X-ray imaging and integrate with other imaging and diagnostic technologies that support clinicians in planning, guiding, and assessing minimally-invasive procedures. Our surgical systems are comprised of a broad portfolio of mobile surgical C-arms that meet the varying clinical and environmental needs for surgical imaging around the world.</w:t>
      </w:r>
    </w:p>
    <w:p>
      <w:pPr>
        <w:spacing w:after="0" w:line="81" w:lineRule="exact"/>
        <w:rPr>
          <w:rFonts w:ascii="Arial" w:cs="Arial" w:eastAsia="Arial" w:hAnsi="Arial"/>
          <w:sz w:val="16"/>
          <w:szCs w:val="16"/>
          <w:color w:val="auto"/>
        </w:rPr>
      </w:pPr>
    </w:p>
    <w:p>
      <w:pPr>
        <w:jc w:val="both"/>
        <w:ind w:left="660" w:right="40" w:hanging="328"/>
        <w:spacing w:after="0" w:line="26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w:t>
      </w:r>
    </w:p>
    <w:p>
      <w:pPr>
        <w:spacing w:after="0" w:line="76" w:lineRule="exact"/>
        <w:rPr>
          <w:rFonts w:ascii="Arial" w:cs="Arial" w:eastAsia="Arial" w:hAnsi="Arial"/>
          <w:sz w:val="16"/>
          <w:szCs w:val="16"/>
          <w:color w:val="auto"/>
        </w:rPr>
      </w:pPr>
    </w:p>
    <w:p>
      <w:pPr>
        <w:ind w:left="660" w:right="40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X-ray systems are used by clinicians to perform first-line diagnostic imaging examinations of anatomical structures in the body, such as bones, lungs, and the gastrointestinal tract. Our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We also offer a suite of software and applications that help radiology teams improve productivity, address staff shortages, and deliver better patient outcomes. These software solutions and applications are upgradable through the lifecycle of the equipment and are especially beneficial for multi-site, multi-disciplinary networks that have complex operations. We also offer Picture Archiving and Communication Systems and Radiological Information Systems to manage the storage and reporting of radiology images.</w:t>
      </w:r>
    </w:p>
    <w:p>
      <w:pPr>
        <w:spacing w:after="0" w:line="195"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In addition to our core products, digital solutions, and service offerings, we provide complementary enterprise solutions, such as education and training and data integration services. Our broad enterprise solutions used along the imaging continuum enable us to drive connectivity across healthcare systems and throughout the product lifecycle.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ULTRASOUND.</w:t>
      </w:r>
    </w:p>
    <w:p>
      <w:pPr>
        <w:spacing w:after="0" w:line="12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GE HealthCare is a global leader in ultrasound medical devices and solutions with a broad portfolio that spans the continuum of care, including screening, diagnosis, treatment, and monitoring of certain diseases. Our Ultrasound business’ focus is on designing solutions that are aligned by specialties or care areas for specific clinical workflows to better serve the unique needs of our customers and improve patient outcomes, while lowering the overall cost of care. We continue to deliver innovative ultrasound probes, consoles, and digital and AI solutions that increase diagnostic accuracy and simplify clinical and operational workflows.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Ultrasound equipment portfolio, digital and AI solutions, and associated service capabilities serve customers across five clinical areas: Radiology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Primary Care, Women’s Health, Cardiovascular, Point of Care and Handheld, and Surgical Visualization and Guidance:</w:t>
      </w:r>
    </w:p>
    <w:p>
      <w:pPr>
        <w:spacing w:after="0" w:line="232" w:lineRule="exact"/>
        <w:rPr>
          <w:sz w:val="20"/>
          <w:szCs w:val="20"/>
          <w:color w:val="auto"/>
        </w:rPr>
      </w:pPr>
    </w:p>
    <w:p>
      <w:pPr>
        <w:ind w:left="66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Radiology and Primary Care Ultrasound is comprised of systems that produce images to support precise diagnoses and treatment across the whole body, including liver, thyroid, renal, breast, vascular, and transcranial applications. Our systems combine high image quality with comprehensive clinical tools, including measurement quantification, workflow automation, cross-modality networking, portability, and cloud-based technologies.</w:t>
      </w:r>
    </w:p>
    <w:p>
      <w:pPr>
        <w:spacing w:after="0" w:line="56"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Women’s Health Ultrasound is comprised of obstetrics, gynecology, assisted reproductive medicine, and supplemental breast cancer screening. These care areas require specially-designed ultrasound products that account for patient comfort and workflow constraints to enable practitioners to provide higher-quality screening, exams, and procedural care.</w:t>
      </w:r>
    </w:p>
    <w:p>
      <w:pPr>
        <w:spacing w:after="0" w:line="69" w:lineRule="exact"/>
        <w:rPr>
          <w:rFonts w:ascii="Arial" w:cs="Arial" w:eastAsia="Arial" w:hAnsi="Arial"/>
          <w:sz w:val="16"/>
          <w:szCs w:val="16"/>
          <w:color w:val="auto"/>
        </w:rPr>
      </w:pPr>
    </w:p>
    <w:p>
      <w:pPr>
        <w:ind w:left="660" w:hanging="328"/>
        <w:spacing w:after="0" w:line="26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Cardiovascular Ultrasound is used in the diagnosis, treatment, and monitoring of patients with suspected or known heart disease. Diagnostic exams assess the structure and function of the heart. Our Ultrasound solutions are also used for guidance during interventional, electrophysiology, and surgical procedures.</w:t>
      </w:r>
    </w:p>
    <w:p>
      <w:pPr>
        <w:spacing w:after="0" w:line="76" w:lineRule="exact"/>
        <w:rPr>
          <w:rFonts w:ascii="Arial" w:cs="Arial" w:eastAsia="Arial" w:hAnsi="Arial"/>
          <w:sz w:val="16"/>
          <w:szCs w:val="16"/>
          <w:color w:val="auto"/>
        </w:rPr>
      </w:pPr>
    </w:p>
    <w:p>
      <w:pPr>
        <w:ind w:left="660" w:right="12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Point of Care and Handheld Ultrasound technologies are portable devices that produce high-quality images, whether in a hospital, ambulance, or remote geographic location. Clinicians use our Point of Care and Handheld Ultrasound devices to diagnose, monitor, and treat patients’ conditions throughout various care pathways to help improve outcomes while also reducing procedure time and required resources. Our portfolio contains consoles, laptops, and handheld devices.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5" w:name="page6"/>
    <w:bookmarkEnd w:id="5"/>
    <w:p>
      <w:pPr>
        <w:jc w:val="both"/>
        <w:ind w:left="660" w:right="180" w:hanging="328"/>
        <w:spacing w:after="0" w:line="28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suite of Surgical Visualization and Guidance products helps surgeons visualize anatomy and lesions, guide interventions, and navigate inside the human body. Intraoperative imaging expands the use of ultrasound beyond diagnostics by providing real-time information throughout surgical procedures that can be used to confirm or amend surgical plans, monitor progress, and validate the execution of a procedure.</w:t>
      </w:r>
    </w:p>
    <w:p>
      <w:pPr>
        <w:spacing w:after="0" w:line="19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Each clinical area is supported with our digital and AI Ultrasound solutions that are designed to deliver optimal, simplified, and scalable clinical and operational workflows. They are designed to increase efficiencies that support higher scan volume and billing opportunities by: providing AI-guided ultrasound to help experienced to novice clinicians acquire quality diagnostic images; eliminating keystrokes to shorten exam time; and providing clinical decision support tools. Clinicians are further supported by our broad probe portfolio which includes specialized probes for surgical intervention and transesophageal procedures. Our equipment, digital, and AI solutions are complemented by service offerings that are highly regionalized according to local requirements, varying customer needs, and cross-modality service strategies.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PATIENT CARE SOLUTIONS.</w:t>
      </w:r>
    </w:p>
    <w:p>
      <w:pPr>
        <w:spacing w:after="0" w:line="181"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The Patient Care Solutions business is a leading global provider of medical devices, consumables, services, and digital solutions that acquire and transform complex clinical data into real-time visualization and clinical decision support to ease the way to more confident patient care and improve patient outcomes. Our devices, digital solutions, and service solutions form a broad and integrated portfolio that support patient care needs and care teams within and beyond most acute healthcare environments.</w:t>
      </w:r>
    </w:p>
    <w:p>
      <w:pPr>
        <w:spacing w:after="0" w:line="200"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Our portfolio is comprised of Patient Monitoring, Anesthesia Delivery and Respiratory Care, Diagnostic Cardiology, Maternal Infant Care, and Consumables and Services connected by and differentiated with our digital solutions.</w:t>
      </w:r>
    </w:p>
    <w:p>
      <w:pPr>
        <w:spacing w:after="0" w:line="168" w:lineRule="exact"/>
        <w:rPr>
          <w:sz w:val="20"/>
          <w:szCs w:val="20"/>
          <w:color w:val="auto"/>
        </w:rPr>
      </w:pPr>
    </w:p>
    <w:p>
      <w:pPr>
        <w:ind w:left="660" w:right="60" w:hanging="328"/>
        <w:spacing w:after="0" w:line="26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flexible Patient Monitoring solutions enable clinicians to flex care based on a patient’s acuity and across all the acute care continuum. Our portfolio ranges from spot-check to continuous patient monitoring, including comprehensive multi-parameter monitors; central stations; continuous, wearable, and mobile monitors; transport monitors; cardiac telemetry solutions; spot-check monitors; and visualization, alarm distribution, and care team collaboration solutions. Our Patient Monitoring business includes proprietary parameters and complementary consumables as well as original equipment manufacturer (“OEM”) parameters that are integrated into our monitoring fleet, of which a significant portion represents recurring revenue streams.</w:t>
      </w:r>
    </w:p>
    <w:p>
      <w:pPr>
        <w:spacing w:after="0" w:line="54"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Anesthesia and Respiratory Care products offer life support solutions via ventilation technology. Products in our Anesthesia portfolio are used by anesthesiologists and nurse anesthetists to ventilate and deliver general anesthetic drugs to patients during surgeries. Our products are installed in many operating rooms, non-operating room anesthesia environments and ambulatory surgical centers across the world. Our respiratory devices are designed to ventilate critically ill patients, generally in ICUs.</w:t>
      </w:r>
    </w:p>
    <w:p>
      <w:pPr>
        <w:spacing w:after="0" w:line="51" w:lineRule="exact"/>
        <w:rPr>
          <w:rFonts w:ascii="Arial" w:cs="Arial" w:eastAsia="Arial" w:hAnsi="Arial"/>
          <w:sz w:val="16"/>
          <w:szCs w:val="16"/>
          <w:color w:val="auto"/>
        </w:rPr>
      </w:pPr>
    </w:p>
    <w:p>
      <w:pPr>
        <w:ind w:left="660" w:right="60" w:hanging="328"/>
        <w:spacing w:after="0" w:line="27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Diagnostic Cardiology, we offer electrocardiogram (“ECG” or “EKG”) solutions, that are usually the first diagnostic tool to detect cardiovascular disease, a leading cause of death across the world. We provide resting ECG devices, stress ECG devices, and ECG management digital solutions, including interpretation algorithms. Our ECG ecosystem obtains, interprets, and stores ECGs captured from devices in both hospital and home settings, supporting patients and clinicians along the continuum of care for cardiology.</w:t>
      </w:r>
    </w:p>
    <w:p>
      <w:pPr>
        <w:spacing w:after="0" w:line="46" w:lineRule="exact"/>
        <w:rPr>
          <w:rFonts w:ascii="Arial" w:cs="Arial" w:eastAsia="Arial" w:hAnsi="Arial"/>
          <w:sz w:val="16"/>
          <w:szCs w:val="16"/>
          <w:color w:val="auto"/>
        </w:rPr>
      </w:pPr>
    </w:p>
    <w:p>
      <w:pPr>
        <w:ind w:left="66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Maternal Infant Care products are used in the labor and delivery department to monitor important maternal and fetal parameters, and in neonatal intensive care to assist in critical care for newborns. Our product portfolio includes neonatal incubators, infant warmers, resuscitation devices, phototherapy equipment, maternal and fetal monitors, and digital offerings, such as maternal and fetal heart rate surveillance software. Our products have added innovation in design, including integrated scales, hands-free alarm silencing, angled radiant heating, and thermoregulation.</w:t>
      </w:r>
    </w:p>
    <w:p>
      <w:pPr>
        <w:spacing w:after="0" w:line="51" w:lineRule="exact"/>
        <w:rPr>
          <w:rFonts w:ascii="Arial" w:cs="Arial" w:eastAsia="Arial" w:hAnsi="Arial"/>
          <w:sz w:val="16"/>
          <w:szCs w:val="16"/>
          <w:color w:val="auto"/>
        </w:rPr>
      </w:pPr>
    </w:p>
    <w:p>
      <w:pPr>
        <w:ind w:left="660" w:right="8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Consumables and Services portfolio consists of approximately 1,000 consumables that are used primarily with our monitoring solutions patient parameters, such as blood pressure, ECG, pulse, temperature, respiratory rate, blood oxygen level, and brain activity, and are used throughout the hospital. Our service offerings are flexible and can range from preventative maintenance to comprehensive, onsite biomedical service engineering contracts. Both our consumables and services provide our customers with ongoing clinical impact and protect their capital investment while providing us with recurring revenue streams.</w:t>
      </w:r>
    </w:p>
    <w:p>
      <w:pPr>
        <w:spacing w:after="0" w:line="21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Patient Care Solutions portfolio also includes digital solutions that provide timely and accurate clinical decision support in acute and other care settings, simplifying clinical and operational workflows to drive efficiencies and improving delivery of precision medicine and patient outcomes. These solutions aggregate and integrate clinical data from various devices across care settings in real time and simplify visualization to guide clinical and operational decisions, enabling efficient care team collaboration, virtually. These solutions are interoperable and vendor-agnostic to integrate with customer environments in a multi-vendor setting and provide a recurring revenue stream.</w:t>
      </w:r>
    </w:p>
    <w:p>
      <w:pPr>
        <w:spacing w:after="0" w:line="2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broad product and digital solution portfolio is complemented by a comprehensive suite of service offerings, including parts, labor, and training, as well as emerging data, analytics, and networking solutions to aid our customers in improving uptime and efficiency of their medical technology fleets.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PHARMACEUTICAL DIAGNOSTICS.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GE HealthCare is a leading supplier of diagnostic agents to the global radiology and nuclear medicine industry. These diagnostic agents help clinicians assess patients to enable more precise diagnoses and better therapy selection. We distribute products globally, providing on-time delivery of quality products that help meet patient and procedural needs across a multitude of modalities. PDx’s diagnostic agents are complementary to the imaging and ultrasound devices we offer, including CT, angiography and X-ray, MR, single-photon emission computed tomography (“SPECT”) and PET, and are also compatible with systems from other equipment vendors.</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PDx operates within a strictly regulated industry with unique operational needs.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even cause exam cancellations.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PDx business is comprised of two business lines: Contrast Media and Molecular Imaging.</w:t>
      </w:r>
    </w:p>
    <w:p>
      <w:pPr>
        <w:spacing w:after="0" w:line="248" w:lineRule="exact"/>
        <w:rPr>
          <w:sz w:val="20"/>
          <w:szCs w:val="20"/>
          <w:color w:val="auto"/>
        </w:rPr>
      </w:pPr>
    </w:p>
    <w:p>
      <w:pPr>
        <w:ind w:left="660" w:right="20" w:hanging="328"/>
        <w:spacing w:after="0" w:line="26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Contrast media are pharmaceuticals that are administered to a patient prior to certain diagnostic scans in order to increase the visibility of tissues or structures during imaging exams. Contrast media increase the diagnostic value of imaging and can be critical in the visualization of small or nuanced areas of diagnostic interest, such as cancer lesions or vascular structures, and to plan medical interventions, such as angioplasties, biopsies, or radiation therapy. We offer contrast media to three imaging modality groups: (1) CT, angiography, and X-ray, (2) MR, and (3) Ultrasound. Our Contrast Media business also includes contrast injection devices that are automated devices used to monitor and control the injection of contrast into patients, providing valuable productivity benefits in the imaging suite. We offer contrast injectors through collaborations with third-party original equipment manufacturers.</w:t>
      </w:r>
    </w:p>
    <w:p>
      <w:pPr>
        <w:spacing w:after="0" w:line="65" w:lineRule="exact"/>
        <w:rPr>
          <w:rFonts w:ascii="Arial" w:cs="Arial" w:eastAsia="Arial" w:hAnsi="Arial"/>
          <w:sz w:val="16"/>
          <w:szCs w:val="16"/>
          <w:color w:val="auto"/>
        </w:rPr>
      </w:pPr>
    </w:p>
    <w:p>
      <w:pPr>
        <w:ind w:left="660" w:right="120" w:hanging="328"/>
        <w:spacing w:after="0" w:line="26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Molecular imaging agents, or radiopharmaceuticals, are molecular tracers labeled with radioisotopes that are injected into a patient prior to a diagnostic imaging scan. These agents work by accumulating in an area of diagnostic interest, such as a tumor, and emitting energy that is detected by a SPECT or PET scanner. Because they have specific molecular targets, they allow visualization and assessment of cell function, providing a more detailed dimension of biological activity. Our radiopharmaceuticals support diagnosis and therapy selection in various care areas, such as neurology, cardiology, and oncology, and are also used by pharmaceutical companies and researchers in selecting target populations for clinical trials.</w:t>
      </w:r>
    </w:p>
    <w:p>
      <w:pPr>
        <w:spacing w:after="0" w:line="203"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Our strong portfolio of diagnostic agents and advanced global supply chain, combined with our imaging, cyclotron, and advanced visualization software, positions our Company to grow in existing markets as well as emerging adjacencies.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62"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Our business strategy includes the acquisition of technologies and businesses that expand or complement our existing business. Refer to Note 8, “Acquisitions, Goodwill, and Other Intangible Assets” for information about our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ACTIVITIES</w:t>
      </w:r>
    </w:p>
    <w:p>
      <w:pPr>
        <w:spacing w:after="0" w:line="26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research and development (“R&amp;D”) efforts focus on creating new products and solutions, developing new applications for products, and enhancing our existing products to help improve outcomes for customers and their patients. We employ approximately 10,300 engineers and scientists worldwide, including hardware, systems, and software engineers and personnel focused on clinical research. We engage in and sponsor clinical research and product development through collaborations with universities, medical centers, and other organizations. We occasionally enter into agreements with third parties related to collaboration on R&amp;D activities associated with the development of new or innovative products. See Note 18, “Supplemental Financial Information”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have a substantial portfolio of IP. We rely on a combination of patent, design, utility model, trademark, copyright, trade secret and regulatory exclusivity period protections, as well as confidentiality agreements to protect our IP. Our IP team collaborates with our R&amp;D and product teams to develop product-line-focused IP strategies and secure IP rights as appropriate. We generally file patent applications in the United States and foreign countries that have strong technology patent protections. We also license from third parties a variety of IP that complements our internal R&amp;D efforts and our product offerings. While, in aggregate, our patents and other IP are vital to our operations, we do not consider any single IP asset or group of assets to be of material importance to any segment or to the business as a whole; rather, we believe understanding our customers’ needs, technology expertise, and manufacturing know-how are critical for our business.</w:t>
      </w:r>
    </w:p>
    <w:p>
      <w:pPr>
        <w:spacing w:after="0" w:line="203" w:lineRule="exact"/>
        <w:rPr>
          <w:sz w:val="20"/>
          <w:szCs w:val="20"/>
          <w:color w:val="auto"/>
        </w:rPr>
      </w:pPr>
    </w:p>
    <w:p>
      <w:pPr>
        <w:jc w:val="both"/>
        <w:ind w:right="240"/>
        <w:spacing w:after="0" w:line="284" w:lineRule="auto"/>
        <w:rPr>
          <w:sz w:val="20"/>
          <w:szCs w:val="20"/>
          <w:color w:val="auto"/>
        </w:rPr>
      </w:pPr>
      <w:r>
        <w:rPr>
          <w:rFonts w:ascii="Arial" w:cs="Arial" w:eastAsia="Arial" w:hAnsi="Arial"/>
          <w:sz w:val="16"/>
          <w:szCs w:val="16"/>
          <w:color w:val="auto"/>
        </w:rPr>
        <w:t>We rely on confidentiality agreements with colleagues, contractors, consultants, and third parties to help protect our trade secrets, proprietary technology, and other confidential information. We also monitor development and commercialization activities of third parties so our IP rights are not infringed upon. In addition, we make infrastructure investments to secure our IP assets and conduct audits to assess the effectiveness of our IP protection program.</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 w:name="page8"/>
    <w:bookmarkEnd w:id="7"/>
    <w:p>
      <w:pPr>
        <w:spacing w:after="0" w:line="304" w:lineRule="auto"/>
        <w:rPr>
          <w:sz w:val="20"/>
          <w:szCs w:val="20"/>
          <w:color w:val="auto"/>
        </w:rPr>
      </w:pPr>
      <w:r>
        <w:rPr>
          <w:rFonts w:ascii="Arial" w:cs="Arial" w:eastAsia="Arial" w:hAnsi="Arial"/>
          <w:sz w:val="16"/>
          <w:szCs w:val="16"/>
          <w:color w:val="auto"/>
        </w:rPr>
        <w:t>We believe that invention leads to value for our customers and stakeholders, and that a culture of innovation across GE HealthCare is a core element of our business.</w:t>
      </w:r>
    </w:p>
    <w:p>
      <w:pPr>
        <w:spacing w:after="0" w:line="1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part of the Spin-Off from GE, we secured IP specific to our business, and GE granted us a license to use other IP required for our business of which GE retained ownership. We also entered into a long-term trademark license with GE that enables GE HealthCare to continue building upon our brand.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COMPETITORS</w:t>
      </w:r>
    </w:p>
    <w:p>
      <w:pPr>
        <w:spacing w:after="0" w:line="2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global medical technology industry is highly competitive and comprised of global and regional participants of all sizes that can vary by product line. Because of the diversity of our products and offerings, we face a wide variety of competitors, including a broad range of manufacturers, third-party distributors, and service providers. In the industries we serve, we believe our primary global competitors include Siemens Healthineers, Philips Healthcare, Canon, Mindray, and United Imaging, among others. In our PDx business segment, we primarily compete with Bayer, Bracco, Guerbet, Lantheus, and Curium.</w:t>
      </w:r>
    </w:p>
    <w:p>
      <w:pPr>
        <w:spacing w:after="0" w:line="19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While key competitive factors and trends vary among our segments, these typically include value, quality and performance, safety, delivery speed, service and support, technology and innovation, software offering, and brand reputation. For a further discussion of risks related to competition, please refer to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are a purpose-driven global workforce of approximately 51,000 colleagues with a significant average tenure reflecting a strong, engaged culture. Our colleagues are committed to serving our customers and enabling them to provide the highest quality patient care. Our values emphasize safety for patients, customers, and colleagues; servant leadership with unyielding integrity; and fostering an inclusive culture and diverse team with a mission to deliver precision care innovation. We monitor our human capital priorities throughout the year, including as a part of our monthly business operating reviews. Our senior leadership is a diverse and global team of industry veterans with the skills and expertise required to lead a large, publicly listed medical technology, pharmaceutical diagnostics, and digital solutions company. We embrace a diverse workplace where every voice makes a difference and every difference builds a healthier world.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Below are our human capital priorities:</w:t>
      </w:r>
    </w:p>
    <w:p>
      <w:pPr>
        <w:spacing w:after="0" w:line="113" w:lineRule="exact"/>
        <w:rPr>
          <w:sz w:val="20"/>
          <w:szCs w:val="20"/>
          <w:color w:val="auto"/>
        </w:rPr>
      </w:pPr>
    </w:p>
    <w:p>
      <w:pPr>
        <w:ind w:left="660" w:right="300" w:hanging="328"/>
        <w:spacing w:after="0" w:line="26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Protect the health and safety of our workforce</w:t>
      </w:r>
      <w:r>
        <w:rPr>
          <w:rFonts w:ascii="Arial" w:cs="Arial" w:eastAsia="Arial" w:hAnsi="Arial"/>
          <w:sz w:val="16"/>
          <w:szCs w:val="16"/>
          <w:color w:val="auto"/>
        </w:rPr>
        <w:t>: Safety is integrated into everything we do, from manufacturing to installation, operation,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We are committed to prioritizing safety over delivery and cost. We have established and maintain health and safety standard protocols across our businesses that are designed to align with regulatory requirements, industry practices, and company values. Our efforts extend to promoting the mental and emotional health and wellness of our workforce.</w:t>
      </w:r>
    </w:p>
    <w:p>
      <w:pPr>
        <w:spacing w:after="0" w:line="213"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Transform our culture</w:t>
      </w:r>
      <w:r>
        <w:rPr>
          <w:rFonts w:ascii="Arial" w:cs="Arial" w:eastAsia="Arial" w:hAnsi="Arial"/>
          <w:sz w:val="16"/>
          <w:szCs w:val="16"/>
          <w:color w:val="auto"/>
        </w:rPr>
        <w:t>: Our senior management team is leading our company through a transformational period having completed the Spin-Off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2023 and now executing on our next phase of growth. We have aligned the organization around Cultural Operating Principles, which represent a shared understanding of how we expect colleagues to work with each other and interact with stakeholders to enable our growth strategy, deliver on our purpose, and create value for our colleagues, customers, patients, shareholders, and communities. These Cultural Operating Principles are:</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Serve our people, patients, and customers;</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Lead with a lean mindset;</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Empower entrepreneurial spirit;</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Deliver the future of healthcare; and</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Win together and have fun.</w:t>
      </w:r>
    </w:p>
    <w:p>
      <w:pPr>
        <w:spacing w:after="0" w:line="261"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Attract, develop, and cultivate our talent</w:t>
      </w:r>
      <w:r>
        <w:rPr>
          <w:rFonts w:ascii="Arial" w:cs="Arial" w:eastAsia="Arial" w:hAnsi="Arial"/>
          <w:sz w:val="16"/>
          <w:szCs w:val="16"/>
          <w:color w:val="auto"/>
        </w:rPr>
        <w:t>: GE HealthCare’s approach to talent management is to cultivate strong individual and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 key pillar of our talent strategy is senior management-led annual organization and talent reviews focused on critical roles, succession plans, and talent development. Learning and the professional development of our colleagues continue to be foundational priorities for the organization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8" w:name="page9"/>
    <w:bookmarkEnd w:id="8"/>
    <w:p>
      <w:pPr>
        <w:ind w:left="660" w:right="4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motivate, and reward our talent: </w:t>
      </w:r>
      <w:r>
        <w:rPr>
          <w:rFonts w:ascii="Arial" w:cs="Arial" w:eastAsia="Arial" w:hAnsi="Arial"/>
          <w:sz w:val="16"/>
          <w:szCs w:val="16"/>
          <w:color w:val="auto"/>
        </w:rPr>
        <w:t>GE HealthCare’s approach to total rewards is underpinned by a philosophy designed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that attract, retain, and motivate our people to fulfill our purpose to create a world where healthcare has no limits. Our philosophy is further supported by four principles that guide the total rewards we provide, which are:</w:t>
      </w:r>
    </w:p>
    <w:p>
      <w:pPr>
        <w:spacing w:after="0" w:line="56"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Business-focused and differentiated by performance;</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Ownership-oriented;</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Competitive, motivating, and fair; and</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Simple and transparent.</w:t>
      </w:r>
    </w:p>
    <w:p>
      <w:pPr>
        <w:spacing w:after="0" w:line="261"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Promote inclusion and diversity across the enterprise</w:t>
      </w:r>
      <w:r>
        <w:rPr>
          <w:rFonts w:ascii="Arial" w:cs="Arial" w:eastAsia="Arial" w:hAnsi="Arial"/>
          <w:sz w:val="16"/>
          <w:szCs w:val="16"/>
          <w:color w:val="auto"/>
        </w:rPr>
        <w:t>: We believe in the value of each person’s unique identity, background, and experiences.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committed to fostering an inclusive culture in which all colleagues feel empowered to do their best work because they feel accepted, respected, and a sense of belonging.</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have approximately 16,700 colleagues in the United States and approximately 7,300 colleagues in China, our next largest geography. We have approximately 1,000 union-represented manufacturing colleagues in the United States, approximately 700 of whom are covered by four-year collective bargaining agreements that were ratified in 2023 and expire in June 2027. GE HealthCare’s relationship with employee-representative organizations outside the United States takes many forms, including in Europe where GE HealthCare engages the representative bodies for colleagues, such as works councils and trade unions, in accordance with local law. We strive to unlock the ambition of all our people so they can innovate, grow, and reach their full potential. Our well-established colleague development strategy allows us to attract and retain innovative leaders, which is instrumental to our long-term success.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w:t>
      </w:r>
    </w:p>
    <w:p>
      <w:pPr>
        <w:spacing w:after="0" w:line="26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GE HealthCare is committed to delivering products and solutions that build a healthier and more sustainable world for this and future generations. We have an ESG program and governance structure that is aligned with our business strategy, the priorities of our stakeholders, our goals and ambitions, and our need to adapt to changes in societal, environmental, and regulatory expectations.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Board of Directors oversees management’s establishment and execution of corporate strategy, along with our ESG program and activities. Our Enterprise Stewardship Program Committee, a committee of our management team, works in partnership with all segments, regions, and functions to support GE HealthCare’s ongoing goals in connection with environmental stewardship, corporate social responsibility, human capital, governance, and sustainability. It proactively identifies, assesses, and responds to risks and opportunities that could impact the company’s business and operations, and has begun implementing GE HealthCare’s ESG strategy, including priorities, initiatives, goals, and disclosures, while maintaining transparent and open communication with stakeholders.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have five focus areas that build upon our long-standing commitments to innovation, product quality, and integrity. They are:</w:t>
      </w:r>
    </w:p>
    <w:p>
      <w:pPr>
        <w:spacing w:after="0" w:line="10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Expanding access to healthcare;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Promoting inclusion and diversity across the enterprise;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Mitigating our climate impact and improving resiliency;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Advancing the circular economy and environmental design;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Protecting patient data and cybersecurity</w:t>
      </w:r>
    </w:p>
    <w:p>
      <w:pPr>
        <w:spacing w:after="0" w:line="26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More information on our ESG program can be found in our annual Sustainability Report available on our website (which is not incorporated by reference herein).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DISTRIBUTION MODEL</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 HealthCare deploys a global multi-channel commercial model consisting of approximately 9,900 sales professionals and a network of approximately 5,000 indirect third-party partners. Our reach into top hospitals and health systems is evidenced by our long-standing collaborations with leading institutions around the world. Our commercial model is organized according to the needs of our customers and includes global and regional marketing, regional inside sales teams, field-based sales teams, and sales agents and distributors. Our equipment sales representatives partner closely with their service sales counterparts to position both equipment contracts and long-term maintenance agreements along with system upgrades and software as a service (“SaaS”) agreements. We complement our direct and indirect sales channels with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that bring the depth and breadth of our overall portfolio to the senior leadership of our top customers to deliver long-term commercial collaborations, which can be tied to specific outcomes.</w:t>
      </w:r>
    </w:p>
    <w:p>
      <w:pPr>
        <w:sectPr>
          <w:pgSz w:w="11900" w:h="16838" w:orient="portrait"/>
          <w:cols w:equalWidth="0" w:num="1">
            <w:col w:w="11200"/>
          </w:cols>
          <w:pgMar w:left="320" w:top="109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GLOBAL INTEGRATED SUPPLY CHAIN, SOURCING, AND LOGISTICS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sourcing, production, and distribution network is managed globally while our products are manufactured at and distributed by facilities serving specific regions. We believe our global scale, complemented by local focus, allows us to provide our customers with improved supply chain security, reduced costs, and compliance with regional or national trade and marketing requirements. We have manufacturing, assembly, and pharmaceutical production in 43 facilities across 17 countries. We use globally managed and coordinated quality assurance programs across our manufacturing and distribution facilities, and we regularly inspect and audit our sites. We hold our suppliers to the same rigorous operating standards.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6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development, manufacturing, marketing, sale, promotion, and distribution of medical devices and pharmaceutical products are subject to stringent government regulation globally. We commit extensive resources to maintain compliance with these regulations.</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U.S., European Union (“EU”), and China are our most significant regions based on revenue and the regulatory landscape within these regions. Sales of medical devices and pharmaceuticals outside of these regions are subject to requirements that vary from country to country. Our ability to market and sell our products globally depends upon our compliance with the laws and regulations in each jurisdiction. This requires, among other things, receiving specific marketing authorization from the appropriate regulatory authorities, and maintaining our Quality Management System, which is compliant with the applicable local regulatory requirements, and ISO 13485 certification that is recognized by many regulators. Complying with requirements imposed on our products and business is an ongoing process as we introduce additional products and/or product modifications and seek to comply with changing legal and regulatory requirements. The time required to obtain authorization to market and sell products varies by country. The ability to comply with global post-market requirements requires extensive and ongoing resources.</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International Medical Device Regulators Forum, which includes a number of country regulators, has implemented a global approach to auditing medical device manufacturers. The Medical Device Single Audit Program (“MDSAP”) provides for a single annual audit of a medical device manufacturer by a MDSAP-recognized auditing organization to satisfy the requirements of ISO 13485 and the regulatory requirements of the authorities that participate in MDSAP (currently the U.S., Canada, Australia, Brazil, and Japan). While the U.S. Food and Drug Administration (“FDA”) accepts MDSAP audit reports as a substitute for routine agency inspections, it considers the following types of inspections to fall outside the scope of MDSAP: for-cause or compliance follow-up inspections; pre-approval or post-approval inspections; and inspections to assess compliance with Electronic Product and Radiation Control regulations, which apply to Molecular Imaging, X-ray, Women’s Health, Interventional, and Surgery products.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 OF AMERICA.</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Food and Drug Law</w:t>
      </w:r>
    </w:p>
    <w:p>
      <w:pPr>
        <w:spacing w:after="0" w:line="2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Under the Food, Drug, and Cosmetic Act (“FDCA”), we must comply with regulations governing the design, development, testing, manufacturing, packaging, labeling, distribution, import/export, sale, servicing, and marketing of medical products, including medical devices and pharmaceuticals. U.S. FDA product approvals and clearances may be withdrawn or suspended if compliance with regulations is not maintained or if product issues are discovered. Some of our products are also subject to the Radiation Control for Health and Safety Act and the Electronic Product and Radiation Control Regulations, administered by the FDA, which imposes performance standards, record keeping, reporting, product testing, and product labeling requirements on radiation-emitting electronic products, such as X-ray devices. We must also comply with the Mammography Quality Standards Act for our mammography products. Further, clinical studies of medical devices and pharmaceuticals are subject to regulation and inspection. In addition, we are subject to applicable laws and regulations of state and local authorities.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Devices</w:t>
      </w:r>
    </w:p>
    <w:p>
      <w:pPr>
        <w:spacing w:after="0" w:line="29"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FDCA classifies medical devices into three classes based on risk, including Class I (lowest risk), Class II (moderate risk), and Class III (highest risk), with more stringent regulatory requirements applicable to higher-risk devices. Commercial sales of our Class II (except for Class II exempt devices) and Class III medical devices in the U.S. must be preceded by either a pre-market notification filing pursuant to Section 510(k) of the FDCA for Class II or the granting of a premarket approval for Class III. The development of a medical device typically requires extensive non-clinical testing and, for some of our devices, clinical testing involving human subjects.</w:t>
      </w:r>
    </w:p>
    <w:p>
      <w:pPr>
        <w:spacing w:after="0" w:line="22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For all our medical devices, we must comply with the FDA’s requirements governing, among other things, device site registration and listing, labeling, post-market record keeping and reporting, and the Quality System Regulation. These requirements are detailed, comprehensive, and require extensive investment and resources to comply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color w:val="auto"/>
        </w:rPr>
        <w:t>Pharmaceutical Products</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pharmaceutical products are subject to the FDA’s pre-market approval process. The pharmaceutical product development and approval process typically begins with extensive pre-clinical R&amp;D, followed by approval of an Investigational New Drug (“IND”), and then, upon successful completion of several phases of clinical trials, the filing and request for FDA approval of a New Drug Application. We also are subject to the FDA’s requirements, including drug establishment registration and listing, labeling and advertising, and current Good Manufacturing Practice (“cGMP”) regulations, which set forth minimum requirements for the methods, facilities, and controls used in manufacturing, processing, and packing pharmaceutical products. Post-approval, we must maintain and submit to the FDA reports of product quality defects and adverse events. The FDA’s generic drug program requires filing of an Abbreviated New Drug Application for a generic drug application that does not include preclinical or clinical data to establish safety and effectiveness, but must demonstrate equivalency to the innovator drug.</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EUROPEAN UNION.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Devices</w:t>
      </w:r>
    </w:p>
    <w:p>
      <w:pPr>
        <w:spacing w:after="0" w:line="1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There is no pre-market approval of medical devices in the EU. All new medical devices placed on the market or put into service in the EU must be compliant with and meet the requirements of the Medical Device Regulation, which was implemented on May 26, 2021. Devices that conform to these requirements can be affixed with a CE marking and commercialized throughout the European Economic Area (“EEA”) and in Switzerland. Prior to affixing a CE marking, manufacturers must demonstrate that their products comply with minimum standards of performance, safety, and quality, through a conformity assessment procedure that depends on the product’s classification. The classification of a medical device is determined by its intended purpose. Devices are classified from lowest to highest, as either Class I, IIa, IIb, or III. Classification is dependent on a variety of factors, including duration of use, whether the device is invasive or non-invasive, and whether the device is considered “active.” The competent authorities of the EU countries are responsible for regulating clinical investigations of medical devices and post-market surveillance of devices once they are placed on the market.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Pharmaceutical Products</w:t>
      </w:r>
    </w:p>
    <w:p>
      <w:pPr>
        <w:spacing w:after="0" w:line="2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pharmaceutical products are regulated by the European Medicines Agency (“EMA”), or the national competent authorities of the EU/EEA countries where our products are marketed. The EMA, acting through the Committee for Medicinal Products for Human Use (“CHMP”), is responsible for the scientific evaluation of pharmaceutical products developed by pharmaceutical companies for use in the EU and submitted for assessment through the EU centralized procedure. If the CHMP concludes that all requirements for quality, safety, and efficacy are met, it issues a positive opinion that the EMA forwards to the European Commission, which takes the final decision on the granting of a marketing authorization.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CHINA.</w:t>
      </w:r>
    </w:p>
    <w:p>
      <w:pPr>
        <w:spacing w:after="0" w:line="262"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We must comply with medical device and pharmaceutical product laws and regulations and standards governing the design, development, testing, manufacturing, packaging, labeling, distribution, import/export, sale, servicing, and advertising and promotion of our products in China. The chief pharmaceutical product and medical device regulator is the National Medical Products Administration (“NMPA”), which enforces these laws and has the power to issue fines, seize products, withdraw or suspend an approval or a registration for serious non-compliances, and refer cases for criminal prosecution. These national laws and regulations are also supplemented by provincial and other local-level rules and enforcement policies.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Devices</w:t>
      </w:r>
    </w:p>
    <w:p>
      <w:pPr>
        <w:spacing w:after="0" w:line="29"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Medical devices are strictly regulated by the NMPA and various provincial, city, and county regulators and are classified into three risk-based classes from lowest to highest, Class I, II, and III. Approved products are subject to post-market requirements for reporting adverse events and recalls, as well as regular risk assessments of devices and potentially re-evaluation reports of the safety and effectiveness of the device based on more significant safety signals.</w:t>
      </w:r>
    </w:p>
    <w:p>
      <w:pPr>
        <w:spacing w:after="0" w:line="19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addition to product licenses, manufacturing and distribution facilities that handle Class II and III devices require licenses or notifications and must comply with cGMP requirements and good supply practices. The NMPA regularly conducts inspections of manufacturing facilities in China (as part of a pre-market submission review, routine or for-cause inspections, or unannounced inspections) as well as periodic inspections of overseas manufacturers for compliance with China medical device cGMP requirements. The NMPA inspects distributors and user facilities and conducts annual national and provincial sampling inspections and testing to ensure compliance with labeling, licensing, mandatory standards, and other related requirements. In addition, the NMPA conducts regular and for-cause good clinical practice audits of clinical sites that provide data and clinical trial reports for product registration.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Pharmaceutical Products</w:t>
      </w:r>
    </w:p>
    <w:p>
      <w:pPr>
        <w:spacing w:after="0" w:line="2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Our pharmaceutical products are strictly regulated by the NMPA and various provincial, city, and county regulators. Significant changes were recently made to the China Drug Administration Law with more to follow regarding new regulatory requirements and technical guidelines. All our pharmaceutical products require pre-market approval from the NMPA before they can be marketed in China, and those marketing applications must be supported by clinical data, which typically comes from a multi-phase study in China or by relying on clinical data generated abroad that meets the NMPA’s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DATA PRIVACY LAWS.</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Due to our extensive global footprint and handling of personal data as both a data controller (on our own behalf) and data processor (on behalf of third parties, primarily customers), we are also subject to an extensive collection of global laws and regulations protecting the privacy, security and integrity of the personal data, sensitive personal data, and patient health information that we create, receive, use, and maintain as a business.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Among the most relevant and material to our business, based on the volume and sensitivity of the data at issue, are: the U.S. Health Insurance Portability and Accountability Act of 1996, as amended by the Health Information and Technology for Economic and Clinical Health Act (collectively “HIPAA”); the EU General Data Protection Regulation (Regulation (EU) 2016/679) (“GDPR”), similar U.K. legislation resulting from the European Union (Withdrawal) Act of 2018 (“U.K. GDPR”), and other EU country-level laws; the Lei Geral de Proteção de Dados Pessoias (“Brazil LGPD”); and the various laws and accompanying regulations in China governing data privacy and cybersecurity (e.g., the Cybersecurity Law of the People’s Republic of China, Personal Information Protection Law (“China PIPL”)). In addition, there are also various U.S. state-level laws (e.g., the California Consumer Privacy Act), country regional laws, and proposed legislation that we monitor for applicability and impact to our business. These laws present a continuing challenge to businesses to structure their data collection, storage, use, and cross-border transmission in a compliant manner.</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Many of these laws impose a significant compliance burden on organizations within their scope, and failure to comply can result in a variety of sanctions, including administrative fines for the most serious compliance failures up to 4-5% of a company’s total annual revenue of the preceding fiscal year (e.g., GDPR, U.K. GDPR, China PIPL). While there have been some recent enforcement actions by EU country-level data protection authorities resulting in substantial fines pursuant to GDPR, there remains uncertainty as to how data protection authorities throughout the rest of the globe will choose to interpret and enforce violations of applicable privacy and cybersecurity laws and regulations (e.g., Brazil LGPD, China PIPL). Furthermore, these laws and regulations are continuously evolving, and further clarification in the form of implementing rules, guidelines, and related guidance from the data protection authorities is necessary to paint a full picture of the compliance obligations imposed on businesses within their scope.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ADVERTISING, MARKETING, AND PROMOTION.</w:t>
      </w: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advertising, marketing, and promotion of our products must be truthful and non-misleading, consistent with our regulatory clearances and approvals, and supported by adequate and reasonable scientific data. We may not promote or advertise our products for uses not within the scope of our intended use statement in our regulatory clearances or approvals or make unsupported safety and effectiveness claims. With limited exceptions, we may not market, promote, or sell regulated products prior to health authority clearance or approval. For our pharmaceutical products, health authorities regulate labeling and advertising. For our device products, health authorities regulate the labeling and, for certain devices, advertising in coordination with other enforcement agencies. A failure to comply with these regulations could expose the Company to legal liability, such as enforcement actions, investigations by a governmental authority, civil fines or criminal actions, lawsuits brought by competitors or company whistleblowers, or other actions. We must also comply with advertising, marketing, and promotion rules in all countries in which we market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HEALTHCARE COMPLIANCE.</w:t>
      </w:r>
    </w:p>
    <w:p>
      <w:pPr>
        <w:spacing w:after="0" w:line="26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marketing, promotion, and sale of medical devices, drugs, and services are regulated by the U.S. Department of Health and Human Services and comparable U.S. state and non-U.S. agencies responsible for reimbursement and regulation of the delivery of healthcare items and services, representing government’s interest in regulating the quality and cost of healthcare. Similar regulations are imposed in many global markets in which we do business. Industry trade associations (such as Advanced Medical Technology Association (“AdvaMed”) and MedTech) increasingly provide guidance on, and compliance with, applicable laws and regulations.</w:t>
      </w:r>
    </w:p>
    <w:p>
      <w:pPr>
        <w:spacing w:after="0" w:line="21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U.S. federal healthcare laws apply when we or our customers submit claims for items or services that are reimbursed under Medicare, Medicaid, or other federally funded healthcare programs, including laws related to kickbacks, false claims, self-referrals, and healthcare fraud and abuse. Similar state false claims, anti-kickback, anti-self-referral, and insurance laws also apply to state-funded Medicaid and other healthcare programs and private third-party payers. Any failure to comply with these laws and regulations could subject us or our officers and colleagues to criminal and civil financial penalties and expose us to civil liability and risk of further enforcement action under the U.S. Anti-Kickback Statute (“AKS”), the False Claims Act (“FCA”), or other healthcare fraud and abuse laws. In addition, as a manufacturer of U.S. FDA-cleared and -approved devices and drugs reimbursable by federal healthcare programs, we are subject to the U.S. federal Physician Payments Sunshine Act (the “Sunshine Act”), which requires us to annually track and report to the federal government certain payments and other transfers of value we make to U.S.-licensed physicians and other healthcare professionals or U.S. teaching hospitals.</w:t>
      </w:r>
    </w:p>
    <w:p>
      <w:pPr>
        <w:spacing w:after="0" w:line="200" w:lineRule="exact"/>
        <w:rPr>
          <w:sz w:val="20"/>
          <w:szCs w:val="20"/>
          <w:color w:val="auto"/>
        </w:rPr>
      </w:pPr>
    </w:p>
    <w:p>
      <w:pPr>
        <w:spacing w:after="0" w:line="20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U.S. Foreign Corrupt Practices Act, the U.K. Bribery Act of 2010, and similar anti-corruption and anti-bribery laws in other jurisdictions generally prohibit companies from making corrupt payments to or otherwise engaging in bribery of government officials. These laws apply to many of our customer interactions, as healthcare professionals in other countries are often considered government officials, and in some cases lay out requirements of how to operationalize compliance with the legal requirements. Failure to comply with these laws may expose us to criminal and civil enforcement actions, monetary fines and penalties, and reputational harm.</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names, ages, and positions of our executive officers as of the date of this Annual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80" w:type="dxa"/>
            <w:vAlign w:val="bottom"/>
            <w:tcBorders>
              <w:bottom w:val="single" w:sz="8" w:color="6400A0"/>
            </w:tcBorders>
          </w:tcPr>
          <w:p>
            <w:pPr>
              <w:ind w:left="1780"/>
              <w:spacing w:after="0"/>
              <w:rPr>
                <w:sz w:val="20"/>
                <w:szCs w:val="20"/>
                <w:color w:val="auto"/>
              </w:rPr>
            </w:pPr>
            <w:r>
              <w:rPr>
                <w:rFonts w:ascii="Arial" w:cs="Arial" w:eastAsia="Arial" w:hAnsi="Arial"/>
                <w:sz w:val="16"/>
                <w:szCs w:val="16"/>
                <w:b w:val="1"/>
                <w:bCs w:val="1"/>
                <w:color w:val="454545"/>
              </w:rPr>
              <w:t>Name</w:t>
            </w:r>
          </w:p>
        </w:tc>
        <w:tc>
          <w:tcPr>
            <w:tcW w:w="2420" w:type="dxa"/>
            <w:vAlign w:val="bottom"/>
            <w:tcBorders>
              <w:bottom w:val="single" w:sz="8" w:color="6400A0"/>
            </w:tcBorders>
          </w:tcPr>
          <w:p>
            <w:pPr>
              <w:jc w:val="center"/>
              <w:ind w:left="699"/>
              <w:spacing w:after="0"/>
              <w:rPr>
                <w:sz w:val="20"/>
                <w:szCs w:val="20"/>
                <w:color w:val="auto"/>
              </w:rPr>
            </w:pPr>
            <w:r>
              <w:rPr>
                <w:rFonts w:ascii="Arial" w:cs="Arial" w:eastAsia="Arial" w:hAnsi="Arial"/>
                <w:sz w:val="16"/>
                <w:szCs w:val="16"/>
                <w:b w:val="1"/>
                <w:bCs w:val="1"/>
                <w:color w:val="454545"/>
              </w:rPr>
              <w:t>Age</w:t>
            </w:r>
          </w:p>
        </w:tc>
        <w:tc>
          <w:tcPr>
            <w:tcW w:w="5140" w:type="dxa"/>
            <w:vAlign w:val="bottom"/>
            <w:tcBorders>
              <w:bottom w:val="single" w:sz="8" w:color="6400A0"/>
            </w:tcBorders>
          </w:tcPr>
          <w:p>
            <w:pPr>
              <w:ind w:left="2480"/>
              <w:spacing w:after="0"/>
              <w:rPr>
                <w:sz w:val="20"/>
                <w:szCs w:val="20"/>
                <w:color w:val="auto"/>
              </w:rPr>
            </w:pPr>
            <w:r>
              <w:rPr>
                <w:rFonts w:ascii="Arial" w:cs="Arial" w:eastAsia="Arial" w:hAnsi="Arial"/>
                <w:sz w:val="16"/>
                <w:szCs w:val="16"/>
                <w:b w:val="1"/>
                <w:bCs w:val="1"/>
                <w:color w:val="454545"/>
              </w:rPr>
              <w:t>Position</w:t>
            </w:r>
          </w:p>
        </w:tc>
      </w:tr>
      <w:tr>
        <w:trPr>
          <w:trHeight w:val="227"/>
        </w:trPr>
        <w:tc>
          <w:tcPr>
            <w:tcW w:w="3680" w:type="dxa"/>
            <w:vAlign w:val="bottom"/>
            <w:shd w:val="clear" w:color="auto" w:fill="E4E4E4"/>
          </w:tcPr>
          <w:p>
            <w:pPr>
              <w:ind w:left="20"/>
              <w:spacing w:after="0"/>
              <w:rPr>
                <w:sz w:val="20"/>
                <w:szCs w:val="20"/>
                <w:color w:val="auto"/>
              </w:rPr>
            </w:pPr>
            <w:r>
              <w:rPr>
                <w:rFonts w:ascii="Arial" w:cs="Arial" w:eastAsia="Arial" w:hAnsi="Arial"/>
                <w:sz w:val="16"/>
                <w:szCs w:val="16"/>
                <w:color w:val="auto"/>
              </w:rPr>
              <w:t>Peter J. Arduini</w:t>
            </w:r>
          </w:p>
        </w:tc>
        <w:tc>
          <w:tcPr>
            <w:tcW w:w="242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59</w:t>
            </w:r>
          </w:p>
        </w:tc>
        <w:tc>
          <w:tcPr>
            <w:tcW w:w="5140" w:type="dxa"/>
            <w:vAlign w:val="bottom"/>
            <w:shd w:val="clear" w:color="auto" w:fill="E4E4E4"/>
          </w:tcPr>
          <w:p>
            <w:pPr>
              <w:ind w:left="680"/>
              <w:spacing w:after="0"/>
              <w:rPr>
                <w:sz w:val="20"/>
                <w:szCs w:val="20"/>
                <w:color w:val="auto"/>
              </w:rPr>
            </w:pPr>
            <w:r>
              <w:rPr>
                <w:rFonts w:ascii="Arial" w:cs="Arial" w:eastAsia="Arial" w:hAnsi="Arial"/>
                <w:sz w:val="16"/>
                <w:szCs w:val="16"/>
                <w:color w:val="auto"/>
              </w:rPr>
              <w:t>President, Chief Executive Officer, and Director</w:t>
            </w: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James K. Saccaro</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51</w:t>
            </w:r>
          </w:p>
        </w:tc>
        <w:tc>
          <w:tcPr>
            <w:tcW w:w="5140" w:type="dxa"/>
            <w:vAlign w:val="bottom"/>
          </w:tcPr>
          <w:p>
            <w:pPr>
              <w:ind w:left="680"/>
              <w:spacing w:after="0"/>
              <w:rPr>
                <w:sz w:val="20"/>
                <w:szCs w:val="20"/>
                <w:color w:val="auto"/>
              </w:rPr>
            </w:pPr>
            <w:r>
              <w:rPr>
                <w:rFonts w:ascii="Arial" w:cs="Arial" w:eastAsia="Arial" w:hAnsi="Arial"/>
                <w:sz w:val="16"/>
                <w:szCs w:val="16"/>
                <w:color w:val="auto"/>
              </w:rPr>
              <w:t>Vice President and Chief Financial Officer</w:t>
            </w:r>
          </w:p>
        </w:tc>
      </w:tr>
      <w:tr>
        <w:trPr>
          <w:trHeight w:val="28"/>
        </w:trPr>
        <w:tc>
          <w:tcPr>
            <w:tcW w:w="3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29"/>
        </w:trPr>
        <w:tc>
          <w:tcPr>
            <w:tcW w:w="3680" w:type="dxa"/>
            <w:vAlign w:val="bottom"/>
            <w:shd w:val="clear" w:color="auto" w:fill="E4E4E4"/>
          </w:tcPr>
          <w:p>
            <w:pPr>
              <w:ind w:left="20"/>
              <w:spacing w:after="0"/>
              <w:rPr>
                <w:sz w:val="20"/>
                <w:szCs w:val="20"/>
                <w:color w:val="auto"/>
              </w:rPr>
            </w:pPr>
            <w:r>
              <w:rPr>
                <w:rFonts w:ascii="Arial" w:cs="Arial" w:eastAsia="Arial" w:hAnsi="Arial"/>
                <w:sz w:val="16"/>
                <w:szCs w:val="16"/>
                <w:color w:val="auto"/>
              </w:rPr>
              <w:t>Frank R. Jimenez</w:t>
            </w:r>
          </w:p>
        </w:tc>
        <w:tc>
          <w:tcPr>
            <w:tcW w:w="242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59</w:t>
            </w:r>
          </w:p>
        </w:tc>
        <w:tc>
          <w:tcPr>
            <w:tcW w:w="5140" w:type="dxa"/>
            <w:vAlign w:val="bottom"/>
            <w:shd w:val="clear" w:color="auto" w:fill="E4E4E4"/>
          </w:tcPr>
          <w:p>
            <w:pPr>
              <w:ind w:left="680"/>
              <w:spacing w:after="0"/>
              <w:rPr>
                <w:sz w:val="20"/>
                <w:szCs w:val="20"/>
                <w:color w:val="auto"/>
              </w:rPr>
            </w:pPr>
            <w:r>
              <w:rPr>
                <w:rFonts w:ascii="Arial" w:cs="Arial" w:eastAsia="Arial" w:hAnsi="Arial"/>
                <w:sz w:val="16"/>
                <w:szCs w:val="16"/>
                <w:color w:val="auto"/>
              </w:rPr>
              <w:t>General Counsel and Corporate Secretary</w:t>
            </w: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Taha Kass-Hout</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52</w:t>
            </w:r>
          </w:p>
        </w:tc>
        <w:tc>
          <w:tcPr>
            <w:tcW w:w="5140" w:type="dxa"/>
            <w:vAlign w:val="bottom"/>
          </w:tcPr>
          <w:p>
            <w:pPr>
              <w:ind w:left="680"/>
              <w:spacing w:after="0"/>
              <w:rPr>
                <w:sz w:val="20"/>
                <w:szCs w:val="20"/>
                <w:color w:val="auto"/>
              </w:rPr>
            </w:pPr>
            <w:r>
              <w:rPr>
                <w:rFonts w:ascii="Arial" w:cs="Arial" w:eastAsia="Arial" w:hAnsi="Arial"/>
                <w:sz w:val="16"/>
                <w:szCs w:val="16"/>
                <w:color w:val="auto"/>
              </w:rPr>
              <w:t>Chief Science and Technology Officer</w:t>
            </w:r>
          </w:p>
        </w:tc>
      </w:tr>
      <w:tr>
        <w:trPr>
          <w:trHeight w:val="28"/>
        </w:trPr>
        <w:tc>
          <w:tcPr>
            <w:tcW w:w="3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29"/>
        </w:trPr>
        <w:tc>
          <w:tcPr>
            <w:tcW w:w="3680" w:type="dxa"/>
            <w:vAlign w:val="bottom"/>
            <w:shd w:val="clear" w:color="auto" w:fill="E4E4E4"/>
          </w:tcPr>
          <w:p>
            <w:pPr>
              <w:ind w:left="20"/>
              <w:spacing w:after="0"/>
              <w:rPr>
                <w:sz w:val="20"/>
                <w:szCs w:val="20"/>
                <w:color w:val="auto"/>
              </w:rPr>
            </w:pPr>
            <w:r>
              <w:rPr>
                <w:rFonts w:ascii="Arial" w:cs="Arial" w:eastAsia="Arial" w:hAnsi="Arial"/>
                <w:sz w:val="16"/>
                <w:szCs w:val="16"/>
                <w:color w:val="auto"/>
              </w:rPr>
              <w:t>Betty D. Larson</w:t>
            </w:r>
          </w:p>
        </w:tc>
        <w:tc>
          <w:tcPr>
            <w:tcW w:w="242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48</w:t>
            </w:r>
          </w:p>
        </w:tc>
        <w:tc>
          <w:tcPr>
            <w:tcW w:w="5140" w:type="dxa"/>
            <w:vAlign w:val="bottom"/>
            <w:shd w:val="clear" w:color="auto" w:fill="E4E4E4"/>
          </w:tcPr>
          <w:p>
            <w:pPr>
              <w:ind w:left="680"/>
              <w:spacing w:after="0"/>
              <w:rPr>
                <w:sz w:val="20"/>
                <w:szCs w:val="20"/>
                <w:color w:val="auto"/>
              </w:rPr>
            </w:pPr>
            <w:r>
              <w:rPr>
                <w:rFonts w:ascii="Arial" w:cs="Arial" w:eastAsia="Arial" w:hAnsi="Arial"/>
                <w:sz w:val="16"/>
                <w:szCs w:val="16"/>
                <w:color w:val="auto"/>
              </w:rPr>
              <w:t>Chief People Officer</w:t>
            </w:r>
          </w:p>
        </w:tc>
      </w:tr>
      <w:tr>
        <w:trPr>
          <w:trHeight w:val="222"/>
        </w:trPr>
        <w:tc>
          <w:tcPr>
            <w:tcW w:w="3680" w:type="dxa"/>
            <w:vAlign w:val="bottom"/>
          </w:tcPr>
          <w:p>
            <w:pPr>
              <w:ind w:left="20"/>
              <w:spacing w:after="0"/>
              <w:rPr>
                <w:sz w:val="20"/>
                <w:szCs w:val="20"/>
                <w:color w:val="auto"/>
              </w:rPr>
            </w:pPr>
            <w:r>
              <w:rPr>
                <w:rFonts w:ascii="Arial" w:cs="Arial" w:eastAsia="Arial" w:hAnsi="Arial"/>
                <w:sz w:val="16"/>
                <w:szCs w:val="16"/>
                <w:color w:val="auto"/>
              </w:rPr>
              <w:t>Jan Makela</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55</w:t>
            </w:r>
          </w:p>
        </w:tc>
        <w:tc>
          <w:tcPr>
            <w:tcW w:w="5140" w:type="dxa"/>
            <w:vAlign w:val="bottom"/>
          </w:tcPr>
          <w:p>
            <w:pPr>
              <w:ind w:left="680"/>
              <w:spacing w:after="0"/>
              <w:rPr>
                <w:sz w:val="20"/>
                <w:szCs w:val="20"/>
                <w:color w:val="auto"/>
              </w:rPr>
            </w:pPr>
            <w:r>
              <w:rPr>
                <w:rFonts w:ascii="Arial" w:cs="Arial" w:eastAsia="Arial" w:hAnsi="Arial"/>
                <w:sz w:val="16"/>
                <w:szCs w:val="16"/>
                <w:color w:val="auto"/>
              </w:rPr>
              <w:t>CEO, Imaging</w:t>
            </w:r>
          </w:p>
        </w:tc>
      </w:tr>
      <w:tr>
        <w:trPr>
          <w:trHeight w:val="237"/>
        </w:trPr>
        <w:tc>
          <w:tcPr>
            <w:tcW w:w="3680" w:type="dxa"/>
            <w:vAlign w:val="bottom"/>
            <w:shd w:val="clear" w:color="auto" w:fill="E4E4E4"/>
          </w:tcPr>
          <w:p>
            <w:pPr>
              <w:ind w:left="20"/>
              <w:spacing w:after="0"/>
              <w:rPr>
                <w:sz w:val="20"/>
                <w:szCs w:val="20"/>
                <w:color w:val="auto"/>
              </w:rPr>
            </w:pPr>
            <w:r>
              <w:rPr>
                <w:rFonts w:ascii="Arial" w:cs="Arial" w:eastAsia="Arial" w:hAnsi="Arial"/>
                <w:sz w:val="16"/>
                <w:szCs w:val="16"/>
                <w:color w:val="auto"/>
              </w:rPr>
              <w:t>Kevin M. O’Neill</w:t>
            </w:r>
          </w:p>
        </w:tc>
        <w:tc>
          <w:tcPr>
            <w:tcW w:w="242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55</w:t>
            </w:r>
          </w:p>
        </w:tc>
        <w:tc>
          <w:tcPr>
            <w:tcW w:w="5140" w:type="dxa"/>
            <w:vAlign w:val="bottom"/>
            <w:shd w:val="clear" w:color="auto" w:fill="E4E4E4"/>
          </w:tcPr>
          <w:p>
            <w:pPr>
              <w:ind w:left="680"/>
              <w:spacing w:after="0"/>
              <w:rPr>
                <w:sz w:val="20"/>
                <w:szCs w:val="20"/>
                <w:color w:val="auto"/>
              </w:rPr>
            </w:pPr>
            <w:r>
              <w:rPr>
                <w:rFonts w:ascii="Arial" w:cs="Arial" w:eastAsia="Arial" w:hAnsi="Arial"/>
                <w:sz w:val="16"/>
                <w:szCs w:val="16"/>
                <w:color w:val="auto"/>
              </w:rPr>
              <w:t>CEO, Pharmaceutical Diagnostics</w:t>
            </w:r>
          </w:p>
        </w:tc>
      </w:tr>
      <w:tr>
        <w:trPr>
          <w:trHeight w:val="222"/>
        </w:trPr>
        <w:tc>
          <w:tcPr>
            <w:tcW w:w="3680" w:type="dxa"/>
            <w:vAlign w:val="bottom"/>
          </w:tcPr>
          <w:p>
            <w:pPr>
              <w:ind w:left="20"/>
              <w:spacing w:after="0"/>
              <w:rPr>
                <w:sz w:val="20"/>
                <w:szCs w:val="20"/>
                <w:color w:val="auto"/>
              </w:rPr>
            </w:pPr>
            <w:r>
              <w:rPr>
                <w:rFonts w:ascii="Arial" w:cs="Arial" w:eastAsia="Arial" w:hAnsi="Arial"/>
                <w:sz w:val="16"/>
                <w:szCs w:val="16"/>
                <w:color w:val="auto"/>
              </w:rPr>
              <w:t>Roland Rott</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52</w:t>
            </w:r>
          </w:p>
        </w:tc>
        <w:tc>
          <w:tcPr>
            <w:tcW w:w="5140" w:type="dxa"/>
            <w:vAlign w:val="bottom"/>
          </w:tcPr>
          <w:p>
            <w:pPr>
              <w:ind w:left="680"/>
              <w:spacing w:after="0"/>
              <w:rPr>
                <w:sz w:val="20"/>
                <w:szCs w:val="20"/>
                <w:color w:val="auto"/>
              </w:rPr>
            </w:pPr>
            <w:r>
              <w:rPr>
                <w:rFonts w:ascii="Arial" w:cs="Arial" w:eastAsia="Arial" w:hAnsi="Arial"/>
                <w:sz w:val="16"/>
                <w:szCs w:val="16"/>
                <w:color w:val="auto"/>
              </w:rPr>
              <w:t>CEO, Ultrasound</w:t>
            </w:r>
          </w:p>
        </w:tc>
      </w:tr>
      <w:tr>
        <w:trPr>
          <w:trHeight w:val="237"/>
        </w:trPr>
        <w:tc>
          <w:tcPr>
            <w:tcW w:w="3680" w:type="dxa"/>
            <w:vAlign w:val="bottom"/>
            <w:shd w:val="clear" w:color="auto" w:fill="E4E4E4"/>
          </w:tcPr>
          <w:p>
            <w:pPr>
              <w:ind w:left="20"/>
              <w:spacing w:after="0"/>
              <w:rPr>
                <w:sz w:val="20"/>
                <w:szCs w:val="20"/>
                <w:color w:val="auto"/>
              </w:rPr>
            </w:pPr>
            <w:r>
              <w:rPr>
                <w:rFonts w:ascii="Arial" w:cs="Arial" w:eastAsia="Arial" w:hAnsi="Arial"/>
                <w:sz w:val="16"/>
                <w:szCs w:val="16"/>
                <w:color w:val="auto"/>
              </w:rPr>
              <w:t>Kenneth Stacherski</w:t>
            </w:r>
          </w:p>
        </w:tc>
        <w:tc>
          <w:tcPr>
            <w:tcW w:w="242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53</w:t>
            </w:r>
          </w:p>
        </w:tc>
        <w:tc>
          <w:tcPr>
            <w:tcW w:w="5140" w:type="dxa"/>
            <w:vAlign w:val="bottom"/>
            <w:shd w:val="clear" w:color="auto" w:fill="E4E4E4"/>
          </w:tcPr>
          <w:p>
            <w:pPr>
              <w:ind w:left="680"/>
              <w:spacing w:after="0"/>
              <w:rPr>
                <w:sz w:val="20"/>
                <w:szCs w:val="20"/>
                <w:color w:val="auto"/>
              </w:rPr>
            </w:pPr>
            <w:r>
              <w:rPr>
                <w:rFonts w:ascii="Arial" w:cs="Arial" w:eastAsia="Arial" w:hAnsi="Arial"/>
                <w:sz w:val="16"/>
                <w:szCs w:val="16"/>
                <w:color w:val="auto"/>
              </w:rPr>
              <w:t>Chief Global Supply Chain and Service Officer</w:t>
            </w: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Thomas J. Westrick</w:t>
            </w:r>
          </w:p>
        </w:tc>
        <w:tc>
          <w:tcPr>
            <w:tcW w:w="24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55</w:t>
            </w:r>
          </w:p>
        </w:tc>
        <w:tc>
          <w:tcPr>
            <w:tcW w:w="5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CEO, Patient Care Solutions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brief biographies describing the backgrounds of our executive officers.</w:t>
      </w:r>
    </w:p>
    <w:p>
      <w:pPr>
        <w:spacing w:after="0" w:line="248"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i w:val="1"/>
          <w:iCs w:val="1"/>
          <w:color w:val="auto"/>
        </w:rPr>
        <w:t>Peter J. Arduini</w:t>
      </w:r>
      <w:r>
        <w:rPr>
          <w:rFonts w:ascii="Arial" w:cs="Arial" w:eastAsia="Arial" w:hAnsi="Arial"/>
          <w:sz w:val="16"/>
          <w:szCs w:val="16"/>
          <w:color w:val="auto"/>
        </w:rPr>
        <w:t>. Mr. Arduini was appointed as our President and Chief Executive Officer in connection with our Spin-Off from GE. He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GE’s healthcare business from January 2022 until the Spin-Off. Previously, Mr. Arduini was the President and Chief Executive Officer of Integra LifeSciences (“Integra”), a global medical technologies and solutions company, from January 2012 to December 2021. During his tenure as CEO, the Integra portfolio evolved significantly to a faster growing and more profitable company through multiple acquisitions and a sustainable research and development pipeline. Prior to Integra, Mr. Arduini worked at Baxter Healthcare as President of its Medication Delivery division. Before Baxter Healthcare, he spent 15 years at GE’s healthcare business in a variety of leadership roles in the United States and globally, including leading the Computed Tomography and Molecular Imaging business, Healthcare Services and U.S. sales. Mr. Arduini serves on the boards of the Bristol-Myers Squibb Company (NYSE: BMY), where he serves on the compensation and management development committee and the science and technology committee; AdvaMed, where he serves as Chairman of the board; and the National Italian American Foundation.</w:t>
      </w:r>
    </w:p>
    <w:p>
      <w:pPr>
        <w:spacing w:after="0" w:line="14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b w:val="1"/>
          <w:bCs w:val="1"/>
          <w:i w:val="1"/>
          <w:iCs w:val="1"/>
          <w:color w:val="auto"/>
        </w:rPr>
        <w:t>James K. Saccaro</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Saccaro has served as our Vice President and Chief Financial Officer since June 2023. Previously, Mr. Saccaro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Baxter International Inc. (NYSE: BAX) (“Baxter”), a multinational healthcare company, starting in 2015. He held a variety of positions of increasing responsibility at Baxter from 2002 through 2013, including Vice President of Financial Planning and Analysis; Vice President of Finance for Baxter’s operations in Europe, the Middle East, and Africa; Vice President of Strategy; and Corporate Vice President and Treasurer. Mr. Saccaro served as Senior Vice President and Chief Financial Officer of Hill-Rom Holdings, Inc. from 2013 to 2014 prior to rejoining Baxter as Special Assistant to the CEO in 2014. Prior to Baxter, he held strategy and business development positions at Clear Channel Communications and The Walt Disney Company.</w:t>
      </w:r>
    </w:p>
    <w:p>
      <w:pPr>
        <w:spacing w:after="0" w:line="14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b w:val="1"/>
          <w:bCs w:val="1"/>
          <w:i w:val="1"/>
          <w:iCs w:val="1"/>
          <w:color w:val="auto"/>
        </w:rPr>
        <w:t>Frank R. Jimenez</w:t>
      </w:r>
      <w:r>
        <w:rPr>
          <w:rFonts w:ascii="Arial" w:cs="Arial" w:eastAsia="Arial" w:hAnsi="Arial"/>
          <w:sz w:val="16"/>
          <w:szCs w:val="16"/>
          <w:color w:val="auto"/>
        </w:rPr>
        <w:t>. Mr. Jimenez has served as our General Counsel and Corporate Secretary since our Spin-Off from GE. He served as the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of GE’s healthcare business from February 2022 until the Spin-Off. Previously, Mr. Jimenez served as Vice President, General Counsel and Corporate Secretary of Raytheon Company (and, following Raytheon’s April 2020 merger with United Technologies Corporation, Executive Vice President and General Counsel of Raytheon Technologies Corporation), an aerospace and defense company, from January 2015 to December 2021, as well as Special Advisor to the Chairman and CEO of Raytheon Technologies Corporation from December 2021 to February 2022. In prior corporate positions, Mr. Jimenez served as General Counsel of Bunge Limited, ITT Corporation, and ITT spin-off Xylem Inc. In prior public service positions, Mr. Jimenez served as General Counsel of the Navy, Deputy General Counsel of the U.S. Department of Defense, Principal Deputy General Counsel of the Navy, Chief of Staff at the U.S. Department of Housing and Urban Development, and Deputy Chief of Staff and Acting General Counsel for former Florida Governor Jeb Bush. He was previously a litigation partner at Steel Hector &amp; Davis LLP (now Squire Patton Boggs LLP). Mr. Jimenez serves on the boards of Huntington Ingalls Industries (NYSE: HII) (where he serves on the compensation committee and the governance and policy committee), Equal Justice Works, and the Yale Law School Fund, and on the advisory boards of the Columbia University Mailman School of Public Health, the Yale Law School Center for the Study of Corporate Law, the Yale Law School Tsai Leadership Program, and the National Security Institute of the Antonin Scalia Law School at George Mason University, as well as serving on the University of Miami President’s Council.</w:t>
      </w:r>
    </w:p>
    <w:p>
      <w:pPr>
        <w:spacing w:after="0" w:line="15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b w:val="1"/>
          <w:bCs w:val="1"/>
          <w:i w:val="1"/>
          <w:iCs w:val="1"/>
          <w:color w:val="auto"/>
        </w:rPr>
        <w:t>Taha Kass-Hout</w:t>
      </w:r>
      <w:r>
        <w:rPr>
          <w:rFonts w:ascii="Arial" w:cs="Arial" w:eastAsia="Arial" w:hAnsi="Arial"/>
          <w:sz w:val="16"/>
          <w:szCs w:val="16"/>
          <w:color w:val="auto"/>
        </w:rPr>
        <w:t>. Dr. Kass-Hout, MD, MS has served as GE HealthCare’s Chief Science and Technology Officer since January 2023, where he leads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Science and Technology organization, as well as efforts to drive growth through clinical research and the advancement of digital and machine learning capabilities. Prior to his role with GE HealthCare, Dr. Kass-Hout served as Vice President of Machine Learning, Distinguished Engineer and Chief Medical Officer at Amazon from May 2017 to January 2023, where he led the company’s cloud health AI strategy, products, and services, and was a key contributor to Amazon health initiatives, including pharmacy and diagnostics. In 2020, he led teams at Amazon responsible for developing the science, technology, and scale for Amazon’s COVID-19 lab, including Amazon’s first FDA authorization for testing its associates globally – later offered to the public for at-home testing. Dr. Kass-Hout also served as the FDA’s first Chief Health Informatics Officer from 2013 to 2016, leading the U.S. President’s precision medicine initiative, precisionFDA.</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3" w:name="page14"/>
    <w:bookmarkEnd w:id="13"/>
    <w:p>
      <w:pPr>
        <w:spacing w:after="0" w:line="249" w:lineRule="auto"/>
        <w:rPr>
          <w:sz w:val="20"/>
          <w:szCs w:val="20"/>
          <w:color w:val="auto"/>
        </w:rPr>
      </w:pPr>
      <w:r>
        <w:rPr>
          <w:rFonts w:ascii="Arial" w:cs="Arial" w:eastAsia="Arial" w:hAnsi="Arial"/>
          <w:sz w:val="16"/>
          <w:szCs w:val="16"/>
          <w:b w:val="1"/>
          <w:bCs w:val="1"/>
          <w:i w:val="1"/>
          <w:iCs w:val="1"/>
          <w:color w:val="auto"/>
        </w:rPr>
        <w:t>Betty D. Larson</w:t>
      </w:r>
      <w:r>
        <w:rPr>
          <w:rFonts w:ascii="Arial" w:cs="Arial" w:eastAsia="Arial" w:hAnsi="Arial"/>
          <w:sz w:val="16"/>
          <w:szCs w:val="16"/>
          <w:color w:val="auto"/>
        </w:rPr>
        <w:t>. Ms. Larson has served as the Chief People Officer of GE HealthCare since the Spin-Off. She served as the Chief People Officer of 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business from February 2022 until the Spin-Off. Previously, she was EVP and Chief Human Resources Officer at Becton, Dickinson and Company (“BD”), a global medical technology company, responsible for HR, Communications and Social Investing from June 2018 to February 2022. Prior to that role, Ms. Larson served starting in September 2014 as Chief Human Resources Officer for C.R. Bard, Inc., a leading medical technology company in the fields of vascular, urology, and surgical specialty products, which was acquired by BD in 2017. She started her career at Baxter International, where she held a variety of leadership roles during her 16-year tenure. Ms. Larson currently serves on the Board of Directors of Fortrea Holdings Inc. (where she serves on the nominating, corporate governance and compliance committee and the management development and compensation committee) and Baxter Credit Union. She previously served on the Board of Directors of the Overlook Hospital Foundation, Summit Speech School, and the United Way of Lake County.</w:t>
      </w:r>
    </w:p>
    <w:p>
      <w:pPr>
        <w:spacing w:after="0" w:line="214"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b w:val="1"/>
          <w:bCs w:val="1"/>
          <w:i w:val="1"/>
          <w:iCs w:val="1"/>
          <w:color w:val="auto"/>
        </w:rPr>
        <w:t>Jan Makela</w:t>
      </w:r>
      <w:r>
        <w:rPr>
          <w:rFonts w:ascii="Arial" w:cs="Arial" w:eastAsia="Arial" w:hAnsi="Arial"/>
          <w:sz w:val="16"/>
          <w:szCs w:val="16"/>
          <w:color w:val="auto"/>
        </w:rPr>
        <w:t>. Mr. Makela has served as our Chief Executive Officer, Imaging since the Spin-Off. He served as Chief Executive Officer, Imaging of 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business from February 2020 until the Spin-Off. Mr. Makela previously served as President and CEO, Global Services of GE’s healthcare business from December 2017 to February 2020, where he oversaw the global development and execution of service solutions and operations. From 2013 to 2017, Mr. Makela worked in the Life Sciences division of GE’s healthcare business as the General Manager, initially as General Manager of the Core Imaging business, now called PDx, and from 2015 as General Manager of the BioProcess business. From 2010 to 2013, he served as Chief Operations Officer for the European region. Mr. Makela joined GE Corporate in 2000 and moved to GE’s healthcare business in 2007 to lead the Diagnostic Imaging Services division across Northern Europe. Mr. Makela began his career in engineering and production management with M&amp;M/Mars Inc., followed by leadership roles at A.T. Kearney management consultants before joining GE.</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b w:val="1"/>
          <w:bCs w:val="1"/>
          <w:i w:val="1"/>
          <w:iCs w:val="1"/>
          <w:color w:val="auto"/>
        </w:rPr>
        <w:t>Kevin M. O’Neill</w:t>
      </w:r>
      <w:r>
        <w:rPr>
          <w:rFonts w:ascii="Arial" w:cs="Arial" w:eastAsia="Arial" w:hAnsi="Arial"/>
          <w:sz w:val="16"/>
          <w:szCs w:val="16"/>
          <w:color w:val="auto"/>
        </w:rPr>
        <w:t>. Mr. O’Neill has served as our Chief Executive Officer, Pharmaceutical Diagnostics since the Spin-Off. He served as as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Pharmaceutical Diagnostics of GE’s healthcare business from July 2017 until the Spin-Off. Mr. O’Neill has also served as President and CEO, GE Ireland and U.K., since 2018. Prior to that, he was the Chief Financial Officer of the Life Sciences division of GE’s healthcare business starting in August 2013. Mr. O’Neill has over 20 years of experience with GE, beginning in the Energy services business in the U.K. and U.S. This was followed by a series of CFO roles in GE’s healthcare business, including in the Life Sciences, Supply Chain, Western Europe, and the PDx business. Prior to joining GE, Mr. O’Neill was Financial Controller for Eurostar, the European high-speed train operator.</w:t>
      </w:r>
    </w:p>
    <w:p>
      <w:pPr>
        <w:spacing w:after="0" w:line="21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b w:val="1"/>
          <w:bCs w:val="1"/>
          <w:i w:val="1"/>
          <w:iCs w:val="1"/>
          <w:color w:val="auto"/>
        </w:rPr>
        <w:t>Roland Rott</w:t>
      </w:r>
      <w:r>
        <w:rPr>
          <w:rFonts w:ascii="Arial" w:cs="Arial" w:eastAsia="Arial" w:hAnsi="Arial"/>
          <w:sz w:val="16"/>
          <w:szCs w:val="16"/>
          <w:color w:val="auto"/>
        </w:rPr>
        <w:t>. Mr. Rott has served as our Chief Executive Officer, Ultrasound since the Spin-Off. He served as Chief Executive Officer, Ultrasound of 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business from April 2021 until the Spin-Off. Mr. Rott joined GE’s healthcare business in 2011 and has held several leadership roles including in the global Women’s Health Ultrasound and Ultrasound IT segments as well as Maternal Infant Care. Before joining GE, Mr. Rott was Managing Director, Europe, the Middle East, and Africa and Asia Pacific, and Executive Board Member of the then Euronext listed ERP Software group Exact Holding, Netherlands. In his early career, he had an entrepreneurial start, founding and successfully exiting two software companies in Austria.</w:t>
      </w:r>
    </w:p>
    <w:p>
      <w:pPr>
        <w:spacing w:after="0" w:line="218"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b w:val="1"/>
          <w:bCs w:val="1"/>
          <w:i w:val="1"/>
          <w:iCs w:val="1"/>
          <w:color w:val="auto"/>
        </w:rPr>
        <w:t>Kenneth Stacherski</w:t>
      </w:r>
      <w:r>
        <w:rPr>
          <w:rFonts w:ascii="Arial" w:cs="Arial" w:eastAsia="Arial" w:hAnsi="Arial"/>
          <w:sz w:val="16"/>
          <w:szCs w:val="16"/>
          <w:color w:val="auto"/>
        </w:rPr>
        <w:t>. Mr. Stacherski has served as the Chief Global Supply Chain and Service Officer of GE HealthCare since the Spin-Off.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Chief Global Supply Chain and Service Officer of GE’s healthcare business from October 2022 until the Spin-Off. Previously, from July 2021 to October 2022 he served as the Chief Operations Officer of Array Technologies, a solar tracking company, where he led the company’s global integrated supply chain strategy including procurement, manufacturing, operations, logistics, planning, quality and business systems. Before joining Array Technologies, Mr.</w:t>
      </w:r>
    </w:p>
    <w:p>
      <w:pPr>
        <w:ind w:right="120"/>
        <w:spacing w:after="0" w:line="257" w:lineRule="auto"/>
        <w:rPr>
          <w:sz w:val="20"/>
          <w:szCs w:val="20"/>
          <w:color w:val="auto"/>
        </w:rPr>
      </w:pPr>
      <w:r>
        <w:rPr>
          <w:rFonts w:ascii="Arial" w:cs="Arial" w:eastAsia="Arial" w:hAnsi="Arial"/>
          <w:sz w:val="16"/>
          <w:szCs w:val="16"/>
          <w:color w:val="auto"/>
        </w:rPr>
        <w:t>Stacherski served for over ten years in various leadership roles with Honeywell, a diversified technology and manufacturing company, including Vice President of Integrated Supply Chain from October 2019 to June 2021; Vice President of Enterprise Digital Transformation from November 2018 to October 2019; Vice President of Portfolio Transformation from October 2017 to October 2018; Vice President and General Manager of Honeywell UOP from April 2016 to October 2017; Vice President of Procurement, Logistics, and Trade Compliance from May 2013 to April 2016; and Global Director of Integrated Supply Chain from June 2011 to May 2013. Prior to Honeywell, he acted as President and Chief Operating Officer of Composite Technologies Corporation and spent 13 years at Ford Motor Company.</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Thomas J. Westrick</w:t>
      </w:r>
      <w:r>
        <w:rPr>
          <w:rFonts w:ascii="Arial" w:cs="Arial" w:eastAsia="Arial" w:hAnsi="Arial"/>
          <w:sz w:val="16"/>
          <w:szCs w:val="16"/>
          <w:color w:val="auto"/>
        </w:rPr>
        <w:t>. Mr. Westrick has served as our Chief Executive Officer, Patient Care Solutions since the Spin-Off. He served as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Patient Care Solutions of GE’s healthcare business from September 2020 until the Spin-Off. Previously, he led the Global Quality, Medical, Regulatory Affairs and Global Research organization for GE’s healthcare business from January 2016 to September 2020. Mr. Westrick joined GE’s healthcare business in 2003 as Global Controller and Chief Accounting Officer. He was also named Chief Risk Officer in 2010 and was responsible for leading a comprehensive enterprise risk management program. Prior to joining GE’s healthcare business, Mr. Westrick spent 13 years in public accounting with Arthur Andersen LLP and Deloitte &amp; Touche LLP in the audit and consulting practice serving a variety of complex global companies. He currently serves on the Dean’s Advisory Board for the Wisconsin School of Business.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ETHICS AND GOVERNANCE</w:t>
      </w:r>
    </w:p>
    <w:p>
      <w:pPr>
        <w:spacing w:after="0" w:line="2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have adopted The Spirit &amp; The Letter (GE HealthCare’s code of conduct), which qualifies as a code of ethics under Item 406 of Regulation S-K. The code applies to all of our directors, officers, and employees, including our principal executive officer, principal financial officer, principal accounting officer or controller, and persons performing similar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4" w:name="page15"/>
    <w:bookmarkEnd w:id="14"/>
    <w:p>
      <w:pPr>
        <w:ind w:right="160"/>
        <w:spacing w:after="0" w:line="275" w:lineRule="auto"/>
        <w:rPr>
          <w:sz w:val="20"/>
          <w:szCs w:val="20"/>
          <w:color w:val="auto"/>
        </w:rPr>
      </w:pPr>
      <w:r>
        <w:rPr>
          <w:rFonts w:ascii="Arial" w:cs="Arial" w:eastAsia="Arial" w:hAnsi="Arial"/>
          <w:sz w:val="16"/>
          <w:szCs w:val="16"/>
          <w:color w:val="auto"/>
        </w:rPr>
        <w:t>Our code of ethics is available free of charge on our website, gehealthcare.com, and will be provided free of charge to any shareholder submitting a written request to: Corporate Secretary, GE HealthCare Technologies Inc., 500 W. Monroe Street, Chicago, IL 60661. We will disclose any waiver we grant to an executive officer or director under our code of ethics, or certain amendments to the code of ethics, on our website.</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 addition, we have adopted Governance Principles and charters for each of the three standing committees of our Board of Directors (the “Board”). All of these materials are available on our web site, gehealthcare.com, and will be provided free of charge to any shareholder requesting a copy by writing to: Corporate Secretary, GE HealthCare Technologies Inc., 500 W. Monroe Street, Chicago, IL 60661.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GE HEALTHCARE</w:t>
      </w:r>
    </w:p>
    <w:p>
      <w:pPr>
        <w:spacing w:after="0" w:line="2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 HealthCare’s Internet address is gehealthcare.com, and our Investor Relations website is investor.gehealthcare.com. Our Annual Report on Form 10-K, Quarterly Reports on Form 10-Q, Current Reports on Form 8-K, and amendments to those reports filed or furnished pursuant to Section 13(a) or 15(d) of the Securities Exchange Act of 1934, as amended (the “Exchange Act”), are available, without charge, on our website, as soon as reasonably practicable after they are filed electronically with the SEC. Reports filed with the SEC may be viewed at sec.gov. The information on our website is not, and shall not be deemed to be, a part of this Annual Report on Form 10-K or incorporated into any other filings we make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An investment in our company is subject to a number of risks. These risks relate to our business, the healthcare industry, data privacy, laws and regulations, financing and capital markets activities, our Spin-Off from GE, our common stock, and the securities market. Any of these risks and other risks could materially and adversely affect our business, results of operations, cash flows, and financial condition and the actual outcome of matters as to which forward-looking statements are made in this Annual Report on Form 10-K. Some of the more significant challenges and risks we face include the following:</w:t>
      </w:r>
    </w:p>
    <w:p>
      <w:pPr>
        <w:spacing w:after="0" w:line="213" w:lineRule="exact"/>
        <w:rPr>
          <w:sz w:val="20"/>
          <w:szCs w:val="20"/>
          <w:color w:val="auto"/>
        </w:rPr>
      </w:pPr>
    </w:p>
    <w:p>
      <w:pPr>
        <w:ind w:left="660" w:right="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operate in highly competitive markets, competition may increase in the future, and our industry may be disrupted, requiring us to lower prices or resulting in a loss of market share.</w:t>
      </w:r>
    </w:p>
    <w:p>
      <w:pPr>
        <w:spacing w:after="0" w:line="182"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dealings involve third-party partners in various markets, and the actions or inactions of these third parties could adversely affect our business.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inability to successfully complete strategic transactions could adversely affect our business.</w:t>
      </w:r>
    </w:p>
    <w:p>
      <w:pPr>
        <w:spacing w:after="0" w:line="261" w:lineRule="exact"/>
        <w:rPr>
          <w:rFonts w:ascii="Arial" w:cs="Arial" w:eastAsia="Arial" w:hAnsi="Arial"/>
          <w:sz w:val="16"/>
          <w:szCs w:val="16"/>
          <w:color w:val="auto"/>
        </w:rPr>
      </w:pPr>
    </w:p>
    <w:p>
      <w:pPr>
        <w:ind w:left="660" w:right="60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inability to manage our supply chain or obtain supplies of components or raw materials has restricted, and could continue to restrict, the manufacturing of products, cause delays in delivery, or significantly increase our costs.</w:t>
      </w:r>
    </w:p>
    <w:p>
      <w:pPr>
        <w:spacing w:after="0" w:line="182"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interruption in the operations of our manufacturing facilities, or our suppliers’ or customers’ facilities, may impair our ability to deliver products or provide services.</w:t>
      </w:r>
    </w:p>
    <w:p>
      <w:pPr>
        <w:spacing w:after="0" w:line="168" w:lineRule="exact"/>
        <w:rPr>
          <w:rFonts w:ascii="Arial" w:cs="Arial" w:eastAsia="Arial" w:hAnsi="Arial"/>
          <w:sz w:val="16"/>
          <w:szCs w:val="16"/>
          <w:color w:val="auto"/>
        </w:rPr>
      </w:pPr>
    </w:p>
    <w:p>
      <w:pPr>
        <w:ind w:left="660" w:right="34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rely on third parties to help perform logistics, transportation, shipping, warehousing, and services functions on our behalf, and disruptions at these third-party providers could adversely affect our business.</w:t>
      </w:r>
    </w:p>
    <w:p>
      <w:pPr>
        <w:spacing w:after="0" w:line="168" w:lineRule="exact"/>
        <w:rPr>
          <w:rFonts w:ascii="Arial" w:cs="Arial" w:eastAsia="Arial" w:hAnsi="Arial"/>
          <w:sz w:val="16"/>
          <w:szCs w:val="16"/>
          <w:color w:val="auto"/>
        </w:rPr>
      </w:pPr>
    </w:p>
    <w:p>
      <w:pPr>
        <w:ind w:left="660" w:right="10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significant postretirement benefit liabilities, including pension, healthcare, and life insurance benefits obligations, and the actual costs and related cash flows of these obligations are uncertain and could exceed current estimates.</w:t>
      </w:r>
    </w:p>
    <w:p>
      <w:pPr>
        <w:spacing w:after="0" w:line="196" w:lineRule="exact"/>
        <w:rPr>
          <w:rFonts w:ascii="Arial" w:cs="Arial" w:eastAsia="Arial" w:hAnsi="Arial"/>
          <w:sz w:val="16"/>
          <w:szCs w:val="16"/>
          <w:color w:val="auto"/>
        </w:rPr>
      </w:pPr>
    </w:p>
    <w:p>
      <w:pPr>
        <w:ind w:left="660" w:right="24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attract or retain key personnel and qualified employees or maintain relations with our employees, unions, and other employee representatives it could adversely affect our business.</w:t>
      </w:r>
    </w:p>
    <w:p>
      <w:pPr>
        <w:spacing w:after="0" w:line="182" w:lineRule="exact"/>
        <w:rPr>
          <w:rFonts w:ascii="Arial" w:cs="Arial" w:eastAsia="Arial" w:hAnsi="Arial"/>
          <w:sz w:val="16"/>
          <w:szCs w:val="16"/>
          <w:color w:val="auto"/>
        </w:rPr>
      </w:pPr>
    </w:p>
    <w:p>
      <w:pPr>
        <w:ind w:left="660" w:right="12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health crises, epidemics, and pandemics, such as the COVID-19 pandemic, have had and in the future may have a material adverse impact on our business, as well as on the operations and financial performance of some of the customers and suppliers in industries that we serve.</w:t>
      </w:r>
    </w:p>
    <w:p>
      <w:pPr>
        <w:spacing w:after="0" w:line="168" w:lineRule="exact"/>
        <w:rPr>
          <w:rFonts w:ascii="Arial" w:cs="Arial" w:eastAsia="Arial" w:hAnsi="Arial"/>
          <w:sz w:val="16"/>
          <w:szCs w:val="16"/>
          <w:color w:val="auto"/>
        </w:rPr>
      </w:pPr>
    </w:p>
    <w:p>
      <w:pPr>
        <w:ind w:left="660" w:right="20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research and development efforts may not succeed in developing commercially successful products and technologies, which could adversely affect our business.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be unable to obtain, maintain, protect, or effectively enforce our IP rights.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ind w:left="660" w:right="30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subject to stringent privacy laws and information security policies and regulations.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increasing focus on and investment in cloud, edge, AI, and software offerings present risks to our business.</w:t>
      </w:r>
    </w:p>
    <w:p>
      <w:pPr>
        <w:spacing w:after="0" w:line="2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comply with the FCPA and similar anti-corruption and anti-bribery laws globally has resulted and could continue to result in civil or criminal sanctions and adversely affect our business.</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subject to anti-kickback and false claims laws, and failure to comply with these laws could adversely affect our business.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subject to antitrust and competition laws that can result in sanctions and conditions on the way we conduct our business.</w:t>
      </w:r>
    </w:p>
    <w:p>
      <w:pPr>
        <w:spacing w:after="0" w:line="248"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168" w:lineRule="exact"/>
        <w:rPr>
          <w:rFonts w:ascii="Arial" w:cs="Arial" w:eastAsia="Arial" w:hAnsi="Arial"/>
          <w:sz w:val="16"/>
          <w:szCs w:val="16"/>
          <w:color w:val="auto"/>
        </w:rPr>
      </w:pPr>
    </w:p>
    <w:p>
      <w:pPr>
        <w:ind w:left="660" w:right="44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Efforts by public and private payers to control increases in healthcare costs may lead to lower reimbursements or increased utilization controls related to the use of our products by healthcare providers, which may affect the price of and demand for our products, services, or solutions.</w:t>
      </w:r>
    </w:p>
    <w:p>
      <w:pPr>
        <w:spacing w:after="0" w:line="196" w:lineRule="exact"/>
        <w:rPr>
          <w:rFonts w:ascii="Arial" w:cs="Arial" w:eastAsia="Arial" w:hAnsi="Arial"/>
          <w:sz w:val="16"/>
          <w:szCs w:val="16"/>
          <w:color w:val="auto"/>
        </w:rPr>
      </w:pPr>
    </w:p>
    <w:p>
      <w:pPr>
        <w:ind w:left="660" w:right="52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182" w:lineRule="exact"/>
        <w:rPr>
          <w:rFonts w:ascii="Arial" w:cs="Arial" w:eastAsia="Arial" w:hAnsi="Arial"/>
          <w:sz w:val="16"/>
          <w:szCs w:val="16"/>
          <w:color w:val="auto"/>
        </w:rPr>
      </w:pPr>
    </w:p>
    <w:p>
      <w:pPr>
        <w:ind w:left="660" w:right="28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become involved in litigation, arbitration, and governmental proceedings, including those stemming from third-party conduct beyond our control.</w:t>
      </w:r>
    </w:p>
    <w:p>
      <w:pPr>
        <w:spacing w:after="0" w:line="168" w:lineRule="exact"/>
        <w:rPr>
          <w:rFonts w:ascii="Arial" w:cs="Arial" w:eastAsia="Arial" w:hAnsi="Arial"/>
          <w:sz w:val="16"/>
          <w:szCs w:val="16"/>
          <w:color w:val="auto"/>
        </w:rPr>
      </w:pPr>
    </w:p>
    <w:p>
      <w:pPr>
        <w:ind w:left="660" w:right="18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Global geopolitical and economic instability, as well as continuing uncertainties and challenging conditions in regional economies, could adversely affect our business.</w:t>
      </w:r>
    </w:p>
    <w:p>
      <w:pPr>
        <w:spacing w:after="0" w:line="168" w:lineRule="exact"/>
        <w:rPr>
          <w:rFonts w:ascii="Arial" w:cs="Arial" w:eastAsia="Arial" w:hAnsi="Arial"/>
          <w:sz w:val="16"/>
          <w:szCs w:val="16"/>
          <w:color w:val="auto"/>
        </w:rPr>
      </w:pPr>
    </w:p>
    <w:p>
      <w:pPr>
        <w:ind w:left="660" w:right="4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operations are subject to extensive laws and regulations, and any changes thereto or violations thereof could have a material adverse effect on our business.</w:t>
      </w:r>
    </w:p>
    <w:p>
      <w:pPr>
        <w:spacing w:after="0" w:line="196" w:lineRule="exact"/>
        <w:rPr>
          <w:rFonts w:ascii="Arial" w:cs="Arial" w:eastAsia="Arial" w:hAnsi="Arial"/>
          <w:sz w:val="16"/>
          <w:szCs w:val="16"/>
          <w:color w:val="auto"/>
        </w:rPr>
      </w:pPr>
    </w:p>
    <w:p>
      <w:pPr>
        <w:ind w:left="660" w:right="2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Increasing attention to ESG matters, including environmental, health, and safety (“EH&amp;S”) matters, may impose additional costs on our business and expose us to new risks.</w:t>
      </w:r>
    </w:p>
    <w:p>
      <w:pPr>
        <w:spacing w:after="0" w:line="196"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level of indebtedness, as well as our general ability to comply with covenants under our debt instruments, could adversely affect our business, results of operations, cash flows, and financial condition.</w:t>
      </w:r>
    </w:p>
    <w:p>
      <w:pPr>
        <w:spacing w:after="0" w:line="182" w:lineRule="exact"/>
        <w:rPr>
          <w:rFonts w:ascii="Arial" w:cs="Arial" w:eastAsia="Arial" w:hAnsi="Arial"/>
          <w:sz w:val="16"/>
          <w:szCs w:val="16"/>
          <w:color w:val="auto"/>
        </w:rPr>
      </w:pPr>
    </w:p>
    <w:p>
      <w:pPr>
        <w:ind w:left="660" w:right="42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Substantial sales of our common stock, including the disposition by GE of our shares of common stock that it retained after our Spin-Off, could cause our stock price to decline or be volatile.</w:t>
      </w:r>
    </w:p>
    <w:p>
      <w:pPr>
        <w:spacing w:after="0" w:line="16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You should carefully consider the following risks and other information in this Annual Report on Form 10-K in evaluating GE HealthCare and GE HealthCare’s common stock. Any of the following risks could materially and adversely affect GE HealthCare’s business,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Risks Relating to Our Operations</w:t>
      </w:r>
    </w:p>
    <w:p>
      <w:pPr>
        <w:spacing w:after="0" w:line="24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operate in highly competitive markets, competition may increase in the future, and our industry may be disrupted, requiring us to lower prices or resulting in a loss of market share.</w:t>
      </w:r>
    </w:p>
    <w:p>
      <w:pPr>
        <w:spacing w:after="0" w:line="15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Healthcare markets are characterized by rapidly evolving technology, frequent introduction of new products, intense competition, and pricing pressures. We face substantial competition from international and domestic companies of all sizes; these competitors often differ across our businesses. Competition is primarily focused on cost effectiveness, price, service, product performance, and technological innovation. Our ability to compete successfully may be adversely affected by factors such as: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6" w:name="page17"/>
    <w:bookmarkEnd w:id="16"/>
    <w:p>
      <w:pPr>
        <w:ind w:left="660" w:right="48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introduction of new or more affordable products or product enhancements by competitors, including products that could substitute for our products;</w:t>
      </w:r>
    </w:p>
    <w:p>
      <w:pPr>
        <w:spacing w:after="0" w:line="19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new technology, the application of known or unknown technology, advances in medicine, or new developments in the treatment or diagnosis of disease that transform our industry or render a product line obsolete;</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competitors responding more quickly or effectively to new technology, or changes in customer requirements and industry trends;</w:t>
      </w:r>
    </w:p>
    <w:p>
      <w:pPr>
        <w:spacing w:after="0" w:line="248" w:lineRule="exact"/>
        <w:rPr>
          <w:rFonts w:ascii="Arial" w:cs="Arial" w:eastAsia="Arial" w:hAnsi="Arial"/>
          <w:sz w:val="16"/>
          <w:szCs w:val="16"/>
          <w:color w:val="auto"/>
        </w:rPr>
      </w:pPr>
    </w:p>
    <w:p>
      <w:pPr>
        <w:ind w:left="660" w:right="10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failure to satisfy local market conditions and regulations, such as mandatory IP transfers, protectionist measures, and other government policies supporting increased local competition;</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application of new or innovative business models to our industry;</w:t>
      </w:r>
    </w:p>
    <w:p>
      <w:pPr>
        <w:spacing w:after="0" w:line="248" w:lineRule="exact"/>
        <w:rPr>
          <w:rFonts w:ascii="Arial" w:cs="Arial" w:eastAsia="Arial" w:hAnsi="Arial"/>
          <w:sz w:val="16"/>
          <w:szCs w:val="16"/>
          <w:color w:val="auto"/>
        </w:rPr>
      </w:pPr>
    </w:p>
    <w:p>
      <w:pPr>
        <w:ind w:left="660" w:right="78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emergence of new market entrants, including those with innovative technology or substantial financial resources, such as startups or established technology companies;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failure to maintain or expand relationships with existing customers or attract new customers;</w:t>
      </w:r>
    </w:p>
    <w:p>
      <w:pPr>
        <w:spacing w:after="0" w:line="248" w:lineRule="exact"/>
        <w:rPr>
          <w:rFonts w:ascii="Arial" w:cs="Arial" w:eastAsia="Arial" w:hAnsi="Arial"/>
          <w:sz w:val="16"/>
          <w:szCs w:val="16"/>
          <w:color w:val="auto"/>
        </w:rPr>
      </w:pPr>
    </w:p>
    <w:p>
      <w:pPr>
        <w:ind w:left="660" w:right="64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of production or delivery, whether due to geographic location, currency fluctuations, taxes, duties, or otherwise, which may enable our competitors to offer greater discounts or lower prices;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perception of our brand and image in the market;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strengthening of independent service organizations (“ISOs”) and companies specializing in one or more of our operating segments or offerings;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failure to successfully enter new geographic or adjacent product markets;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failure to acquire or effectively integrate businesses and technologies that complement or expand our existing businesses;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changing regulatory standards, legal requirements, or enforcement rigor; or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consolidation among customers, suppliers, channel partners, or competitors.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implementation of localization requirements and other government policies in certain geographies, driven by support of local industry, security of supply, and incentives for technological breakthroughs, could negatively affect our market share, business results, cash flows, and financial condition. As an example, the Chinese government has instituted policies in the last several years that are favorable to locally-based manufacturers and that may have an adverse effect on our business, operations, or financial results.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service organization allows us to deliver service offerings through an extensive network of field service engineers, global repair centers, and customer service centers. Increased competition from ISOs (“third-party” entities that specialize in the repair and maintenance of medical devices produced by OEMs, including us) and evolving regulatory and legislative policies could adversely impact our business and results of operations by driving down quality and price levels for services and repairs. In the United States and Europe, ISOs continue to seek access to OEM service tools, parts, documents, software updates, and training. Specifically, in 2021, the Librarian of Congress in the United States authorized a copyright act exemption that allows unregulated third-party repair companies to circumvent OEM copyright protections on software in its medical imaging device or system if circumvention is necessary to diagnose, maintain, or repair such device or system.</w:t>
      </w:r>
    </w:p>
    <w:p>
      <w:pPr>
        <w:spacing w:after="0" w:line="21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inability to obtain and maintain regulatory authorizations for and supply commercial quantities of our offerings as quickly and effectively as our competitors could limit market acceptance. Furthermore, our markets are continually evolving and thus revenues and income are difficult to forecast. Any of these competitive factors could adversely affect our pricing, margins, and market share and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17" w:name="page18"/>
    <w:bookmarkEnd w:id="17"/>
    <w:p>
      <w:pPr>
        <w:ind w:right="220"/>
        <w:spacing w:after="0" w:line="294" w:lineRule="auto"/>
        <w:rPr>
          <w:sz w:val="20"/>
          <w:szCs w:val="20"/>
          <w:color w:val="auto"/>
        </w:rPr>
      </w:pPr>
      <w:r>
        <w:rPr>
          <w:rFonts w:ascii="Arial" w:cs="Arial" w:eastAsia="Arial" w:hAnsi="Arial"/>
          <w:sz w:val="16"/>
          <w:szCs w:val="16"/>
          <w:b w:val="1"/>
          <w:bCs w:val="1"/>
          <w:i w:val="1"/>
          <w:iCs w:val="1"/>
          <w:color w:val="auto"/>
        </w:rPr>
        <w:t>Our business dealings involve third-party partners in various markets, and the actions or inactions of these third parties could adversely affect our business.</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business dealings involve third-party partners such as distributors, dealers, wholesalers, packagers, resellers, suppliers, agents, collaboration partners, sub-contractors, and others. In turn, these parties may use sub-parties. Such dealings expose us to known and unknown risks, including risks related to economic, political, and regulatory environments; performance and quality control; business continuity in the event of termination; conflicts of interest; and violations of regulations and laws, including anti-corruption laws, by these third parties or their sub-parties. We cannot control the day-to-day practices of our third-party partners and cannot guarantee they will comply with our quality standards, applicable law, and company policies regarding compliance with regulatory and legal requirements. If these third parties do not follow our standards or violate local laws and regulations, we could suffer commercial, financial, or reputational harm, which could jeopardize our ability to continue doing business in these markets or cause our relationships to deteriorate. Any of the foregoing could have a material adverse effect on our business results, cash flows, financial condition, or prospects.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complete strategic transactions could adversely affect our business.</w:t>
      </w:r>
    </w:p>
    <w:p>
      <w:pPr>
        <w:spacing w:after="0" w:line="246"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Our business strategy includes the acquisition of technologies and businesses that expand or complement our existing business. Successful growth through acquisitions depends upon our ability to identify suitable acquisition targets or assets, conduct due diligence, negotiate transactions on favorable terms, and ultimately complete such transactions and integrate the acquired target or asset successfully, and will be subject, in certain circumstances, to the consent of GE under the Tax Matters Agreement, as discussed in “Risks Relating to Our Spin-Off from GE.”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Acquisitions may expose us to significant risks and uncertainties, including:</w:t>
      </w:r>
    </w:p>
    <w:p>
      <w:pPr>
        <w:spacing w:after="0" w:line="248" w:lineRule="exact"/>
        <w:rPr>
          <w:sz w:val="20"/>
          <w:szCs w:val="20"/>
          <w:color w:val="auto"/>
        </w:rPr>
      </w:pPr>
    </w:p>
    <w:p>
      <w:pPr>
        <w:ind w:left="660" w:right="24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competition for acquisition targets and assets, which may lead to substantial increases in purchase price or other terms that are less attractive to us, including the use of our shares for payment of the purchase price;</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dependence on external sources of capital, in particular to finance the purchase price of acquisitions;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rulings by antitrust, foreign direct investment, or other regulatory bodies;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acquired companies’ previous failure to comply with applicable regulatory requirements;</w:t>
      </w:r>
    </w:p>
    <w:p>
      <w:pPr>
        <w:spacing w:after="0" w:line="248" w:lineRule="exact"/>
        <w:rPr>
          <w:rFonts w:ascii="Arial" w:cs="Arial" w:eastAsia="Arial" w:hAnsi="Arial"/>
          <w:sz w:val="16"/>
          <w:szCs w:val="16"/>
          <w:color w:val="auto"/>
        </w:rPr>
      </w:pPr>
    </w:p>
    <w:p>
      <w:pPr>
        <w:ind w:left="660" w:right="18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to timely or successfully integrate acquired companies’ strategies, functions, systems, controls, including cybersecurity and data protection controls, and products into our own;</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inability to produce products at increased scale or loss of previously available distribution channels;</w:t>
      </w:r>
    </w:p>
    <w:p>
      <w:pPr>
        <w:spacing w:after="0" w:line="248"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heightened external scrutiny on acquired IP rights, regulatory exclusivity periods, and confidentiality agreements, or lack of IP rights for the acquired portfolio;</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diversion of our management’s attention from existing operations to the acquisition and integration process;</w:t>
      </w:r>
    </w:p>
    <w:p>
      <w:pPr>
        <w:spacing w:after="0" w:line="261"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accurately predict or to realize expected growth opportunities, cost savings, synergies, and market acceptance of acquired companies’ products;</w:t>
      </w:r>
    </w:p>
    <w:p>
      <w:pPr>
        <w:spacing w:after="0" w:line="182" w:lineRule="exact"/>
        <w:rPr>
          <w:rFonts w:ascii="Arial" w:cs="Arial" w:eastAsia="Arial" w:hAnsi="Arial"/>
          <w:sz w:val="16"/>
          <w:szCs w:val="16"/>
          <w:color w:val="auto"/>
        </w:rPr>
      </w:pPr>
    </w:p>
    <w:p>
      <w:pPr>
        <w:ind w:left="660" w:right="82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identify significant non-compliant behaviors or practices by, or liabilities relating to, an acquisition target (or its agents) prior to acquisition;</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successor liability imposed by regulators for actions by a target (or its agents) prior to acquisition;</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expenses, delays, and difficulties in integrating acquired businesses into our existing businesses;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in retaining key customers and personnel.</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Various other assessments and assumptions regarding acquisition targets may prove to be incorrect, and actual developments may differ significantly from our expectations.</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18" w:name="page19"/>
    <w:bookmarkEnd w:id="18"/>
    <w:p>
      <w:pPr>
        <w:spacing w:after="0" w:line="261" w:lineRule="auto"/>
        <w:rPr>
          <w:sz w:val="20"/>
          <w:szCs w:val="20"/>
          <w:color w:val="auto"/>
        </w:rPr>
      </w:pPr>
      <w:r>
        <w:rPr>
          <w:rFonts w:ascii="Arial" w:cs="Arial" w:eastAsia="Arial" w:hAnsi="Arial"/>
          <w:sz w:val="16"/>
          <w:szCs w:val="16"/>
          <w:color w:val="auto"/>
        </w:rPr>
        <w:t>In addition, we also regularly evaluate a variety of other potential strategic transactions, including equity and other investments; strategic alliances that could further our strategic business objectives; or disposition of non-core assets. We may not successfully identify, complete, or manage the risks presented by these strategic transactions, including those outlined above. Equity and other investments and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occurrence of any of the above in connection with any acquisition or strategic transaction could have a material adverse effect on our business results, cash flows, financial condition, or prospects.</w:t>
      </w:r>
    </w:p>
    <w:p>
      <w:pPr>
        <w:spacing w:after="0" w:line="17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Our inability to manage our supply chain or obtain supplies of components or raw materials has restricted, and could continue to restrict, the manufacturing of products, cause delays in delivery, or significantly increase our costs.</w:t>
      </w:r>
    </w:p>
    <w:p>
      <w:pPr>
        <w:spacing w:after="0" w:line="169"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rely on the timely supply of components, products, services, and solutions. If suppliers fail to meet their delivery obligations, raise prices, or cease to supply to us, it may affect our ability to deliver to our customers or significantly increase our costs. If we lose suppliers, if their operations are substantially interrupted, if their prices increase significantly due to inflationary pressures, or if any of them fail to meet performance or quality specifications, we may be required to identify and qualify one or more replacement suppliers. This also may require us to redesign or modify our products to incorporate new components and obtain regulatory authorization, qualification, or certification of these redesigned or modified products. We also have been adversely affected by the inability of our suppliers to deliver components or raw materials on a timely basis, as happened in connection with the COVID-19 pandemic. Further, while we make efforts to diversify our suppliers, in many instances there may be a single source or sole supplier with no alternatives yet identified. Our dependence on such single or sole-source suppliers subjects us to possible risks of shortages, interruptions, and price fluctuations. Disruptions or loss of any of our single- or sole-source suppliers, or capacity limitations of the suppliers for components, could increase our costs, curtail growth opportunities, cause material delays, and adversely impact our business, financial results, and customer relationships.</w:t>
      </w:r>
    </w:p>
    <w:p>
      <w:pPr>
        <w:spacing w:after="0" w:line="209"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Supply chain interruptions or price increases in certain key countries, such as China, India, Russia, and Israel, have had, and could continue to have, a similar adverse effect on our business. The costs of certain raw materials, logistics, and services necessary for the production and distribution of our products continue to fluctuate based on many factors beyond our control, including but not limited to changes in general economic conditions, labor costs, transportation costs, and currency exchange rates.</w:t>
      </w:r>
    </w:p>
    <w:p>
      <w:pPr>
        <w:spacing w:after="0" w:line="213"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to continue in the future. If supply of these materials is restricted or if prices increase, this could constrain our manufacturing of affected products, reduce our profit margins, or otherwise adversely affect our business results, cash flows, and financial condition.</w:t>
      </w: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risks of disruption described above, as well as the risks arising from war, geopolitical conflicts, government sanctions or trade controls, imposition of tariffs, natural disasters, climate change-related physical and transitional risks, actual or threatened public health crises, epidemics, and pandemics, or other business continuity events, could adversely affect our operations and limit our ability to meet our commitments to customers or significantly impact our financial results and condition.</w:t>
      </w:r>
    </w:p>
    <w:p>
      <w:pPr>
        <w:spacing w:after="0" w:line="20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addition, we cannot guarantee that the mitigation strategies we employ, such as internal and third-party risk management tools, maintaining objective evidence of our suppliers’ compliance with minimum viable quality standards and audits of conformance with these standards, conducting ongoing supplier and internal audits, developing resiliency plans, and investing in our internal data and analytic architecture, will be successful or that we will be able to alter our strategies or develop new strategies if and as needed.</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have replaced certain internal capabilities with outsourced products, services, or solutions. These processes may result in increased dependency on external suppliers. Failure of third-party suppliers to establish and comply with required quality management systems or comply with applicable legal and regulatory requirements may also lead to withdrawals of our certifications or authorizations required for market access in certain jurisdictions. Such supplier failures may prevent us from meeting customer requirements in a timely manner, which could result in damages or other claims, order cancellations, loss of market share, and damage to our reputation. Shortages or delays could adversely affect our business. A general shortage of materials or components also poses the risk of unforeseeable fluctuations in prices and demand. Any of the above factors could have a material adverse effect on our business results, cash flows, financial condition, or prospects.</w:t>
      </w:r>
    </w:p>
    <w:p>
      <w:pPr>
        <w:spacing w:after="0" w:line="2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Additionally, the implementation of localization requirements and other government policies driven by support of local industry and increasing attention to ESG matters, including EH&amp;S matters, may impose additional costs on our business and could negatively affect our ability to compete in certain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19" w:name="page20"/>
    <w:bookmarkEnd w:id="19"/>
    <w:p>
      <w:pPr>
        <w:ind w:right="520"/>
        <w:spacing w:after="0" w:line="294" w:lineRule="auto"/>
        <w:rPr>
          <w:sz w:val="20"/>
          <w:szCs w:val="20"/>
          <w:color w:val="auto"/>
        </w:rPr>
      </w:pPr>
      <w:r>
        <w:rPr>
          <w:rFonts w:ascii="Arial" w:cs="Arial" w:eastAsia="Arial" w:hAnsi="Arial"/>
          <w:sz w:val="16"/>
          <w:szCs w:val="16"/>
          <w:b w:val="1"/>
          <w:bCs w:val="1"/>
          <w:i w:val="1"/>
          <w:iCs w:val="1"/>
          <w:color w:val="auto"/>
        </w:rPr>
        <w:t>Any interruption in the operations of our manufacturing facilities, or our suppliers’ or customers’ facilities, may impair our ability to deliver products or provide services.</w:t>
      </w:r>
    </w:p>
    <w:p>
      <w:pPr>
        <w:spacing w:after="0" w:line="18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are dependent on our global production and operating network to develop, manufacture, assemble, supply, and service our offerings. A work stoppage, labor shortage, or other production limitation, including import or export restrictions and transportation issues, among others, could occur at our manufacturing facilities or at supplier or customer facilities, and negatively impact our reputation and market position. Such interruptions may occur for several reasons, including as a result of regulatory enforcement actions, tight credit markets or other financial distress, production constraints or difficulties, unscheduled downtimes, war, severe weather and natural disasters, fires and explosions, accidents, mechanical failures, pandemics, civil unrest, strikes, unpermitted releases of toxic or hazardous substances, other EH&amp;S risks, sabotage, cybersecurity attacks, riots, or terrorist attacks.</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Any significant event affecting one of our or our suppliers’ production or operating facilities may result in a disruption to our ability to supply customers, and standby capacity necessary for the reliable operation of the facility may not be sufficiently available. The impact of these risks is heightened if our production capacity is at or near full utilization (or if we lack alternative manufacturing sites) and could result in our inability to accept orders or deliver products in a timely manner. Additionally, significant capital investment to increase manufacturing capacity may be required to expand our business or meet increased demand for our products in the future. Any of these risks could have a material adverse effect on our business results, cash flows, financial condition, or prospects.</w:t>
      </w:r>
    </w:p>
    <w:p>
      <w:pPr>
        <w:spacing w:after="0" w:line="200" w:lineRule="exact"/>
        <w:rPr>
          <w:sz w:val="20"/>
          <w:szCs w:val="20"/>
          <w:color w:val="auto"/>
        </w:rPr>
      </w:pPr>
    </w:p>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We rely on third parties to help perform logistics, transportation, shipping, warehousing, and services functions on our behalf, and disruptions at these third-party providers could adversely affect our business</w:t>
      </w:r>
      <w:r>
        <w:rPr>
          <w:rFonts w:ascii="Arial" w:cs="Arial" w:eastAsia="Arial" w:hAnsi="Arial"/>
          <w:sz w:val="16"/>
          <w:szCs w:val="16"/>
          <w:color w:val="auto"/>
        </w:rPr>
        <w:t>.</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Third-party providers help perform our logistics, transportation, shipping, warehousing, and services functions. If any of these providers fails to honor a contractual relationship with us, suffers a business interruption, or experiences delays, disruptions, or quality control problems in its operations, including due to pandemics, regional conflicts, sanctions, geopolitical events, natural disasters, or extreme weather events, or if we have to change and qualify alternative providers for these services, shipments to our customers may be delayed. Increased costs and delays, including as a result of labor shortages, disruptions in transportation lines, international air freight capacity limitations, driver and truck capacity limitations, airport and port congestion, and delays in customs processes, could have a material adverse effect on our business results, cash flows, financial condition, or prospects.</w:t>
      </w:r>
    </w:p>
    <w:p>
      <w:pPr>
        <w:spacing w:after="0" w:line="21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We have significant postretirement benefit liabilities, including pension, healthcare, and life insurance benefit obligations, and the actual costs and related cash flows of these obligations are uncertain and could exceed current estimates.</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These net liabilities arise under multiple benefit plans and statutory obligations in various countries. Most of the liabilities arise under pension plans, including defined benefit pension plans, either funded with plan assets (partially or fully) or unfunded. Increases in pension, healthcare, and life insurance benefit obligations and costs could have a material adverse effect on our earnings, cash flows, and financial condition.</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results of operations may be positively or negatively affected by the amount of income or expense we record for our defined benefit pension plans. U.S. Generally Accepted Accounting Principles (“U.S. GAAP”) require that we calculate income or expense for the plans using actuarial valuations, which reflect assumptions about financial markets, interest rates, and the expected long-term rate of return on plan assets. We are also required to make an annual measurement of plan assets and liabilities, which may result in a significant reduction or increase in equity. The factors that impact our pension calculations are subject to changes in financial market volatility, and future decreases in the discount rate or low returns on plan assets can adversely impact our financial results and financial condition. Any of these factors could have a material adverse effect on our business results, cash flows, financial condition, or prospects. Furthermore, accounting standards and legal conditions governing our pension obligations are subject to changes in applicable legislation, regulations, or case law. We cannot provide any assurance that we will not incur new or more extensive pension obligations in the future due to such changes. For a discussion regarding how our financial statements have been and can be affected by our pension and healthcare benefit obligations, see the financial statements and related notes included elsewhere in this Annual Report on Form 10-K.</w:t>
      </w:r>
    </w:p>
    <w:p>
      <w:pPr>
        <w:spacing w:after="0" w:line="2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If we are unable to attract or retain key personnel and qualified employees or maintain relations with our employees, unions, and other employee representatives it could adversely affect our business.</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There is substantial competition for key personnel, senior management, and qualified employees in the healthcare industry, and we may face increased competition for such a highly qualified scientific, technical, clinical, and management workforce in a highly competitive environment. While the increased availability of flexible, hybrid, or work-from-home arrangements has afforded us the ability to attract and retain talent from geographies remote from our physical offices, it has also expanded competition by allowing qualified employees within those same regions to pursue job opportunities throughout the country without the need to relocate. To help attract, retain, and motivate qualified employees in senior roles, we use equity-based awards and performance-based cash incentive awards. Sustained declines in our stock price, or lower stock price performance relative to competitors, can reduce the retention value of our equity-based awards, which can impact the competitiveness of our compensation. There can be no assurance that we will be successful in retaining existing personnel or recruiting new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0" w:name="page21"/>
    <w:bookmarkEnd w:id="20"/>
    <w:p>
      <w:pPr>
        <w:jc w:val="both"/>
        <w:ind w:right="260"/>
        <w:spacing w:after="0" w:line="275" w:lineRule="auto"/>
        <w:rPr>
          <w:sz w:val="20"/>
          <w:szCs w:val="20"/>
          <w:color w:val="auto"/>
        </w:rPr>
      </w:pPr>
      <w:r>
        <w:rPr>
          <w:rFonts w:ascii="Arial" w:cs="Arial" w:eastAsia="Arial" w:hAnsi="Arial"/>
          <w:sz w:val="16"/>
          <w:szCs w:val="16"/>
          <w:color w:val="auto"/>
        </w:rPr>
        <w:t>Having diverse representation and an inclusive workplace can also impact our ability to attract and retain talent and is an important driver of our ability to compete and innovate. As such, our ability to attract and retain diverse talent can impact our corporate reputation and have adverse consequences to our business.</w:t>
      </w:r>
    </w:p>
    <w:p>
      <w:pPr>
        <w:spacing w:after="0" w:line="13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Certain of our employees in the United States and elsewhere are covered by collective bargaining agreements. These agreements typically contain provisions regarding the general working conditions of our employees, including provisions that could affect our ability to restructure our operations, close facilities, or reduce our number of employees. We may not be able to extend existing collective bargaining agreements or, upon the expiration of such agreements, negotiate such agreements in a favorable and timely manner or without work stoppages, strikes, or similar actions.</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loss of one or more key employees, our inability to attract or develop additional qualified employees, any delay in hiring key personnel, any deterioration of the relationships with our employees, unions, and other employee representatives, or any material work stoppage, strike, or similar action could have a material adverse effect on our business results, cash flows, financial condition, or prospects. Furthermore, our actions or responses to any such negotiations, labor disputes, work stoppages, or strikes could negatively impact our corporate reputation and have adverse effects on our business.</w:t>
      </w:r>
    </w:p>
    <w:p>
      <w:pPr>
        <w:spacing w:after="0" w:line="20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Public health crises, epidemics, and pandemics, such as the COVID-19 pandemic, have had and in the future may have a material adverse impact on our business, as well as on the operations and financial performance of some of the customers and suppliers in industries that we serve.</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operations and financial performance have been, and in the future may be, negatively impacted by public health crises, epidemics, and pandemics, such as the COVID-19 pandemic, which have in the past caused, and may in the future cause, a slowdown of economic activity (including volatility in demand for our products, services, and solutions), disruptions in global supply chains, and significant volatility in financial markets. In the past, the COVID-19 pandemic affected economic activity globally or in various regions, and in the future, the COVID-19 pandemic, or another public health crisis, epidemic, or pandemic, could adversely impact our future operations and financial performance. Additionally, as a result of such events, we have in the past experienced, and may in the future experience, operational challenges from the need to protect employee health and safety; site shutdowns; workplace disruptions; restrictions on the movement of people, raw materials, and goods (both at our own facilities and at those of our customers and suppliers); global supply chain disruptions; and price inflation. We also have experienced, and may in the future experience, unpredictable demand for our products, services, and solutions; customer requests for potential payment deferrals or other contract modifications; supply chain under-liquidation; delays of deliveries and the achievement of other billing milestones; delays or cancellations of new projects and related down-payments; and other factors related, directly and indirectly, to the effects of any public health crisis, epidemic, or pandemic on our customers that adversely impact our businesses.</w:t>
      </w:r>
    </w:p>
    <w:p>
      <w:pPr>
        <w:spacing w:after="0" w:line="22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ultimate impact of any public health crisis, epidemic, or pandemic, including the COVID-19 pandemic, on our operations and financial performance depends on many factors that are not within our control, including, but not limited to: the severity and duration of the public health crisis, epidemic, or pandemic; the impact of variants and resurgences; governmental, business, and individuals’ actions in response to the public health crisis, epidemic, or pandemic; the impact on global and regional economies, travel, and economic activity; the development, availability, and public acceptance of effective treatments or vaccines; our employees’ compliance with vaccine mandates that may apply in various jurisdictions; the availability of federal, state, local, or non-U.S. funding programs; global economic conditions and levels of economic growth; and the pace and extent of the ultimate recovery from the public health crisis, epidemic, or pandemic.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Risks Relating to Technology and Intellectual Property</w:t>
      </w:r>
    </w:p>
    <w:p>
      <w:pPr>
        <w:spacing w:after="0" w:line="248" w:lineRule="exact"/>
        <w:rPr>
          <w:sz w:val="20"/>
          <w:szCs w:val="20"/>
          <w:color w:val="auto"/>
        </w:rPr>
      </w:pPr>
    </w:p>
    <w:p>
      <w:pPr>
        <w:ind w:right="740"/>
        <w:spacing w:after="0" w:line="294" w:lineRule="auto"/>
        <w:rPr>
          <w:sz w:val="20"/>
          <w:szCs w:val="20"/>
          <w:color w:val="auto"/>
        </w:rPr>
      </w:pPr>
      <w:r>
        <w:rPr>
          <w:rFonts w:ascii="Arial" w:cs="Arial" w:eastAsia="Arial" w:hAnsi="Arial"/>
          <w:sz w:val="16"/>
          <w:szCs w:val="16"/>
          <w:b w:val="1"/>
          <w:bCs w:val="1"/>
          <w:i w:val="1"/>
          <w:iCs w:val="1"/>
          <w:color w:val="auto"/>
        </w:rPr>
        <w:t>Our research and development efforts may not succeed in developing commercially successful products and technologies, which could adversely affect our business.</w:t>
      </w:r>
    </w:p>
    <w:p>
      <w:pPr>
        <w:spacing w:after="0" w:line="16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To remain competitive, we must continue to launch new products, services, and solutions, requiring substantial investment in R&amp;D. If we cannot successfully introduce new offerings that address the needs of our customers, our offerings may become obsolete, and business results, cash flows, and financial condition could suffer.</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Many of our offerings have lengthy development and commercialization cycles. Promising new products, services, and solutions may fail to reach the market or may have only limited commercial success because of safety or efficacy concerns, failure to achieve positive outcomes, inability to obtain necessary regulatory authorizations, or third-party reimbursement decisions. Additionally, new offerings may be quickly rendered obsolete by changing customer preferences, changing industry standards, or competitors’ innovations or reverse engineering efforts. It is uncertain when or whether our products, services, or solutions currently under development will be launched or will be commercially successful. Any of these developments may have a material adverse effect on our business results, cash flows,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We may be unable to obtain, maintain, protect, or effectively enforce our IP rights.</w:t>
      </w:r>
    </w:p>
    <w:p>
      <w:pPr>
        <w:spacing w:after="0" w:line="24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place considerable emphasis on obtaining, maintaining, and using our IP to support our business strategy. We pursue IP protection in key jurisdictions to protect our R&amp;D investment and limit the risk of infringing third-party IP rights. However, we cannot ensure that our means of obtaining, maintaining, and enforcing our IP rights will be adequate to maintain a competitive advantage.</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laws of many jurisdictions may not protect our IP rights or provide an adequate forum to effectively address situations where our IP rights have been compromised. Furthermore, protecting against the unauthorized use of proprietary technology may be difficult, expensive, and drawn out. We may need to litigate with third parties to enforce or defend patents issued to us or to determine the enforceability and validity of our proprietary rights or those of others. Determining whether an offering infringes, misappropriates, or otherwise violates a third party’s IP rights involves complex legal and factual issues, and the outcome of this type of litigation is often uncertain and inconsistent. This is true for our major markets, including China, as well as developing markets with less developed IP systems. An adverse determination in any such litigation, or significant delays in obtaining effective relief, could materially impair our IP rights and may harm our business.</w:t>
      </w:r>
    </w:p>
    <w:p>
      <w:pPr>
        <w:spacing w:after="0" w:line="206"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From time to time, we receive notices from third parties asserting infringement, misappropriation, or violation of their IP rights. We are also subject to lawsuits alleging infringement, misappropriation, or other violation of third-party IP rights. When such claims are asserted against us (or to avoid such claims), we may seek to license the third party’s IP rights, which may be costly. We may be unable to obtain necessary licenses on satisfactory terms, if at all. If we are unable to obtain an adequate license, we may be subject to lawsuits seeking damages or an injunction against the manufacture, import, marketing, sale, or operation of our offerings or against the operation of our business as presently conducted. We do not maintain insurance for claims or litigation involving the infringement, misappropriation, or other violation of IP rights. Regardless of the merits or outcome, the resolution of any IP dispute could require significant financial and management resources.</w:t>
      </w:r>
    </w:p>
    <w:p>
      <w:pPr>
        <w:spacing w:after="0" w:line="21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Adverse judicial rulings or our entry into any license or settlement agreement in connection with third-party claims could affect our ability to compete and have a material adverse effect on our business results, cash flows, financial condition, or prospects. Our agreements with our customers and other third parties typically include indemnification or other provisions under which we agree to indemnify or otherwise be liable to them for losses suffered or incurred as a result of IP claims. We may not always be successful in limiting our liability with respect to such obligations and could become subject to large indemnity payments or damages claims from contractual breach, which could harm our business results, cash flows, financial condition, or prospects.</w:t>
      </w: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Furthermore, protecting confidential information and trade secrets can be difficult and, even if a successful enforcement action is brought, such action may not be effective in protecting our IP rights. Additionally, the increased sharing of our data with third parties as a result of right-to-repair legislation could increase the risk of loss or damage to our IP. If we cannot adequately obtain, maintain, protect, or enforce our IP rights, our competitors may be able to compete more successfully against us, which could have a material adverse effect on our business results, cash flows, financial condition, or prospects.</w:t>
      </w:r>
    </w:p>
    <w:p>
      <w:pPr>
        <w:spacing w:after="0" w:line="20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may not receive protection for pending or future applications relating to IP rights owned by or licensed to us, and the claims allowed under any issued IP rights may not be sufficiently broad to protect our products, services, solutions, and any associated trademarks. Products sold by our competitors may infringe, misappropriate, or otherwise violate IP rights owned or licensed by us. Any issued IP rights owned by or licensed to us may be challenged, invalidated, held unenforceable, or circumvented in litigation or other proceedings, and these limited IP rights may not provide us with effective competitive advantages. IP rights may also be unavailable, limited, unenforceable, or practically unenforceable in some countries, and some governments may require us to transfer our IP rights to local entities to do business in the jurisdiction, either of which could make it easier for competitors to capture increased market position and compete with us. We may also incur substantial costs to protect ourselves in litigation or other proceedings involving the validity and enforceability of our IP rights. If claims against us are successful, we could lose valuable IP rights. An unfavorable outcome in any such litigation could have a material adverse effect on our business results, cash flows, financial condition, or prospects.</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do not own the GE trademark or logo, and we entered into a Trademark License Agreement with GE in connection with the Spin-Off (the “Trademark License Agreement”), pursuant to which GE will grant us a license to use specified trademarks, which will include the GE Monogram and the “GE HealthCare” word mark for use in connection with certain of our products, services, and solutions, as well as the right to use the GE brand in connection with certain legal entity names within our corporate structure. GE owns and controls the GE brand, and the integrity and strength of the GE brand will depend in large part on the efforts and businesses of GE and other licensees of the GE brand and how the brand is used, promoted, and protected by them, which will be outside of our control. Furthermore, there are certain circumstances under which the Trademark License Agreement may be terminated. Termination of the Trademark License Agreement would eliminate our rights to use the specified trademarks granted to us under this agreement and may result in our having to negotiate a new or reinstated agreement with less favorable terms or cause us to lose our rights under the Trademark License Agreement, which would require us to change our corporate name and undergo significant rebranding efforts. These rebranding efforts may require significant resources and expenses and may affect our ability to attract and retain customers, all of which could have an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2" w:name="page23"/>
    <w:bookmarkEnd w:id="22"/>
    <w:p>
      <w:pPr>
        <w:ind w:right="80"/>
        <w:spacing w:after="0" w:line="294" w:lineRule="auto"/>
        <w:rPr>
          <w:sz w:val="20"/>
          <w:szCs w:val="20"/>
          <w:color w:val="auto"/>
        </w:rPr>
      </w:pPr>
      <w:r>
        <w:rPr>
          <w:rFonts w:ascii="Arial" w:cs="Arial" w:eastAsia="Arial" w:hAnsi="Arial"/>
          <w:sz w:val="16"/>
          <w:szCs w:val="16"/>
          <w:b w:val="1"/>
          <w:bCs w:val="1"/>
          <w:i w:val="1"/>
          <w:iCs w:val="1"/>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18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manufacture and sell products that rely upon software and computer systems to operate properly and process and store confidential information. Our products often are connected to, and reside within, our customers’ information technology (“IT”) infrastructures. In some jurisdictions, we are expected to design our products to include appropriate cybersecurity protections, and regulatory authorities may review such protections when granting marketing authorizations. While we seek to protect our products and IT systems from unauthorized access, these measures may not be effective, particularly because techniques used to obtain unauthorized access or to sabotage systems change frequently, increase in sophistication, and often are not identified at the time that they are launched against a target. These risks apply to our installed base of products, products we currently sell, new products we will introduce in the future, and older technology that we no longer sell or service but remains in use by customers. Additionally, we offer software, cloud, and edge products that are developed by, controlled by, or are hosted by third-party providers. A cybersecurity breach of our systems or products, of our customers’ or service providers’ network security and systems, or of other third-party services could disrupt treatment being delivered to patients or interfere with our customers’ operations, and could lead to the loss of, damage to, or public disclosure of our employees’ and customers’ stored information, including personal data, such as individually identifiable health information (“protected health information” or “PHI”). Such an event could have serious negative consequences, including alleged customer or patient harm, obligations to notify enforcement authorities or users of our products, voluntary or forced recalls of or modifications to our products, regulatory actions, fines, penalties and damages, reduced demand for or use of our offerings by customers, harm to our reputation, and time-consuming and expensive litigation, any of which could have a material adverse effect on our business results, cash flows, financial condition, or prospects.</w:t>
      </w:r>
    </w:p>
    <w:p>
      <w:pPr>
        <w:spacing w:after="0" w:line="155"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There are increasingly large volumes of information, including patient data, being generated that need to be securely processed and stored by healthcare organizations. Our IT systems have been subject to computer malware, unauthorized access, and other cyber-attacks. There has been an increase in the frequency and sophistication of the cybersecurity threats we and our service providers face, and we expect these activities to continue to increase.</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Geopolitical tensions or conflicts, such as the conflict between Russia and Ukraine, and the increased adoption of AI technologies, may further heighten the risk of cyber-attacks. Additionally, leveraging AI capabilities to potentially improve internal functions and operations presents further risks and challenges, including the possibility of creating new attack methods for adversaries. The use of AI to support business operations carries inherent risks related to data privacy, IP, and security, such as intended, unintended, or inadvertent transmission of proprietary, confidential, or sensitive information, as well as challenges related to implementing and maintaining AI tools, such as developing and maintaining appropriate datasets for such support. If we fail to implement adequate safeguards, the use of AI may introduce additional operational vulnerabilities by producing inaccurate outcomes based on flaws in the underlying data or methodologies, or unintended results.</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Furthermore, we may also be exposed to a more significant risk if such actions are taken by state or state-affiliated actors. The objectives of these cyber-attacks vary widely and may include, among other things, unauthorized access to personal, customer, or third-party information, disruptions in operations and the provision of services to customers, or theft of IP or other sensitive assets or information belonging to us, our business partners, or customers. As such attacks become more effective, the risks in this area continue to grow. The back-up systems we have in place may not be adequate in the event of a failure or interruption. We may not have current capabilities to identify all vulnerabilities, which may allow others to exploit persistent potential exposures within our IT systems and products. We could suffer significant business disruption, including transaction errors, supply chain or manufacturing interruptions, processing inefficiencies, data loss, loss of customers, reputational damage, the loss of or damage to IP or other proprietary information, litigation, investigation, and possible liability to employees, customers, suppliers, patients, and regulatory authorities as a result of a successful cyber-attack. Further, our ability to effectively plan, forecast, and execute our business plan and comply with applicable laws and regulations may be impaired by such cyber-attacks. Any of the above could have a material adverse effect on our business results, cash flows, financial condition, or prospects, and on the timeliness of reporting our operating results.</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rely on software, SaaS, hardware, and other material components from a number of third parties to manufacture our products. If a material cyber incident impacting a supplier were to result in its prolonged inability to use, manufacture and/or ship such components, this could impact our ability to manufacture and/or use our products. In addition, third-party sourced software components, malicious code, or a critical vulnerability emerging within such software could expose our customers to increased cyber risk. While we have undertaken efforts to mitigate cybersecurity risks, these efforts may not prevent all incidents.</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If we were to experience a significant cybersecurity breach of our information systems or data, the costs associated with the investigation, remediation, and potential notification of the breach to customers, regulators, and counterparties, as well as any related litigation expenses, fines, penalties, or damages, could be material. In addition, our remediation efforts may not be successful. The data privacy and IT security insurance coverage we currently maintain may be inadequate. In addition, the market for such insurance continues to evolve and, in the future, our data privacy and IT security insurance coverage may be prohibitively expensive or not available on acceptable terms or in sufficient amounts,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We are subject to stringent privacy laws and information security policies and regulations.</w:t>
      </w:r>
    </w:p>
    <w:p>
      <w:pPr>
        <w:spacing w:after="0" w:line="19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products and systems receive, generate, and store significant volumes of personal and sensitive information, such as employee, customer, and patient data. Moreover, our digital ecosystem, which is intended to provide our customers with greater access to a broad array of personal and sensitive information to improve delivery of care to their patients, heightens our risks associated with the protection of such information. We have legal and contractual obligations regarding the protection of confidential and personal information and the appropriate collection, use, retention, protection, disclosure, transfer, and other processing of such data. Additionally, regulators within the United States and around the world are evaluating how best to regulate development and use of data as well as AI technologies. We are subject to various privacy law regimes in the different jurisdictions in which we operate, including comprehensive regulatory systems in Europe, Latin America, and Asia Pacific and sector-specific requirements in the United States. Certain international jurisdictions have enacted or are enacting data localization laws mandating that certain types of data collected in a particular jurisdiction be physically stored within that jurisdiction.</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There are numerous U.S. federal and state laws and regulations related to the privacy and security of personal information. In particular, regulations promulgated pursuant to HIPAA establish privacy and security standards that limit the use and disclosure of PHI, require the implementation of safeguards to protect the privacy and security of PHI and ensure the confidentiality, integrity, and availability of electronic PHI, and require the provision of notice in the event of a breach of PHI. If we are unable to properly protect the privacy and security of PHI, we could face liability for breach of our contracts with our customers. Further, if we fail to comply with applicable HIPAA privacy and security standards, we could face civil and criminal penalties. In addition, there are also various state-level laws (e.g., the California Consumer Privacy Act), both enacted and proposed, that we must monitor for applicability and impact to our business and for which we must implement necessary controls and other requirements (if applicable).</w:t>
      </w:r>
    </w:p>
    <w:p>
      <w:pPr>
        <w:spacing w:after="0" w:line="20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addition, we are subject to the laws and regulations of foreign jurisdictions including, without limitation, the GDPR in the EU and the United Kingdom (“U.K.”) data protection legislation (including the GDPR, as it forms part of the law of the U.K. by virtue of the U.K. GDPR and the U.K. Data Protection Act 2018 (the “U.K. Data Protection Act”)). The GDPR contains robust, direct obligations on data processors in addition to data controllers, heavier documentation requirements for company data protection compliance programs, stringent reporting obligations of data breach to data protection authorities, and a prohibition on the transfer of personal data from the EU to other countries whose laws do not protect personal data to an adequate level of privacy or security (unless an approved cross-border transfer mechanism, such as binding corporate rules for personal data transfers, is maintained). Data protection authorities have the power to impose substantial administrative fines for violations of the GDPR and the U.K. GDPR. Such penalties are in addition to any civil litigation or damages from claims by data controllers, customers, and data subjects. If we fail to comply with the GDPR, the U.K. GDPR, and the U.K. Data Protection Act, we could face fines, penalties, and harm to our reputation.</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China, we are subject to laws and regulations governing both the use and disclosure of confidential patient medical information that may become more restrictive in the future, including restrictions on transfer of healthcare data (e.g., China PIPL). In China, we are also subject to the Cyber Security Law of China and accompanying regulations, which designate healthcare as a priority area that is part of critical information infrastructure and has recently increased privacy protections. Some of our products may be required to comply with detailed standards or guidance documents on cybersecurity and privacy issued by various regulatory authorities. Should the privacy or cybersecurity regime in China become more stringent, we could be required to implement additional safeguards and systems, which could be costly and cause disruption to our business in China.</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addition, privacy laws and regulations in other regions of the world, such as Asia and Latin America, are becoming stricter and may potentially impose additional requirements on our business (e.g., Brazil’s General Data Protection Law (Lei Geral de Proteção de Dados Pessoias)), and certain jurisdictions have implemented data localization laws that can be costly and operationally difficult to satisfy. We cannot be sure how these laws and regulations will be interpreted, enforced, or applied to our operations. In addition to the risks associated with enforcement activities and potential contractual liabilities, our ongoing efforts to comply with evolving laws and regulations may be costly and require ongoing modifications to our policies, procedures, and systems. If we, or third parties, fail to adequately safeguard confidential personal data, or if such information or data are wrongfully used by us or by third parties, or disclosed to unauthorized persons or entities, such an event could have a material adverse effect on our business results, cash flows, financial condition, or prospects.</w:t>
      </w:r>
    </w:p>
    <w:p>
      <w:pPr>
        <w:spacing w:after="0" w:line="223"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Our increasing focus on and investment in cloud, edge, AI, and software offerings present risks to our business. We may not be successful in driving the global deployment and customer adoption of digital offerings characterized by digital applications and solutions.</w:t>
      </w:r>
    </w:p>
    <w:p>
      <w:pPr>
        <w:spacing w:after="0" w:line="16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 growing part of our business involves cloud, edge, AI (including generative AI), and software solutions,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195" w:lineRule="exact"/>
        <w:rPr>
          <w:sz w:val="20"/>
          <w:szCs w:val="20"/>
          <w:color w:val="auto"/>
        </w:rPr>
      </w:pPr>
    </w:p>
    <w:p>
      <w:pPr>
        <w:ind w:left="660" w:right="14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4" w:name="page25"/>
    <w:bookmarkEnd w:id="24"/>
    <w:p>
      <w:pPr>
        <w:ind w:left="660" w:right="2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 and</w:t>
      </w:r>
    </w:p>
    <w:p>
      <w:pPr>
        <w:spacing w:after="0" w:line="196" w:lineRule="exact"/>
        <w:rPr>
          <w:rFonts w:ascii="Arial" w:cs="Arial" w:eastAsia="Arial" w:hAnsi="Arial"/>
          <w:sz w:val="16"/>
          <w:szCs w:val="16"/>
          <w:color w:val="auto"/>
        </w:rPr>
      </w:pPr>
    </w:p>
    <w:p>
      <w:pPr>
        <w:ind w:left="660" w:right="40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ensuring these solutions meet regulatory requirements in a fast-moving space disrupted by changing regulations around data and the need for innovation, including obtaining marketing authorizations when required.</w:t>
      </w:r>
    </w:p>
    <w:p>
      <w:pPr>
        <w:spacing w:after="0" w:line="196"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It is uncertain whether our strategies will attract customers or generate revenue required to succeed in this highly competitive and rapidly changing global market. We commit substantial efforts, funds, and other resources to R&amp;D and IT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Cloud, edge, and software solutions in healthcare must comply with stringent regulations, including certification requirements, in many of the countries in which our customers are located, particularly in relation to obtaining, using, storing, and transferring personal data. Our software solutions must be compliant with applicable regulations in the country in question before we can launch our offerings. In some jurisdictions, we must obtain marketing authorizations before commercializing software solutions. Such regulatory compliance may take longer or cost more than expected or require that design changes be incorporated into our offerings. In addition, changes to reimbursement policies for digital healthcare offerings could potentially lead to delays and additional expense. The inability of customers to obtain adequate reimbursement from private and governmental third-party payers could adversely affect purchasing decisions and prices and cause our revenue and profitability to suffer.</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Additionally, we are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The use of AI in healthcare offerings also poses certain clinical risks resulting from potential misdiagnosis or misinformation provided from AI applications, diminishing critical judgment, or loss of interpersonal care from clinicians. These deficiencies could undermine the decisions, predictions, or analysis AI applications produce, as well as their adoption, subjecting us to competitive harm; legal liability, including under new proposed legislation regulating AI in jurisdictions such as the EU or new applications of existing data protection, privacy, IP, and other laws; regulatory actions; and reputational harm. In addition, some AI scenarios, such as using AI applications to generate patient data, even if synthetic and non-identifiable, present ethical, privacy, or other social issues, risking reputational harm and/or reduced market demand or acceptance of AI solutions. The safeguards we have designed to promote the ethical implementation of AI may not be sufficient to protect us against negative outcomes. Furthermore, we contract with numerous third parties to offer our digital content to customers as well as to assist with the development of their own software applications and services, and our reliance on access to these third parties’ healthcare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All of these risks are amplified by the critical nature of healthcare decisions and the sensitivity of health-related information, and the occurrence of any of the above could have a material adverse effect on our business results, cash flows, financial condition, or prospects.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RISKS.</w:t>
      </w:r>
    </w:p>
    <w:p>
      <w:pPr>
        <w:spacing w:after="0" w:line="25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The failure to comply with the FCPA and similar anti-corruption and anti-bribery laws globally has resulted and could continue to result in civil or criminal sanctions and adversely affect our business.</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FCPA, the U.K. Bribery Act of 2010 (“UKBA”), and similar anti-corruption and anti-bribery laws in other jurisdictions generally prohibit companies from offering and making corrupt payments to or otherwise engaging in bribery of government officials. We operate in many parts of the world that have experienced elevated levels of public sector corruption. Because of the predominance of government-sponsored healthcare systems around the world, many of our customer relationships outside of the United States are with governmental entities, the employees of which may be considered government officials under such laws. Many anti-corruption laws, such as the UKBA, also prohibit bribery of private sector individuals, and thus extend far beyond interactions with government officials. We also are subject to the FCPA’s accounting provisions, which require us to keep accurate books and records and to maintain an adequate system of internal accounting controls sufficient to provide reasonable assurances of management’s control, authority, and responsibility over our assets. Non-U.S. companies, including some of our competitors, may not be subject to the provisions of the FCPA. If these competitors engage in corrupt practices, they may gain a business advantage.</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25" w:name="page26"/>
    <w:bookmarkEnd w:id="25"/>
    <w:p>
      <w:pPr>
        <w:spacing w:after="0" w:line="255" w:lineRule="auto"/>
        <w:rPr>
          <w:sz w:val="20"/>
          <w:szCs w:val="20"/>
          <w:color w:val="auto"/>
        </w:rPr>
      </w:pPr>
      <w:r>
        <w:rPr>
          <w:rFonts w:ascii="Arial" w:cs="Arial" w:eastAsia="Arial" w:hAnsi="Arial"/>
          <w:sz w:val="16"/>
          <w:szCs w:val="16"/>
          <w:color w:val="auto"/>
        </w:rPr>
        <w:t>Global enforcement of anti-corruption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Companies in the healthcare sector have been a particular focus of government enforcement in recent years. We also face the risk of unauthorized payments, offers of payments, or requests for payments being made by our employees, intermediaries, channel partners and their sub-parties, customers or customer representatives, consultants, or other representatives. We may face liability under anti-corruption laws based upon the actions or inactions of these parties even when they are not subject to our control and/or are not contractually bound to us. We may also face liability from employee misconduct, such as fraud, which cannot always be deterred or prevented. Enforcement of anti-corruption laws in the healthcare industry in recent years has focused on international operations, particularly in countries such as China, Brazil, Mexico, and Russia. China’s anti-corruption agency, the National Supervisory Commission, has the power to investigate government officials and individuals employed by state-owned entities and public institutions and to collect evidence (including from private companies and individuals), seize assets, and recommend cases for prosecution. In recent years, the Chinese judicial branch has publicly disclosed an increasing number of judgments against government officials and others found to have engaged in corruption and other misconduct across many industries; certain of these judgments contain references that identify some of our products, employees, and channel partners. We review these judgments and other concerns we identify and conduct internal inquiries where appropriate. In 2023, China’s Central Commission for Discipline Inspection, the National Supervisory Commission, and other governmental entities in China initiated an anti-corruption campaign focused on the healthcare sector, which has resulted in the investigation of and judgments against a number of individuals and entities operating in the healthcare sector. If we are subject to any enforcement proceedings related to this campaign, we could face civil and criminal fines, penalties, and other sanctions. Additionally, 2018 amendments to China’s Anti-Unfair Competition Law revised the definition of commercial bribery to include conduct “seeking transaction opportunities or competitive advantage.” Consequences for violations include civil, administrative, and criminal penalties for businesses that commit acts of unfair competition (including commercial bribery).</w:t>
      </w:r>
    </w:p>
    <w:p>
      <w:pPr>
        <w:spacing w:after="0" w:line="140" w:lineRule="exact"/>
        <w:rPr>
          <w:sz w:val="20"/>
          <w:szCs w:val="20"/>
          <w:color w:val="auto"/>
        </w:rPr>
      </w:pPr>
    </w:p>
    <w:p>
      <w:pPr>
        <w:jc w:val="both"/>
        <w:ind w:right="360"/>
        <w:spacing w:after="0" w:line="275" w:lineRule="auto"/>
        <w:rPr>
          <w:sz w:val="20"/>
          <w:szCs w:val="20"/>
          <w:color w:val="auto"/>
        </w:rPr>
      </w:pPr>
      <w:r>
        <w:rPr>
          <w:rFonts w:ascii="Arial" w:cs="Arial" w:eastAsia="Arial" w:hAnsi="Arial"/>
          <w:sz w:val="16"/>
          <w:szCs w:val="16"/>
          <w:color w:val="auto"/>
        </w:rPr>
        <w:t>It is our policy to develop and implement safeguards and to educate our employees and certain third parties concerning these legal requirements and to prohibit improper practices. However, our existing safeguards and any future improvements may not always be effective, and employees or certain third parties may engage in conduct for which we may be held responsible or suffer reputational harm.</w:t>
      </w:r>
    </w:p>
    <w:p>
      <w:pPr>
        <w:spacing w:after="0" w:line="12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Any alleged or actual violations of these laws or regulations may subject us to government scrutiny, criminal, civil, or administrative sanctions, stockholder lawsuits, reputational damage, and other liabilities. From time to time, we make self-disclosures regarding our compliance with the FCPA and similar laws to relevant authorities who may pursue or decline to pursue enforcement proceedings against us. We, with the assistance of outside counsel, made voluntary self-disclosures to the SEC and the DOJ beginning in 2018 regarding tender irregularities and other potential violations of the FCPA relating to our activities in certain provinces in China. We have been engaged in ongoing discussions with each of the SEC and the DOJ regarding these matters.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 Furthermore, a violation of certain anti-corruption laws could result in exclusion from government healthcare programs. In addition, governmental entities may seek to hold us liable for violations committed by any companies in which we invest or that we may acquire. The costs associated with the investigation, remediation, and potential notification of any violation to customers, regulators, and counterparties could be material. Any of the foregoing could have a material adverse effect on our business results, cash flows, financial condition, or prospects.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anti-kickback and false claims laws and failure to comply with these laws could adversely affect our business.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commercial practices of companies selling medical devices, pharmaceutical products and related services, and other arrangements with customers are generally subject to various U.S. federal, U.S. state, and foreign healthcare laws intended to prevent fraud and abuse in the healthcare industry and protect the integrity of government healthcare programs. These laws include anti-kickback laws and false claims laws. Anti-kickback laws, such as the AKS, generally prohibit anyone from soliciting, offering, receiving, or paying any remuneration to generate or reward business, including the purchase of a particular product or service for which payment may be made under a federal healthcare program. The U.S. Department of Justice has interpreted the AKS to cover any arrangement where one purpose of the remuneration is to induce or reward referrals of products or services reimbursable under U.S. federal healthcare programs. False claims laws generally prohibit anyone from knowingly presenting, or causing to be presented, any claims for payment for goods or services to third-party payers that are false or fraudulent. Claims generated as a result of kickbacks may be treated as false or fraudulent. In the U.S., the FCA imposes civil liability on any person or entity that submits, or causes the submission of, a false or fraudulent claim to the U.S. government. The FCA also allows a private individual or entity with knowledge of past or present fraud against the federal government to sue on behalf of the government to recover civil penalties and treble damages. In certain cases, manufacturers have entered criminal and civil settlements with the federal government under which they entered into plea agreements, paid substantial monetary amounts, and entered into corporate integrity agreements that require, among other things, substantial ongoing reporting, monitoring, and other remedial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6" w:name="page27"/>
    <w:bookmarkEnd w:id="26"/>
    <w:p>
      <w:pPr>
        <w:spacing w:after="0" w:line="258" w:lineRule="auto"/>
        <w:rPr>
          <w:sz w:val="20"/>
          <w:szCs w:val="20"/>
          <w:color w:val="auto"/>
        </w:rPr>
      </w:pPr>
      <w:r>
        <w:rPr>
          <w:rFonts w:ascii="Arial" w:cs="Arial" w:eastAsia="Arial" w:hAnsi="Arial"/>
          <w:sz w:val="16"/>
          <w:szCs w:val="16"/>
          <w:color w:val="auto"/>
        </w:rPr>
        <w:t>We often enter complex contractual research agreements, collaborations, and similar arrangements with our customers and other healthcare professionals. These arrangements may result in transfers of value from us to our customers and other healthcare professionals (and vice versa), which require appropriate implementation to ensure compliance with anti-kickback and false claims laws and regulations. A failure by any of our employees or agents to abide by the policies and procedures we have in place to comply with these laws and regulations could result in potential criminal or civil penalties and damages against us, which may include treble damages, fines, or penalties under the FCA. Addressing such claims could generate significant expenses and take up significant management time, even if such claims are without merit.</w:t>
      </w:r>
    </w:p>
    <w:p>
      <w:pPr>
        <w:spacing w:after="0" w:line="13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If we are not successful in defending ourselves, violations of fraud and abuse laws could have a significant impact on our business, including the potential imposition of civil, criminal, and administrative penalties, damages, disgorgement, monetary fines, individual imprisonment, possible exclusion from participation in certain government healthcare programs, contractual damages, reputational harm, diminished profits and future earnings, and curtailment or restructuring of our operations. The U.S. federal government, various U.S. states, and certain foreign governments have also enacted other laws to regulate the sales and marketing practices of companies selling medical devices, pharmaceutical products, and related services. These laws and regulations generally define permissible and impermissible financial interactions between manufacturers or service providers and healthcare providers, require disclosure to the government and public of such interactions, and require the adoption of compliance standards or programs. Individual U.S. states have become active in seeking to regulate the marketing of medical devices, pharmaceutical products, and related services under state consumer protection and false advertising laws. Other laws require disclosure of certain interactions with, or payments to, healthcare providers (e.g., the Sunshine Act). Given the evolving nature of these laws, their implementation, and increasing enforcement activity, compliance efforts can be resource-intensive and costly, and we could be subject to penalties and damages if the government finds deficiencies. The costs associated with the investigation, remediation, and potential notification of any violation to customers, regulators, and counterparties could be material. Any of these risks could have a material adverse effect on our business results, cash flows, financial condition, or prospects.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antitrust and competition laws that can result in sanctions and conditions on the way we conduct our business.</w:t>
      </w:r>
    </w:p>
    <w:p>
      <w:pPr>
        <w:spacing w:after="0" w:line="26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Increased government scrutiny of our actions or enforcement of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cash flows, financial condition, or prospects.</w:t>
      </w:r>
    </w:p>
    <w:p>
      <w:pPr>
        <w:spacing w:after="0" w:line="21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1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From time to time, we enter into collaborations, licensing arrangements, joint ventures, or strategic alliances with third parties to complement or augment our capabilities, including in R&amp;D, product development, manufacturing, and marketing. Evaluating, appropriately structuring, negotiating, and implementing such arrangements may be a lengthy and complex process and must meet with applicable business, legal, and compliance requirements. Other companies may compete with us for these opportunities. As a result, we may not identify, secure, or complete such arrangements in a timely manner, on a cost-effective basis, or on otherwise favorable terms, if at all.</w:t>
      </w:r>
    </w:p>
    <w:p>
      <w:pPr>
        <w:spacing w:after="0" w:line="19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may not realize the expected benefits from these arrangements. We may not be able to exercise sole decision-making authority regarding any such collaboration, licensing arrangement, joint venture, or strategic alliance. This could create the risk of impasses on decisions,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IP developed during the arrangement. Our partners may suffer adverse commercial, financial, or legal circumstances that are outside of our control and may jeopardize their success, our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ind w:right="20"/>
        <w:spacing w:after="0" w:line="265" w:lineRule="auto"/>
        <w:rPr>
          <w:sz w:val="20"/>
          <w:szCs w:val="20"/>
          <w:color w:val="auto"/>
        </w:rPr>
      </w:pPr>
      <w:r>
        <w:rPr>
          <w:rFonts w:ascii="Arial" w:cs="Arial" w:eastAsia="Arial" w:hAnsi="Arial"/>
          <w:sz w:val="16"/>
          <w:szCs w:val="16"/>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foreign entities with which we partner, quality control, and legal and regulatory violations committed by partners whose actions are outside of our control. See “Risks Relating to Quality, Regulation, and Compliance.” Any of the foregoing could have a material adverse effect on our business results, cash flows, financial condition, or prospects.</w:t>
      </w:r>
    </w:p>
    <w:p>
      <w:pPr>
        <w:spacing w:after="0" w:line="201" w:lineRule="exact"/>
        <w:rPr>
          <w:sz w:val="20"/>
          <w:szCs w:val="20"/>
          <w:color w:val="auto"/>
        </w:rPr>
      </w:pPr>
    </w:p>
    <w:p>
      <w:pPr>
        <w:ind w:right="760"/>
        <w:spacing w:after="0" w:line="294" w:lineRule="auto"/>
        <w:rPr>
          <w:sz w:val="20"/>
          <w:szCs w:val="20"/>
          <w:color w:val="auto"/>
        </w:rPr>
      </w:pPr>
      <w:r>
        <w:rPr>
          <w:rFonts w:ascii="Arial" w:cs="Arial" w:eastAsia="Arial" w:hAnsi="Arial"/>
          <w:sz w:val="16"/>
          <w:szCs w:val="16"/>
          <w:b w:val="1"/>
          <w:bCs w:val="1"/>
          <w:i w:val="1"/>
          <w:iCs w:val="1"/>
          <w:color w:val="auto"/>
        </w:rPr>
        <w:t>We are subject to laws and regulations governing government contracts, public procurement, and government reimbursements in many jurisdictions, as to which the failure to comply could adversely affect our business.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agreements relating to the sale of our offerings to government entities around the world. Additionally, we are directly or indirectly subject to government policies governing reimbursement for healthcare procedures and services. As a result, we are subject to various statutes and regulations in a variety of jurisdictions that apply to companies doing business with the government. The laws governing government contracts can differ from the laws governing private contracts, and government contracts may contain terms and conditions that are not applicable to private contracts or that expose us to higher levels of risk and potential liability than non-government contracts. Similarly, most jurisdictions have public procurement laws and reimbursement policies that set out rules and regulations for purchases and reimbursements by governmental entities. These jurisdictions may modify their laws, policies, rules, or regulations, or impose new requirements that could adversely affect our business. We are subject to investigation for non-compliance with the regulations governing government contracts, public procurement, and government reimbursements. A failure to comply with these regulations could result in suspension of these contracts, delayed or reduced payment, criminal, civil, or administrative penalties, contract termination, reputational harm that diminishes our ability to successfully compete for new government work, or debarment.</w:t>
      </w:r>
    </w:p>
    <w:p>
      <w:pPr>
        <w:spacing w:after="0" w:line="22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For contracts with the U.S. federal government, with certain exceptions, we must comply with the Federal Acquisition Regulation and applicable agency rules, the Procurement Integrity Act, the Buy American Act, and/or the Trade Agreements Act. Because the use of our products, services, and solutions is often reimbursed by the U.S. federal government through Medicare and Medicaid, we must comply with the AKS, the Sunshine Act, and the FCA. See “We are subject to anti-kickback and false claims laws, and failure to comply with these laws could adversely affect our business.” We must also comply with various other domestic and foreign government regulations and requirements as well as various statutes related to employment and labor practices, supply chain requirements, reporting and disclosure obligations, EH&amp;S matters, recordkeeping, and accounting. Certain countries impose additional requirements on government suppliers as a prerequisite to doing business in the country. These can include, among other things, local headcount requirements, local manufacturing and supplier requirements, and technology or IP transfers.</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China has a government-run procurement system for public hospitals to obtain medical devices (mainly high-value medical consumables) and drugs. The system for reimbursing the costs of these medical devices and drugs for patients is also set by the central and local governments. Medical device and drug distribution chains may be restricted in certain provinces by a policy that requires that at most two tax invoices may be issued throughout the distribution chain, which effectively prohibits sale of products through multi-layer distributors (even between wholly-owned subsidiaries). The continued existence, and any expansion and tightening, of this policy, could present significant challenges for our relevant products to reach a larger geographic area in China. Failure to comply with this policy may preclude us from participating in the government-run procurement processes with public hospitals or result in our disqualification from engaging in respective medical device or product sales to public hospitals in a certain locality. These regulations and requirements affect how we transact business with our clients and, in some instances, impose additional costs and risks on our business operations for the relevant products.</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Additionally, some governmental entities, including the U.S. federal government, can terminate contracts for their convenience or for our default. These governmental entities may also be subject to continued legislative funding approval. Early termination for convenience of one or more of our contracts, or a change in a government customer’s funding levels, including as a result of a U.S. federal government shutdown, could impact our expected revenues. See “Demand for some of our products depends on capital spending policies of our customers and on government funding policies.” A termination for default of one or more of our contracts could subject us to penalties and damages resulting from the default, including costs for the governmental entity to reprocure the items under contract, in addition to other penalties previously listed.</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U.S. federal government could also invoke the Defense Production Act (“DPA”), requiring that we accept and prioritize contracts for materials deemed necessary for national defense, regardless of loss in revenue incurred on such contracts. In such circumstances, we may be required to reallocate time and resources away from our customers to fulfill U.S. federal government requests under the DPA. This could cause us to be unable to fulfill contractual obligations to non-U.S. federal government customers and harm long-term business relationships with our customers, suppliers, and channel partners,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ind w:right="40"/>
        <w:spacing w:after="0" w:line="258" w:lineRule="auto"/>
        <w:rPr>
          <w:sz w:val="20"/>
          <w:szCs w:val="20"/>
          <w:color w:val="auto"/>
        </w:rPr>
      </w:pPr>
      <w:r>
        <w:rPr>
          <w:rFonts w:ascii="Arial" w:cs="Arial" w:eastAsia="Arial" w:hAnsi="Arial"/>
          <w:sz w:val="16"/>
          <w:szCs w:val="16"/>
          <w:color w:val="auto"/>
        </w:rPr>
        <w:t>We are also subject to government audits, investigations, and oversight proceedings. Efforts to ensure our business arrangements comply with applicable laws involve substantial costs. It is possible that governmental and enforcement authorities will conclude that our business practices do not comply with current or future laws and regulations. If any such actions are instituted against us, defense can be costly and time-consuming, and may require significant financial and personnel resources. If we are not successful in defending ourselves or asserting our rights, those actions could have a significant impact on our business, including the imposition of civil, criminal, and administrative penalties, damages, disgorgement, monetary fines, individual imprisonment, possible exclusion from participation in certain government healthcare programs (including Medicare and Medicaid in the United States), contractual damages, reputational harm, diminished profits and future earnings, and curtailment or restructuring of our operations. In addition, any of our government contracts could be terminated or we could be suspended or debarred from all government contract work. We also possess dependencies on governments relative to workforce protocols and customs decisions due to events that are difficult to predict, such as pandemics and regional conflicts. Any of these risks could have a material adverse effect on our business, cash flows, financial condition, results of operations, or prospects.</w:t>
      </w:r>
    </w:p>
    <w:p>
      <w:pPr>
        <w:spacing w:after="0" w:line="211"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Efforts by public and private payers to control the growth of healthcare costs may lead to lower reimbursements or increased utilization controls related to the use of our products by healthcare providers, which may affect the price of and demand for our products, services, or solutions.</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Sales of many of our offerings directly or indirectly depend on the availability of reimbursement and the amount of reimbursement that our customers may seek from various third-party payers, including government programs, authorities, or agencies (e.g., Medicare and Medicaid in the United States), and private health plans. In general, employers and third-party payers, particularly in the United States, have become increasingly cost-conscious, with higher deductibles imposed in many medical plans. The imposition of higher deductibles tends to inhibit individuals from seeking the same level of medical treatments as they might seek if the costs were lower, particularly in the medical diagnostic portion of our business. Third-party payers have also increased utilization controls related to the use of our offerings by healthcare providers.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Without adequate support from third-party payers, the market for our offerings may be limited and adversely impacted. Governments and other payers may institute changes in healthcare delivery systems that reduce funding for services or encourage greater scrutiny of healthcare costs. The ability of customers to obtain appropriate reimbursement for our offerings from third-party payers is critical to the success of medical technology companies because it affects which offerings customers purchase and the prices they are willing to pay. Some countries impose drug price controls or reimbursement limitations for pharmaceutical products. Even if we develop promising new offerings, we may find limited demand for the offerings unless reimbursement approval is obtained from third-party payers. Further legislative or administrative reforms that impact reimbursements or pricing could have a material adverse effect on our business results, cash flows, financial condition, or prospects.</w:t>
      </w:r>
    </w:p>
    <w:p>
      <w:pPr>
        <w:spacing w:after="0" w:line="21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the United States, private third-party payers, although independent from Medicare, sometimes use portions of Medicare reimbursement policies and payment amounts in making their own reimbursement decisions. As a result, decisions by the Centers for Medicare and Medicaid Services (“CMS”) to reimburse for a diagnosis or treatment, or changes to Medicare’s reimbursement policies or reductions in payment amounts with respect to a diagnosis or treatment, sometimes extend to U.S. third-party payers’ reimbursement policies and amounts for that diagnosis or treatment. Decision-making by our U.S. customers is complicated by the uncertainty surrounding Medicare reimbursement rates for certain procedures. From time to time, CMS and third-party payers may review and modify the factors upon which they rely to determine appropriate levels of reimbursement for certain diagnoses or treatments. In China, government authorities control the inclusion or removal of drugs from the Essential Drug List and the National Reimbursement Drug List, which govern reimbursement under state-sponsored health plans. The removal or reclassification of our products on Chinese national or provincial lists can affect the reimbursement or reimbursement rate of our products in China. Any significant cuts in reimbursement rates or changes in reimbursement methodology or administration for procedures that use our offerings, or concerns or proposals regarding further cuts or changes in methodology or administration, could further increase uncertainty, adversely affect our customers’ decisions, reduce demand for our offerings, cause customers to cancel orders, and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29" w:name="page30"/>
    <w:bookmarkEnd w:id="29"/>
    <w:p>
      <w:pPr>
        <w:ind w:right="360"/>
        <w:spacing w:after="0" w:line="294" w:lineRule="auto"/>
        <w:rPr>
          <w:sz w:val="20"/>
          <w:szCs w:val="20"/>
          <w:color w:val="auto"/>
        </w:rPr>
      </w:pPr>
      <w:r>
        <w:rPr>
          <w:rFonts w:ascii="Arial" w:cs="Arial" w:eastAsia="Arial" w:hAnsi="Arial"/>
          <w:sz w:val="16"/>
          <w:szCs w:val="16"/>
          <w:b w:val="1"/>
          <w:bCs w:val="1"/>
          <w:i w:val="1"/>
          <w:iCs w:val="1"/>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design, manufacture, sell, install, and service a wide range of products, including products and related services that are at the cutting edge of existing technologies and medical advances. Our products are used by healthcare providers to diagnose, monitor, and treat a wide range of medical conditions. We are required to comply with the highest quality standards in product manufacturing, and quality management plays an essential role in determining and meeting customer requirements, preventing defects, improving our offerings, and ensuring the safety and efficacy of our products. As a result, our business exposes us to potential product liability claims. We have been, and expect to continue to be, subject to lawsuits from customers and patients alleging that our products contributed to a personal injury, death, incorrect diagnosis, property damage, and/or that we allegedly did not appropriately warn the customer or patient of potential risks associated with the product. Even if these or similar claims are without merit, they can result in costly and time-consuming litigation. We may also be exposed to claims or regulatory action if our products do not conform or are alleged not to conform to applicable product or design specifications, labeling, or manufacturing requirements. Quality issues could result in warranty, guarantee, or other claims, including with respect to performance guarantees under service contracts. Even if such non-conformance has no actual impact on the quality of our products, we may be exposed to claims, regulatory actions, or negative press reports, or may be required to modify our products or their labeling, conduct a recall, or take other actions, any of which could adversely affect our reputation or our relationships with customers and users of our products.</w:t>
      </w:r>
    </w:p>
    <w:p>
      <w:pPr>
        <w:spacing w:after="0" w:line="21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Because some of our products are involved in the intentional delivery of radiation to the human body and other situations where people may be exposed to radiation, including X-rays, the possibility for significant bodily injury or death exists for the intended or unintended recipient of the delivery. Our products are used to diagnose and treat acutely ill patients and at critical moments in the patient care continuum, and the failure (or alleged failure) of our products to perform as expected in such moments could compromise patient treatment, which, depending on the circumstances, could be life-threatening to patients.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Product and other liability actions, claims, or injunctions are subject to significant uncertainty and may be expensive, time-consuming, and disruptive to our operations. For these and other reasons, we may choose to settle product liability claims and other liability actions against us, regardless of their actual merit. If such action or injunction were finally determined adversely to us, it could result in significant damages and reputational harm, including the possibility of punitive damages, and our financial position could be adversely affected. Adverse publicity regarding patient outcomes, accidents, failure rates, misdiagnoses, and resulting mistreatments, even ones that do not involve our products, could result in additional regulation of our products or the healthcare industry in general, cause reputational harm, and adversely affect our ability to promote, manufacture, and sell our products, even if the claims against us are later shown to be unfounded or unsubstantiated.</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Moreover, if our products gain a reputation for being unreliable, unsafe, or ineffective, our relationships with governmental authorities may be adversely affected, which could result in increased scrutiny by regulatory authorities. In addition, if one of our products is determined to be defective (whether due to design, labeling, or manufacturing defects, or other reasons), or found to be so by a regulatory authority, we may be liable for damages or fines or be required to correct, remove, or recall the product or notify competent regulatory authorities. See “Risks Relating to Quality, Regulation, and Compliance.” The adverse publicity resulting from a recall could damage our reputation and cause customers to review and possibly terminate their relationships with us, potentially beyond the product that was the subject of the action. A correction, removal, or recall could consume management and employee time, and adverse publicity, harm to our reputation, or increased regulatory scrutiny could have a material adverse effect on our business results, cash flows, financial condition, or prospects.</w:t>
      </w:r>
    </w:p>
    <w:p>
      <w:pPr>
        <w:spacing w:after="0" w:line="19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maintain product liability insurance coverage, among other liability insurance coverage, which includes deductible amounts and self-insured retentions. Our insurance coverage may prove to be inadequate, and future policies may not be available on acceptable terms or in sufficient amounts, if at all. If a material claim is successfully brought against us relating to a self-insured liability or a liability that is in excess of our insurance coverage, or for which insurance coverage is denied or limited, we could be required to pay substantial damages, which could have a material adverse effect on our business results, financial position, or prospects. Any litigation, investigation, or complaint and any adverse publicity surrounding such allegations or actions could have a material adverse effect on our business results, cash flows, financial condition, or prospects.</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Moreover, we may face substantial liability to patients, customers, and others for damages resulting from the faulty, or allegedly faulty, design, manufacture, installation, servicing, support, testing, or interoperability of our products with other products, or their misuse or failure. Our products generally operate within our customers’ facilities and network systems. Human and other errors or accidents may occur during the operation of our products in complex environments, particularly where our products are used in conjunction with products from other vendors, where interoperability or data sharing protocols may result in unsatisfactory performance even though the equipment operates according to specifications. In addition, independent service organizations could fail to adequately perform their obligations or to properly service our products, which could subject us to further liability. We may also be subject to claims for property damage, economic loss, bodily injury, or death related to or resulting from the installation, servicing, and support of our products. Any accident, mistreatment, or related injury or death could cause us to incur legal costs, subject us to litigation, recall, or regulatory enforcement actions, or generate negative publicity and cause damage to our reputation, whether or not we or our products were at fault, and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0" w:name="page31"/>
    <w:bookmarkEnd w:id="30"/>
    <w:p>
      <w:pPr>
        <w:spacing w:after="0" w:line="294" w:lineRule="auto"/>
        <w:rPr>
          <w:sz w:val="20"/>
          <w:szCs w:val="20"/>
          <w:color w:val="auto"/>
        </w:rPr>
      </w:pPr>
      <w:r>
        <w:rPr>
          <w:rFonts w:ascii="Arial" w:cs="Arial" w:eastAsia="Arial" w:hAnsi="Arial"/>
          <w:sz w:val="16"/>
          <w:szCs w:val="16"/>
          <w:b w:val="1"/>
          <w:bCs w:val="1"/>
          <w:i w:val="1"/>
          <w:iCs w:val="1"/>
          <w:color w:val="auto"/>
        </w:rPr>
        <w:t>We may become involved in litigation, arbitration, and governmental proceedings, including those stemming from third-party conduct beyond our control.</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involved in, or threatened with, legal, arbitration, and governmental proceedings or investigations from time to time in the ordinary course of our business as well as heightened scrutiny in the healthcare industry, including disputes with employees, competitors, customers, suppliers, channel partners, competition authorities, regulators, and other authorities, purported whistle-blowers, or regulatory agencies concerning allegations of, among other things, breaches of contract, product liability, product defects, IP infringement, logistics or manufacturing related topics, quality regulations, EH&amp;S or employment issues, termination of business relationship, or alleged or suspected violations of applicable laws in various jurisdictions. 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suppliers, or channel partners, or our or their respective business partners, could also result in the distraction of management resources and adversely affect our reputation, which could have a material adverse effect on our business results, cash flows, financial condition, or prospects. Like other companies in our industry, we are subject to investigations and extensive regulation by government agencies around the world. As a result, we have interactions with government agencies on an ongoing basis. Criminal charges and substantial fines or civil penalties, as well as limitations on our ability to conduct business in applicable jurisdictions, could result from government investigations.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50"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i w:val="1"/>
          <w:iCs w:val="1"/>
          <w:color w:val="auto"/>
        </w:rPr>
        <w:t>Global geopolitical and economic instability, as well as continuing uncertainties and challenging conditions in regional economies, could adversely affect our business.</w:t>
      </w:r>
    </w:p>
    <w:p>
      <w:pPr>
        <w:spacing w:after="0" w:line="15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generate the majority of our revenue outside of the United States and our business is sensitive to global economic conditions. Slower global economic growth, actual or anticipated default on sovereign debt, volatility in the currency and credit markets, inflationary pressures, high levels of unemployment or underemployment, reduced levels of capital expenditures, changes or anticipation of potential changes in government fiscal, tax, import and export, and monetary policies, changes in capital requirements for financial institutions, disruptions in the financial services industry, government deficit reduction and budget negotiation dynamics, sequestration, austerity measures, and other challenges that affect the global economy could adversely affect us and our customers, suppliers, and channel partners. Both the United States and international markets experienced significant inflationary pressures in 2023, and inflation rates in the United States, as well as in other countries in which we operate and are expected to continue at elevated levels for the near term. In addition, the Federal Reserve in the United States and other central banks in various countries have raised, and may again raise, interest rates in response to concerns about inflation, which, coupled with reduced government spending and volatility in financial markets, may have the effect of further increasing economic uncertainty and heightening these risks. Economic instability could also cause renewed uncertainty in global markets and the investment climate to deteriorate.</w:t>
      </w:r>
    </w:p>
    <w:p>
      <w:pPr>
        <w:spacing w:after="0" w:line="20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business is affected by global geopolitical conditions. Future geopolitical factors that have the effect of reducing capital expenditures generally, and for healthcare products, services, or solutions specifically, may negatively impact sales of our offerings and, as a result, make it more difficult for us to attract new customers, retain existing customers, or maintain sales at existing levels. In particular, the imposition of import and export restrictions and trade tariff developments have contributed to increased global economic uncertainty. In addition, the rise of economic nationalism could make it more difficult for us to attract new customers, retain existing customers, or maintain sales at existing levels in countries other than the United States. Geopolitical and economic risks have increased over the past few years as a result of increasing trade tensions between the United States and China. Our operations expose us to the risk that increased trade protectionism from China or other nations may adversely affect our business. Any of these risks or the further deterioration of trade relations between countries could make our offerings more expensive or non-competitive in the affected countries. Growing tensions may also lead to a deglobalization of the world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1" w:name="page32"/>
    <w:bookmarkEnd w:id="31"/>
    <w:p>
      <w:pPr>
        <w:ind w:right="20"/>
        <w:spacing w:after="0" w:line="251" w:lineRule="auto"/>
        <w:rPr>
          <w:sz w:val="20"/>
          <w:szCs w:val="20"/>
          <w:color w:val="auto"/>
        </w:rPr>
      </w:pPr>
      <w:r>
        <w:rPr>
          <w:rFonts w:ascii="Arial" w:cs="Arial" w:eastAsia="Arial" w:hAnsi="Arial"/>
          <w:sz w:val="16"/>
          <w:szCs w:val="16"/>
          <w:color w:val="auto"/>
        </w:rPr>
        <w:t>Further risks stem from geopolitical tensions and volatility (such as in Cuba, Iran, Syria, Russia, North Korea, Israel and surrounding areas, and the Red Sea region), other future conflicts that may arise, and economic sanctions imposed relating to regions and persons included on sanctioned party lists. In particular, the conflict between Ukraine and Russia may negatively impact our revenue to the extent the conflict and the sanctions significantly impact our ability to sell products or services to customers in the affected regions or collect receivables from such customers as a result of sanctions and other restrictions that impact our ability to sell products or services to customers in the affected regions and collect receivables from such customers. Given the nature of our products, we do not believe that the current sanctions and other measures imposed by the United States and other countries preclude us from conducting business in the region. However, these sanctions have made and will continue to make it more burdensome and costly to serve customers in these regions. In May 2023, the U.S. Department of Commerce implemented expanded measures that require us to obtain a license for the export, re-export, or transfer of specified medical equipment and spare parts to customers in Russia. The EU and other countries have also expanded licensing requirements for certain spare parts and other items. We have successfully applied and are continuing to apply for the licenses required to supply to these customers. The implementation of these measures affected our ability to supply customers in Russia during the last three quarters of 2023 and will continue to do so as we continue to obtain licenses. There is no guarantee we will obtain all of the licenses for which we applied, that any approvals we obtain will be on a timely basis, or that our business in Russia will not be further disrupted due to evolving legal or operational considerations. If the sanctions, restrictions, and other retaliatory measures imposed by the global community change, we may be required to cease or suspend our operations in the region or we may voluntarily elect to do so. Additionally, elections in various countries, including the United States, India, and Mexico, may further exacerbate geopolitical and geoeconomic tensions and market instability. Elections are set to take place in fifty countries during 2024. The lead up to these elections and their outcomes could result in sharp shifts in domestic, economic, and foreign policy approaches or even result in new or deepening geopolitical conflicts. We are continuously monitoring economic, political, and geopolitical developments to assess any potential future impact that may arise.</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impact of geopolitical and economic developments globally will depend on a number of factors, including the effectiveness of measures by central banks and financial authorities. Such developments may also result in or coincide with reduced budgets for capital equipment and services, particularly if it becomes more difficult for our customers to accurately forecast and plan future business activities. This, in turn, could cause our customers to reduce, delay, or abandon purchases of our offerings. An uncertain economic environment may also adversely affect our customers’ budgets and may result in pricing pressure, requests for extended warranty provisions, cancellation of service contracts, and could make it more difficult for us to collect outstanding receivables, especially in emerging markets. Any of these risks could have a material adverse effect on our business results, cash flows, financial condition, or prospects.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attention to ESG matters, including EH&amp;S matters, may impose additional costs on our business and expose us to new risks.</w:t>
      </w:r>
    </w:p>
    <w:p>
      <w:pPr>
        <w:spacing w:after="0" w:line="24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Companies across all industries are facing increasing scrutiny from investors, regulators, and other stakeholders related to their ESG commitments, performance, and disclosures, including related to climate change, diversity and inclusion, and governance standards. Investor advocacy groups, certain institutional investors, lenders, investment funds, and other influential investors are focused on companies’ ESG commitments, performance, and disclosures, and in recent years have placed increasing importance on social costs and related implications of their investments. Furthermore, organizations that provide information to investors on corporate governance and related matters have developed ratings processes for evaluating companies on their respective approaches to ESG matters. Unfavorable ESG ratings may be used by investors, lenders, and customers to inform their investment, financing, or purchasing decisions, which could have a negative impact on our business.</w:t>
      </w:r>
    </w:p>
    <w:p>
      <w:pPr>
        <w:spacing w:after="0" w:line="20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There is also increased legal and regulatory focus on ESG commitments, performance, and disclosures both in the United States and around the world. Continuing political and social attention to these issues, particularly climate change, has resulted in both existing and pending international agreements and national, regional, or local legislation and regulatory requirements specific to ESG matters. We have seen an expansion in regulatory requirements related to ESG matters, including in the United States and the European Union, a trend we expect to continue. A failure to adequately meet regulatory or stakeholder expectations may result in non-compliance, the loss of business, reputational impacts, diluted market valuation, an inability to attract customers, and an inability to attract and retain top talent.</w:t>
      </w:r>
    </w:p>
    <w:p>
      <w:pPr>
        <w:spacing w:after="0" w:line="20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have established and publicly announced ESG objectives, as well as goals related to addressing climate change. These statements reflect our current plans and aspirations and there are no guarantees that we will be able to achieve them. Our failure to deliver or accurately track and report on these objectives and goals on a timely basis, or at all, could adversely affect our reputation, financial performance, and growth, and expose us to increased scrutiny from the investment community, special interest groups, and enforcement authorities. Our ability to achieve our ESG objectives and goals is subject to numerous risks, many of which are outside of our control. Examples of such risks include the availability and cost of low- or non-carbon-based energy sources, the suitability, cost, and availability of materials and suppliers that can meet our ESG objectives and goals, and the possible organic growth of our business driven by increased customer demand for our products. Our processes and controls for reporting of ESG matters may not always comply with evolving and disparate standards for identifying, measuring, and reporting ESG metrics and such standards may change over time, any of which could result in significant revisions to our performance metrics, goals, or reported progress in achieving our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6"/>
          <w:szCs w:val="16"/>
          <w:color w:val="auto"/>
        </w:rPr>
        <w:t>We are also subject to international, national, state, and local laws, regulations, and industry and customer standards, including licensing and authorization requirements, related to EH&amp;S matters. These EH&amp;S laws, regulations, and standards apply to a broad range of activities across our whole product lifecycle and our entire global organization, including those related to (i) protection of the environment, protected species, and use of natural resources; (ii) occupational health, safety, and well-being; (iii) the use, handling, management, release, storage, transportation, remediation, and disposal of, and exposure to, hazardous waste (including biohazardous waste), radiochemical materials, and other hazardous or toxic materials; (iv) our products, including the use of certain chemicals in our products and production processes; (v) emissions to air and water; and (vi) climate change and greenhouse gas emissions. EH&amp;S laws, regulations, and standards vary by jurisdiction and have become increasingly stringent over time. These requirements impose certain responsibilities on our business, including the obligation to install pollution control technologies and obtain and maintain various environmental permits, the cost of which may be substantial. They can also impose cleanup liabilities, including with respect to discontinued or predecessor operations or third-party waste disposal sites. In some jurisdictions we are, and are likely to increasingly be, subject to climate change mitigation and adaptation regulation, tax, disclosure, and reporting requirements. If we fail to comply with these requirements, or fail to obtain or maintain a required permit, we could be subject to administrative, civil, or criminal fines and penalties, remediation costs, enforcement actions, the suspension or termination of our permits, licenses, and authorizations or operations, third-party claims, or other sanctions. In addition, private parties, including current or former employees, could bring personal injury or other claims against us due to the presence of, or exposure to, hazardous substances used, stored, or disposed of by us or contained in our products. Strict, as well as joint and several, liability may be imposed on us under EH&amp;S laws, which could render us liable for the conduct of others or for consequences of our own actions that were compliant with all applicable laws at the time those actions were taken. Insurance coverage from which we benefit as a named insured only covers a limited scope of potential liability under EH&amp;S laws and regulations in the United States and Canada. In connection with certain acquisitions, we could acquire, or be required to provide indemnification against, EH&amp;S liabilities that could expose us to material losses. The occurrence of any of the foregoing could have a material adverse effect on our business results, cash flows, financial condition, or prospects.</w:t>
      </w:r>
    </w:p>
    <w:p>
      <w:pPr>
        <w:spacing w:after="0" w:line="21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products and operations utilizing radioactive materials are subject to varying international, federal, state, and local regulations and must be conducted in accordance with a number of licenses and certifications. The handling and disposal of radioactive materials and wastes may impose significant requirements and costs, including with respect to the decommissioning of facilities handling radioactive materials. Disposal sites for the lawful disposal of materials or wastes associated with our products may be limited or non-existent, may no longer accept these materials in the future, or may accept them on unfavorable terms, which could adversely impact our operations.</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implementation of new or existing EH&amp;S laws, regulations, and industry and customer standards, and any changes to them, which we cannot predict and which have historically become more stringent over time, could increase our costs. Administrative decisions, legal developments, or other governmental or judicial actions may influence the interpretation or enforcement of EH&amp;S laws, regulations, and industry standards, and may thereby increase compliance or other costs. In addition, EH&amp;S laws, regulations, and standards may also have an adverse impact on our ability to develop our products and to maintain our access to certain markets. EH&amp;S laws and regulations enacted world-wide may require us to re-design products or production processes, or to cease using certain substances, leading to detrimental operational impacts and an increase in operating costs. Any of these risks or costs, and any future violations or liabilities under existing or future EH&amp;S laws or regulations, could have a material adverse effect on our business results, cash flows, financial condition, or prospects.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material impairments in the value of our long-lived assets, including goodwill, could adversely affect our business.</w:t>
      </w:r>
    </w:p>
    <w:p>
      <w:pPr>
        <w:spacing w:after="0" w:line="24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review our long-lived assets, including identifiable intangible assets, goodwill, and property, plant, and equipment (“PP&amp;E”), for impairment at least annually. All long-lived assets are reviewed when there is an indication that impairment may have occurred. Changes in market conditions or other changes in the outlook of value may lead to impairment charges in the future. In addition, we may sell assets that we determine are not critical to our strategy. Future events or decisions may lead to asset impairments 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equity prices, and interest rates could adversely affect our business.</w:t>
      </w:r>
    </w:p>
    <w:p>
      <w:pPr>
        <w:spacing w:after="0" w:line="260"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generate the majority of our revenue outside of the United States. Fluctuations in the value of foreign currencies relative to the U.S. dollar (“USD”) could adversely affect our financial results. As of the year ended December 31, 2023, our largest currency exposures are the Euro, Chinese Renminbi, Japanese Yen, Norwegian Krone, and British Pound Sterling. Revenues and expenses of our non-U.S. businesses are translated into USD for financial reporting purposes and fluctuations in the value of foreign currencies against the USD impact reported earnings. In addition, our assets and liabilities denominated in foreign currencies can also be impacted by changes in foreign currency exchange rates against the USD, which could result in exchange gains or losses from revaluation. We also face exchange rate risk from our investments in subsidiaries owned and operated in foreign countries. Furthermore, foreign exchange hedging activities do not offer permanent or comprehensive protection, appropriate hedging instruments may not always be available, may be prohibitively costly, or we might not be successful in effectively mitigating such exposures.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ind w:right="200"/>
        <w:spacing w:after="0" w:line="275" w:lineRule="auto"/>
        <w:rPr>
          <w:sz w:val="20"/>
          <w:szCs w:val="20"/>
          <w:color w:val="auto"/>
        </w:rPr>
      </w:pPr>
      <w:r>
        <w:rPr>
          <w:rFonts w:ascii="Arial" w:cs="Arial" w:eastAsia="Arial" w:hAnsi="Arial"/>
          <w:sz w:val="16"/>
          <w:szCs w:val="16"/>
          <w:color w:val="auto"/>
        </w:rPr>
        <w:t>Equity prices can be volatile. The prices of our common stock and equity investments have fluctuated and could fluctuate in the future, which could impact the long-term performance of the investments we hold, the value of equity compensation awards we grant, the value of plan assets held in our pension plans, and, as a result, our financial performance.</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are also exposed to volatility due to changes in interest rates, which primarily impacts our borrowings, postretirement assets and liabilities, and investments. As of December 31, 2023, we have $8,250 million of fixed-rate debt and $1,150 million outstanding on the Term Loan facility which carries a variable interest rate. With respect to our debt, we also have $1,000 million of interest rate swaps hedging the fair value of $1,000 million of our fixed-rate debt, which effectively and proportionally increase our exposure to variable interest rates. Changes in interest rates may impact the fair value of our fixed interest rate borrowings and the cash flows associated with our variable interest rate borrowings. As of December 31, 2023, our postretirement plans have $24,194 million of projected benefit obligations and $19,308 million of fair value of plan assets. Changes in interest rates may impact the valuation of these postretirement assets and liabilities, which may directly or indirectly impact our earnings or our cash flows. As of December 31, 2023, we have $2,504 million of Cash, cash equivalents, and restricted cash, which are invested to generate income based on variable interest rates. Changes in interest rates may impact the cash flows associated with these investments.</w:t>
      </w:r>
    </w:p>
    <w:p>
      <w:pPr>
        <w:spacing w:after="0" w:line="2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Changes in accounting standards and subjective assumptions, estimates, and judgments by management related to complex accounting matters could significantly affect our financial results and/or financial condition.</w:t>
      </w:r>
    </w:p>
    <w:p>
      <w:pPr>
        <w:spacing w:after="0" w:line="16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U.S. GAAP and related accounting pronouncements, implementation guidelines, and interpretations regarding a wide range of matters relevant to our business, including revenue recognition, business combination-related measurements, pensions, and taxes, are highly complex and involve many subjective assumptions, estimates, and judgments. Changes in these rules or their interpretation or changes in underlying assumptions, estimates, or judgments could significantly change our reported or expected financial results and/or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TAXATION.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applicable tax laws and regulations could adversely affect our business.</w:t>
      </w:r>
    </w:p>
    <w:p>
      <w:pPr>
        <w:spacing w:after="0" w:line="2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are subject to income and other non-income taxes (including sales, excise, and value-added) in the United States and foreign jurisdictions. Thus, the tax treatment of transactions we execute is subject to changes in tax laws or regulations, tax treaties, or positions by the relevant authority regarding the application, administration, or interpretation of these tax laws and regulations.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however, such changes could potentially result in higher tax expense and payments, along with increasing the complexity, burden, and cost of compliance.</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Beginning in 2024, many countries have enacted local legislation related to the Organization for Economic Co-operation and Development Pillar Two Global Anti-Base Erosion (“GloBE”) rules, which include the introduction of a 15% global minimum tax.</w:t>
      </w:r>
    </w:p>
    <w:p>
      <w:pPr>
        <w:spacing w:after="0" w:line="197"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Legislation is evolving and the impact on the Company will depend on the exact nature of each country’s GloBE legislation, guidance and regulations thereon, and their application by tax authorities. The Company has reviewed legislation published to date and will continue to monitor the impact of this legislation on our tax burden and will reflect the impact in our financial statements accordingly.</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Any global minimum tax is expected to be a period cost and is not anticipated to have a significant impact on our tax expense. We will continue to evaluate the potential impact on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tax burden could increase as a result of ongoing or future tax audits.</w:t>
      </w:r>
    </w:p>
    <w:p>
      <w:pPr>
        <w:spacing w:after="0" w:line="24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are subject to periodic tax audits by tax authorities.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impact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Our ability to use deferred tax assets may be subject to limitation.</w:t>
      </w:r>
    </w:p>
    <w:p>
      <w:pPr>
        <w:spacing w:after="0" w:line="24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deferred tax assets in certain countries and our ability to use such assets will depend on taxable income generation in the relevant countries over time. Further, while the majority of these assets either do not currently have an expiration date or have an expiration date that is later than when we expect to use such assets, subsequent changes to applicable tax laws in these jurisdictions, and our Tax Matters Agreement with GE (see Note 11, “Income Taxes”), could impact our ability to fully benefit from the deferred tax assets.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QUALITY, REGULATION, AND COMPLIANCE.</w:t>
      </w:r>
    </w:p>
    <w:p>
      <w:pPr>
        <w:spacing w:after="0" w:line="264"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Our business operations are subject to extensive laws and regulations, and any changes thereto or violations thereof could have a material adverse effect on our business.</w:t>
      </w:r>
    </w:p>
    <w:p>
      <w:pPr>
        <w:spacing w:after="0" w:line="15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business operations are subject to various national, regional, and local laws and regulations relating to healthcare, medical devices, pharmaceutical products, consumer protection, privacy and security, employment, accounting, EH&amp;S, import and export, product promotion, tax, antitrust, anti-corruption, anti-bribery, financing, and competition matters.</w:t>
      </w:r>
    </w:p>
    <w:p>
      <w:pPr>
        <w:spacing w:after="0" w:line="19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particular, the sale, manufacturing, distribution, servicing, and marketing of many of our offerings are highly regulated and we are subject to heightened scrutiny by regulators and other authorities around the world, including with respect to our collaborations with third parties. Regulatory scrutiny may increase in the future and could require us to change the way we operate, including the way in which we offer certain services. These laws and regulations vary by jurisdiction, are complex, change frequently, are subject to changes in interpretation and enforcement, and have tended to become more stringent over time. Moreover, certain fields, such as cloud, clinical decision support software, cybersecurity, and AI, are rapidly evolving within the industry and particularly subject to changing law and regulation.</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Furthermore, regulatory and legislative changes, such as the adoption of right-to-repair laws in the United States and elsewhere, could further strengthen the ability of ISOs to obtain valuable service contracts and directly compete with us in the services area. Right-to-repair legislation may require us to provide ISOs with increased access to our service tools, parts, documents, software updates, and training. ISOs have also brought lawsuits against OEMs in the United States requesting such access. In Europe, ISOs have supported investigations by competition authorities into alleged anti-competitive conduct by OEMs. If ISOs succeed in implementing legislative and/or regulatory reforms such as right-to-repair laws, prevail in lawsuits against OEMs, or if competition authorities confirm ISO claims, our service business could be adversely affected. In addition to affecting our services business, the activities of ISOs could expose us to a number of other risks, including: (i) loss or damage to our IP; (ii) fines, penalties, and injunctive relief; (iii) costly, time-consuming litigation or other enforcement actions; (iv) reputational harm from adverse publicity concerning product safety or reliability issues; and (v) heightened risk of a cyber-attack from ISOs’ increased access to our products, service tools, and software updates. The strengthening of ISOs and enactment of right-to-repair legislation could increase compliance costs, require changes to our business practices, or otherwise impact our ability to compete in the services and repairs area. Our ability to effectively compete with an increased number of ISOs and the continued momentum surrounding right-to-repair legislation (and similar campaigns) could adversely affect our business results, cash flows, financial condition, or prospects.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need to comply with regulations is a substantial controlling, operational, and reputational risk. A failure to comply with applicable laws and regulations could result in governmental investigations, fines, and other sanctions, the temporary or permanent shutdown of production facilities, recalls of products, product withdrawals, revocation of marketing authorizations, disqualification from participation in healthcare activities, third-party and purported whistleblower claims, import detentions, and negative publicity, which could have adverse consequences on our business results, cash flows, financial condition, or prospects. Any new legislation or regulation or any changes in the interpretation or enforcement of existing legislation or regulation may impose significant and costly new obligations on us, which may interrupt our supply of products, delay launch of new offerings, or negatively affect our cost of doing business. Given all of the foregoing, future costs and liabilities relating to compliance with applicable laws and regulations could have a material adverse effect on our business results, cash flows, financial condition, or prospects.</w:t>
      </w:r>
    </w:p>
    <w:p>
      <w:pPr>
        <w:spacing w:after="0" w:line="209"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b w:val="1"/>
          <w:bCs w:val="1"/>
          <w:i w:val="1"/>
          <w:iCs w:val="1"/>
          <w:color w:val="auto"/>
        </w:rPr>
        <w:t>We operate in a strictly regulated industry, and changes in regulations or the implementation or enforcement of existing regulations could adversely affect our business.</w:t>
      </w:r>
    </w:p>
    <w:p>
      <w:pPr>
        <w:spacing w:after="0" w:line="15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are subject to rigorous regulation governing the protection of the health and safety of patients and users of our products, as well as regulation governing development, product testing (including clinical evaluations or clinical investigations), manufacturing, labeling, safety, storage, marketing clearance or approval, advertising and promotion, import and export, sales and distribution, and performance and effectiveness. Certain laws and regulations may also affect the purchasing decisions of our customers. For example, policies in countries such as China and Russia that require purchase of locally manufactured products may affect customer purchasing decisions or our ability or voluntary decision to comply with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5" w:name="page36"/>
    <w:bookmarkEnd w:id="35"/>
    <w:p>
      <w:pPr>
        <w:ind w:right="60"/>
        <w:spacing w:after="0" w:line="265" w:lineRule="auto"/>
        <w:rPr>
          <w:sz w:val="20"/>
          <w:szCs w:val="20"/>
          <w:color w:val="auto"/>
        </w:rPr>
      </w:pPr>
      <w:r>
        <w:rPr>
          <w:rFonts w:ascii="Arial" w:cs="Arial" w:eastAsia="Arial" w:hAnsi="Arial"/>
          <w:sz w:val="16"/>
          <w:szCs w:val="16"/>
          <w:color w:val="auto"/>
        </w:rPr>
        <w:t>Additionally, our HealthCare Financial Services business is subject to various laws, rules, and regulations administered by authorities in jurisdictions where it does business, including the United States, Canada, China, France, Germany, the United Kingdom, and certain countries in Latin America. Our business may also be affected by new laws and regulations, in particular laws and regulations that may govern innovative offerings and business activities, including digital offerings, such as cloud and edge computing, software, mobile medical applications, and AI.</w:t>
      </w:r>
    </w:p>
    <w:p>
      <w:pPr>
        <w:spacing w:after="0" w:line="200"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U.S. FDA, the various competent authorities of the European Union member states or other European countries that enforce the EU’s Medical Device Regulation, and the NMPA in China are the regulatory authorities affecting us most prominently with respect to the commercialization of our medical device products, services, and solutions. There are numerous other regulatory schemes at the international, national, and sub-national levels. Regulations pertaining to our offerings are increasing in previously unregulated countries and are becoming more stringent in already regulated countries. Regulatory premarket clearance, approval, or conformity assessment requirements may affect or delay our ability to market new offerings.</w:t>
      </w:r>
    </w:p>
    <w:p>
      <w:pPr>
        <w:spacing w:after="0" w:line="22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pharmaceutical products are also subject to stringent regulatory requirements to demonstrate safety, efficacy, and quality. We must conduct clinical trials on humans before we commercialize certain products. Delays and complications in planned clinical trials can result in increased development costs and delays in regulatory authorizations and products reaching the market. These regulations can be burdensome and subject to change, exposing us to the risk of increased costs and business disruption.</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Both before and after an offering is commercially distributed, we have ongoing responsibilities under various laws and regulations, including the monitoring of product safety throughout the lifecycle, taking corrective and preventive actions to assure product quality, and reporting certain events and actions to regulatory authorities. For both medical devices and pharmaceutical products, if a regulatory authority concludes that we are not in compliance with applicable laws or regulations, or that any of our offerings are defective, ineffective, or pose an unreasonable risk for patients, users, or others, the authority may refuse to accept or authorize regulatory filings, ban such offerings, detain or seize adulterated or misbranded products, order a recall, repair, replacement, or refund of such products, or require us to notify healthcare professionals and others that the offerings present unreasonable risks of substantial harm to public health. A regulatory authority may impose operating restrictions or enjoin certain violations of applicable law pertaining to medical devices or pharmaceutical products and assess civil or criminal penalties against us. The regulatory authority may also recommend prosecution by law enforcement agencies. Any governmental law or regulation, whether existing or imposed in the future, or enforcement action taken could have a material adverse effect on our business results, cash flows, financial condition, or prospects.</w:t>
      </w:r>
    </w:p>
    <w:p>
      <w:pPr>
        <w:spacing w:after="0" w:line="21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The U.S. FDA and other regulatory agencies actively enforce the laws and regulations governing the development, approval, and clearance and commercialization of medical devices and pharmaceutical products.</w:t>
      </w:r>
    </w:p>
    <w:p>
      <w:pPr>
        <w:spacing w:after="0" w:line="182"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Our activities related to the development, manufacture, marketing, servicing, and sale of medical devices and pharmaceuticals are subject to extensive federal and state government laws and regulations in the United States. Compliance with these laws and regulations is expensive and time consuming. Failure to comply could adversely affect our business results, cash flows, financial condition, or prospects.</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Before we can market a new medical device or make substantial changes to a previously cleared or approved device, we must receive either FDA clearance under Section 510(k) of the FDCA or FDA approval of a Premarket Approval Application (“PMA”), unless an exemption applies. To obtain 510(k) clearance, the FDA must conclude that the device is “substantially equivalent” to a legally marketed predicate device, which generally refers to a device that itself has already received 510(k) clearance. To obtain PMA approval, we must provide the FDA with valid scientific evidence demonstrating that there is a reasonable assurance of the safety and effectiveness of the device for its intended uses. Development of a new investigational device or an existing device for a new intended use may require FDA approval of an Investigational Device Exemption (“IDE”) if the device at issue meets the criteria for a “significant risk” device. Even if FDA approval of an IDE is not required, clinical studies of non-significant risk devices are still subject to significant regulation and oversight, including requirements for monitoring, recordkeeping, reporting, obtaining informed consent, and institutional review board approval. A similar set of requirements governs FDA approval of pharmaceuticals. Development of new pharmaceuticals, such as imaging agents, typically begins with extensive pre-clinical R&amp;D, followed by approval of an IND, and then, upon successful completion of several phases of rigorous clinical trials, the filing and request for FDA approval of an NDA. For both medical device and pharmaceutical products, the FDA premarket review process is rigorous and not always predictable. The FDA can delay, limit, or deny clearance or approval of a product, which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16"/>
          <w:szCs w:val="16"/>
          <w:color w:val="auto"/>
        </w:rPr>
        <w:t>Once a medical device or pharmaceutical is cleared or approved, a manufacturer must notify the FDA of certain changes to the product. In the case of 510(k) medical devices, the FDA requires a device manufacturer to document its determination of whether or not a modification requires a new clearance. The FDA can review a manufacturer’s decision not to file and may disagree and require a 510(k) submission or take other regulatory actions or enforcement. Modifications to a PMA-approved device may require either submission of a PMA supplement for review and approval by the FDA prior to implementing the modification or a notification in an annual report. For pharmaceuticals, FDA approval is required before making changes to the product’s formulation, dosage, or strength, and we must submit an IND if we intend to market an approved pharmaceutical product for a new use or in a new form. We may not be able to obtain additional FDA clearance or approval for new products or for modifications to, or additional indications for, already approved or cleared products in a timely fashion, or at all. Delays in obtaining required future clearances or approvals could harm our financial performance and future growth. If we make additional modifications in the future that we believe do not or will not require additional clearances or approvals, the FDA may disagree and subsequently require a submission. We may also be required to recall or to stop selling our products as modified. This could impact our reputation, harm our operating results, or require us to redesign our products. In these circumstances, we may also be subject to legal or regulatory actions.</w:t>
      </w:r>
    </w:p>
    <w:p>
      <w:pPr>
        <w:spacing w:after="0" w:line="20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FDA and the Federal Trade Commission (“FTC”) also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FDA, FTC, and other applicable U.S. regulatory requirements or any such promotional labeling and advertising are perceived to potentially be false, misleading, or otherwise not permissible, we may face legal or regulatory actions.</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a device manufacturer, we are required to report to the FDA within specific timelines when any of our devices may have caused or contributed to death or serious injury, or when any of our devices has malfunctioned and would be likely to cause or contribute to a death or serious injury if the malfunction were to recur. We are also required to report adverse drug events associated with use of our pharmaceutical products. If these reports are not filed in a timely manner, regulators may impose sanctions impacting product sales, and we may be subject to product liability or regulatory enforcement actions, all of which would harm our business.</w:t>
      </w:r>
    </w:p>
    <w:p>
      <w:pPr>
        <w:spacing w:after="0" w:line="21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particularly with respect to emerging technologies. Failure to comply with new requirements or otherwise maintain regulatory compliance could limit or delay regulatory authorization of our products and adversely affect our business results, cash flows, financial condition, or prospects.</w:t>
      </w:r>
    </w:p>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In the United States, the FDA actively enforces laws and regulations governing the manufacture of medical devices and pharmaceutical products, and failure to comply with applicable laws and regulations could adversely affect our business.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Following FDA clearance or approval of a medical device or pharmaceutical product, our activities are subject to ongoing FDA regulation and monitoring. We are subject to the FDA’s requirements for registration and listing, as well as cGMPs, which are intended to ensure that our products are safe and consistently meet applicable requirements and specifications. The FDA’s cGMPs (referred to in the medical device context as the medical device Quality System Regulation (“QSR”)) set forth minimum requirements for the methods, facilities, and controls used in the design, testing, production, control, quality assurance, inspection, complaint handling, recordkeeping, management review, adverse event reporting, labeling, packaging, sterilization, storage, and shipping of our medical devices and pharmaceutical products. We are also required to comply with other federal and state regulations for medical devices, radiation-emitting products, and pharmaceutical products. In addition, we must engage in extensive recordkeeping and reporting and must make available our manufacturing facilities and records for periodic announced or unannounced inspections by the FDA to determine compliance with QSR, cGMPs, and similar regulatory requirements. In connection with these inspections, if the FDA believes a manufacturer has failed to comply with applicable regulations or procedures, it may issue observations through a “Form 483.” If these observations are not addressed sufficiently or in a timely manner and to the FDA’s satisfaction, the FDA may issue a Warning Letter or proceed directly to other forms of enforcement. If a Warning Letter is issued, prompt corrective action is required to come into compliance. Failure to respond timely to Form 483 observations, a Warning Letter, or other notice of non-compliance and to promptly come into compliance could result in the FDA bringing enforcement action against us, which could include the partial or total shutdown of our affected production facilities, denial of importation into the United States for products manufactured in affected non-U.S. locations, adverse publicity, and criminal and civil fines. The FDA also may request that we enter into a consent decree imposing substantial fines or permanent injunction under which our activities are substantially curtailed or subject to rigorous ongoing regulatory scrutiny. A failure to enter into or comply with a consent decree with the FDA or similar agreements with governmental entities could result in enforcement actions by the FDA or other governmental entities, liquidated damages, fines, penalties, civil or criminal liability, and other interruptions to, or expenses for,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7" w:name="page38"/>
    <w:bookmarkEnd w:id="37"/>
    <w:p>
      <w:pPr>
        <w:spacing w:after="0" w:line="258" w:lineRule="auto"/>
        <w:rPr>
          <w:sz w:val="20"/>
          <w:szCs w:val="20"/>
          <w:color w:val="auto"/>
        </w:rPr>
      </w:pPr>
      <w:r>
        <w:rPr>
          <w:rFonts w:ascii="Arial" w:cs="Arial" w:eastAsia="Arial" w:hAnsi="Arial"/>
          <w:sz w:val="16"/>
          <w:szCs w:val="16"/>
          <w:color w:val="auto"/>
        </w:rPr>
        <w:t>We also participate in the MDSAP, which is recognized by regulators in Australia, Brazil, Canada, Japan, and the United States. Audits are conducted by a third-party audit organization that has been approved by the MDSAP consortium and include audits against ISO 13485, a standard issued by the International Organization for Standardization and the specific regulatory requirements of the five participating countries. We are participating in MDSAP across all of our relevant medical device manufacturing sites. A satisfactory audit with no significant findings will result in acceptance of the audit results by all five regulators and will be in lieu of a routine audit by each of these regulators. However, an audit that results in significant non-conformances will highlight the relevant issues to all five regulators and will likely result in follow-up inspections by one or more of these regulators. In addition, participating regulators reserve the right to conduct directed inspections if any other items rise to their attention, such as product recalls or other post-market issues. We are MDSAP-certified at all of our relevant sites; further, MDSAP certification is mandatory in Canada in order to maintain regulatory licenses and to sell products in Canada. Any of these risks could have a material adverse effect on our business results, cash flows, financial condition, or prospects.</w:t>
      </w:r>
    </w:p>
    <w:p>
      <w:pPr>
        <w:spacing w:after="0" w:line="22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Compliance with laws and regulations applicable to the manufacture and distribution of our products outside the United States may be costly, and failure to comply may result in significant penalties.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general, outside the United States, our products are regulated as medical devices or pharmaceuticals by foreign governmental agencies similar to the FDA, but regulatory requirements affecting our operations and sales vary from country to country. To market our products internationally in compliance with applicable medical device and pharmaceutical regulations, we must obtain approvals for products and product modifications. These processes can be time-consuming, expensive, and uncertain, which can delay our ability to market products in those countries. Delays or failure to receive regulatory approvals, the inclusion of significant limitations on the indicated uses of a product, the loss of previously obtained approvals, or failure to comply with existing or future regulations could restrict or prevent us from doing business in a country or subject us to enforcement actions and civil or criminal penalties, which would adversely affect our business.</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Failure to obtain premarket regulatory approval of medical devices or pharmaceutical products will impact our ability to sell products in those jurisdictions. Regulatory requirements and interpretations change frequently, leading to increased scrutiny and uncertainty. As a result, market access may be delayed and additional investment may be needed. In addition to health authorities, other related healthcare, quality, consumer protection, and advertising regulators have become increasingly active in the enforcement of laws and regulations governing our products. This trend in increased enforcement could result in civil or criminal penalties, which could adversely affect our business.</w:t>
      </w: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the EEA, if we cannot support our performance claims and demonstrate compliance with the applicable regulations, we would lose our right to affix to our devices a European marking of conformity that indicates that the device meets the essential requirements of the Medical Device Regulations (a “CE marking”), which would prevent us from selling our devices in countries that recognize the CE marking. We must also comply with post-market surveillance requirements and requirements applicable to economic operators. Globally, we are required to file various reports with regulatory authorities in many countries, including reports for adverse events associated with our products.</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Some of our products are also regulated under other product-specific laws and regulations. Any efforts to send direct marketing to potential consumers of our products would need to comply with EU rules regulating such marketing, including the e-Privacy Directive 2002/58 and member state laws transposing that Directive. There are also EU laws regulating e-commerce activities more generally. Failure to comply with any such applicable laws, rules, or regulations could have a material adverse effect on our business and results of operations.</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addition to the above, the U.S. Department of the Treasury’s Office of Foreign Assets Control administers laws and regulations that restrict U.S. persons and, in some instances, non-U.S. persons in conducting activities, transacting business with, or making investments in certain countries or with governments, entities, and individuals subject to U.S. economic sanctions. Furthermore, the U.S. Department of Commerce Bureau of Industry and Security administers export controls that apply to products, software, and technology. Due to our international operations, we are subject to such laws and regulations, which are complex, restrict our business dealings with certain countries and individuals, and are constantly changing. There can be no guarantee that policies and procedures we have that are designed to assist us in complying will be effective in preventing us from a violation of these laws and regulations. Such a violation could result in potential civil penalties or criminal fines or imprisonment and have a material adverse effect on our business results, cash flows, financial condition, or prospects.</w:t>
      </w:r>
    </w:p>
    <w:p>
      <w:pPr>
        <w:spacing w:after="0" w:line="20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or, if we are deemed to have engaged in the promotion of these uses, result in costly investigations, fines, or sanctions by regulatory bodies.</w:t>
      </w:r>
    </w:p>
    <w:p>
      <w:pPr>
        <w:spacing w:after="0" w:line="18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Regulatory authorities in many countries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laws and regulations related to promotion or any such promotional labeling and advertising are perceived to potentially be false, misleading, or otherwise not permissible, we may face legal or regulatory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8" w:name="page39"/>
    <w:bookmarkEnd w:id="38"/>
    <w:p>
      <w:pPr>
        <w:ind w:right="260"/>
        <w:spacing w:after="0" w:line="261" w:lineRule="auto"/>
        <w:rPr>
          <w:sz w:val="20"/>
          <w:szCs w:val="20"/>
          <w:color w:val="auto"/>
        </w:rPr>
      </w:pPr>
      <w:r>
        <w:rPr>
          <w:rFonts w:ascii="Arial" w:cs="Arial" w:eastAsia="Arial" w:hAnsi="Arial"/>
          <w:sz w:val="16"/>
          <w:szCs w:val="16"/>
          <w:color w:val="auto"/>
        </w:rPr>
        <w:t>Regulatory authorities, including the FDA, strictly regulate the indications for use and associated promotional safety and effectiveness claims that may be made about medical devices and pharmaceuticals. In general, we are prohibited from promoting our medical devices or pharmaceutical products for uses that are not consistent with each product’s labeling, or for anticipated uses prior to regulatory approval. For any products we may develop, we receive marketing approval or clearance for specific uses. Physicians may nevertheless lawfully choose to use such products on their patients in a manner that is inconsistent with the label (“off-label use”), as the FDA, for example, does not restrict or regulate a physician’s choice of treatment within the practice of medicine.</w:t>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However, if regulatory authorities determine that our external-facing materials, oral statements, or physician training constitute promotion of an off-label use, or promotion of a product prior to obtaining necessary regulatory authorization, such authorities could request that we modify our training, promotional, or other external-facing materials or subject us to enforcement action, including the issuance of warning or untitled letters, fines, penalties, or seizures. If we are found to have promoted such uses, we may become subject to significant liability. Regulatory authorities may also request that companies enter into consent decrees or permanent injunctions under which specified promotional or other conduct is changed, curtailed, or prohibited. If we cannot successfully manage our external-facing materials or the advertising and promotion of and training for our products, we could become subject to significant liability and restrictions, which could harm our reputation and adversely affect our business. Additionally, the intentional misuse of our products, whether by customers or third parties, for non-medical purposes could result in allegations of product liability or otherwise harm our reputation. Any of these risks could have a material adverse effect on our business results, cash flows, financial condition, or prospects.</w:t>
      </w:r>
    </w:p>
    <w:p>
      <w:pPr>
        <w:spacing w:after="0" w:line="21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face similar risks in China. Medical device and pharmaceutical product labels and advertising and promotion materials must be in accordance with the approval from the NMPA. The Advertisement Law of the People’s Republic of China, the Anti-Unfair Competition Law, and related medical device and pharmaceutical regulations require government approval of advertising and prohibit the advertisement of medical devices and pharmaceutical products for off-label uses. The failure to follow these rules could lead to government investigations, significant fines, seizures of advertising material, and disqualification from participation in medical device and pharmaceutical product activities, among other penalties. Any of these risks could have a material adverse effect on our business results, cash flows, financial condition, or prospects.</w:t>
      </w:r>
    </w:p>
    <w:p>
      <w:pPr>
        <w:spacing w:after="0" w:line="20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a condition to granting marketing authorization of a medical device or pharmaceutical product, the FDA may require a company to conduct additional clinical trials or surveillance studies. The outcomes of these post-market trials could result in the loss of marketing authorization, changes in product labeling, or new or increased concerns about the safety or efficacy of a product. Regulatory agencies in countries outside of the United States often have similar authority and may impose comparable requirements. Post-marketing studies, whether conducted by us or by others, and whether mandated by regulatory agencies or voluntary, and other emerging data about marketed products, such as adverse event reports, may also adversely affect the availability or commercial potential of our products. Further, the discovery of significant problems with a product similar to one of our products that implicate (or are perceived to implicate) an entire class of products could have an adverse effect on the availability or commercial potential of the affected products. Accordingly, new data about our products, or products similar to our products, could negatively impact demand for our products due to real or perceived safety issues or uncertainty regarding efficacy and, in some cases, could result in updated labeling, restrictions on use, product withdrawal, or recall. Any of these risks could have a material adverse effect on our business results, cash flows, financial condition, or prospects.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some of our products depends on capital spending policies of our customers and on government funding policies.</w:t>
      </w:r>
    </w:p>
    <w:p>
      <w:pPr>
        <w:spacing w:after="0" w:line="260"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customers include hospitals, universities, healthcare providers, government agencies, and public and private research institutions. Many factors, including public policy spending priorities, available resources, and product and economic cycles, have a significant impact on the capital spending policies of these entities. Impasses in national, regional, or local government budgeting decisions, including as a result of a possible U.S. federal government shutdown, could lead to substantial delays or reductions in governmental spending.</w:t>
      </w:r>
    </w:p>
    <w:p>
      <w:pPr>
        <w:spacing w:after="0" w:line="200"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Many of our products have lengthy sales and purchase order cycles or are subject to competitive bidding or public tender processes. As a result, customers may delay or accelerate system purchases in conjunction with timing of their capital budget timelines or be unable to complete such purchases at all. Any of these risks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Consolidation in the U.S. healthcare industry and other changes to the U.S. healthcare environment may adversely affect our business.</w:t>
      </w:r>
    </w:p>
    <w:p>
      <w:pPr>
        <w:spacing w:after="0" w:line="24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recent years, U.S. healthcare industry participants, including distributors, manufacturers, suppliers, healthcare providers, insurers, and pharmacy chains, have consolidated or formed strategic alliances. Consolidations create larger enterprises with greater negotiating power and may result in the loss of a customer where the combined enterprise selects one distributor from two incumbents. If consolidation trends continue, it could adversely affect our business results, cash flows, financial condition, or prospects.</w:t>
      </w:r>
    </w:p>
    <w:p>
      <w:pPr>
        <w:spacing w:after="0" w:line="19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Additionally, the U.S. healthcare industry has undergone significant changes designed to help increase access to medical care, improve safety and patient outcomes, contain costs, and increase efficiencies. These changes include a general decline in and/or changes to public and private insurer reimbursement levels and payment models and the industry shifting away from traditional healthcare venues like hospitals and toward clinics, physician offices, and patients’ homes. We expect the U.S. healthcare industry to continue to change in the future, which may adversely affect our business results, cash flows, financial condition, or prospects.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SPIN-OFF FROM GE.</w:t>
      </w:r>
    </w:p>
    <w:p>
      <w:pPr>
        <w:spacing w:after="0" w:line="2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If our Spin-Off from GE is determined to be a taxable transaction, it could result in significant tax liability to GE and its stockholders and we could have an indemnification obligation to GE, which could adversely affect our business, financial condition, cash flows, and results of operations.</w:t>
      </w:r>
    </w:p>
    <w:p>
      <w:pPr>
        <w:spacing w:after="0" w:line="16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Prior to the completion of the Spin-Off, GE received (i) a private letter ruling from the Internal Revenue Service (the “IRS”) to the effect that, among other things, our Spin-Off from GE will qualify as a transaction that is tax-free for U.S. federal income tax purposes under Sections 355 and 368(a)(1)(D) of the Internal Revenue Code of 1986, as amended (the “Code”) and (ii) a written opinion from each of Paul, Weiss, Rifkind, Wharton &amp; Garrison LLP and Ernst &amp; Young, LLP (“EY”) to the effect that the Spin-Off will qualify for non-recognition of gain and loss under Section 355 and related provisions of the Code.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opinion of counsel and the opinion of EY do not address any U.S. state or local or foreign tax consequences of the Spin-Off.</w:t>
      </w:r>
    </w:p>
    <w:p>
      <w:pPr>
        <w:spacing w:after="0" w:line="24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addition, the opinion of counsel, the opinion of EY, and the private letter ruling rely on certain facts, assumptions, representations, and undertakings from GE and us regarding the past and future conduct of the companies’ respective businesses and other matters. If any of these facts, assumptions, representations, or undertakings are incorrect or not otherwise satisfied, GE and its stockholders may not be able to rely on the opinion of counsel, the opinion of EY, or the private letter ruling and could be subject to significant tax liabilities.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opinion of counsel and the opinion of EY is not binding on the IRS or the courts, and there can be no assurance that the IRS or a court will not take a contrary position. Notwithstanding the opinion of counsel, the opinion of EY, or the private letter ruling, the IRS could determine on audit that the Spin-Off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GE or us after the Spin-Off. If the conclusions expressed in the opinion of counsel or the opinion of EY are challenged by the IRS, and if the IRS prevails in such challenge, the tax consequences of the Spin-Off (including the tax consequences to GE and the U.S. Holders (as defined in the Code)) could be materially less favorable.</w:t>
      </w:r>
    </w:p>
    <w:p>
      <w:pPr>
        <w:spacing w:after="0" w:line="21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by the Tax Matters Agreement to indemnify GE for the resulting taxes and related expenses. Those amounts could be material. Any such indemnification obligation could adversely affect our business, financial condition, cash flows, and results of operations.</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For example, if we or our stockholders were to engage in transactions that resulted in a 50% or greater change by vote or value in the ownership of our stock during the four-year period beginning on the date that begins two years before the date of the Spin-Off, the Spin-Off would generally be taxable to GE, but not to GE stockholders, under Section 355(e), unless it were established that such transactions and the Spin-Off were not part of a plan or series of related transactions. If the Spin-Off were taxable to GE due to such a 50% or greater change by vote or value in the ownership of our stock, GE would recognize a gain equal to the excess of the fair market value on January 3, 2023 of our common stock distributed to GE stockholders over GE’s tax basis in our common stock, and we generally would be required to indemnify GE for the tax on such gain and related expenses. Those amounts could be material. Any such indemnification obligation could adversely affect our business, financial condition, cash flows, and results of operations.</w:t>
      </w:r>
    </w:p>
    <w:p>
      <w:pPr>
        <w:spacing w:after="0" w:line="20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agreed to numerous restrictions to preserve the non-recognition tax treatment of our Spin-Off from GE, which may reduce our strategic and operating flexibility.</w:t>
      </w:r>
    </w:p>
    <w:p>
      <w:pPr>
        <w:spacing w:after="0" w:line="182"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To preserve the tax-free nature of the Spin-Off and related transactions, we agreed in the Tax Matters Agreement to covenants and indemnification obligations that address compliance with Section 355 and related provisions of the Code, as well as state, local, and foreign tax law. These covenants include certain restrictions on our activity for a period of two years following the Spin-Off.</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40" w:name="page41"/>
    <w:bookmarkEnd w:id="40"/>
    <w:p>
      <w:pPr>
        <w:spacing w:after="0" w:line="259" w:lineRule="auto"/>
        <w:rPr>
          <w:sz w:val="20"/>
          <w:szCs w:val="20"/>
          <w:color w:val="auto"/>
        </w:rPr>
      </w:pPr>
      <w:r>
        <w:rPr>
          <w:rFonts w:ascii="Arial" w:cs="Arial" w:eastAsia="Arial" w:hAnsi="Arial"/>
          <w:sz w:val="16"/>
          <w:szCs w:val="16"/>
          <w:color w:val="auto"/>
        </w:rPr>
        <w:t>Specifically, we are subject to certain restrictions on our ability to enter into acquisition, merger, liquidation, sale, and stock redemption transactions with respect to our stock or assets, and we are required to indemnify GE against any resulting tax liabilities even if we do not participate in or otherwise facilitate the acquisition. Furthermore, we are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21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We have limited operating history as an independent, publicly traded company, and our pre-Spin-Off historical combined financial information is not necessarily representative of the results we may have achieved as an independent, publicly traded company and may not be a reliable indicator of our post-Spin-Off results.</w:t>
      </w:r>
    </w:p>
    <w:p>
      <w:pPr>
        <w:spacing w:after="0" w:line="18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derived the historical combined financial information relating to years ended December 31, 2022 and 2021 included in this Annual Report on Form 10-K from GE’s consolidated financial statements, and this information does not necessarily reflect the results of operations, cash flows, and financial position we may have achieved as an independent, publicly traded company during the periods presented, or those that we will achieve in the future. This is primarily because of the following factors:</w:t>
      </w:r>
    </w:p>
    <w:p>
      <w:pPr>
        <w:spacing w:after="0" w:line="200" w:lineRule="exact"/>
        <w:rPr>
          <w:sz w:val="20"/>
          <w:szCs w:val="20"/>
          <w:color w:val="auto"/>
        </w:rPr>
      </w:pPr>
    </w:p>
    <w:p>
      <w:pPr>
        <w:ind w:left="660" w:right="40" w:hanging="328"/>
        <w:spacing w:after="0" w:line="271"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to the Spin-Off, we operated as part of GE, and GE performed various corporate functions for us. Our combined financial information relating to the years ended December 31, 2022 and 2021 reflects allocations of corporate expenses from GE for these functions. These allocations are not necessarily reflective of the costs we currently incur, nor the costs we may incur in the future, for similar services as an independent, publicly traded company.</w:t>
      </w:r>
    </w:p>
    <w:p>
      <w:pPr>
        <w:spacing w:after="0" w:line="194" w:lineRule="exact"/>
        <w:rPr>
          <w:rFonts w:ascii="Arial" w:cs="Arial" w:eastAsia="Arial" w:hAnsi="Arial"/>
          <w:sz w:val="16"/>
          <w:szCs w:val="16"/>
          <w:color w:val="auto"/>
        </w:rPr>
      </w:pPr>
    </w:p>
    <w:p>
      <w:pPr>
        <w:ind w:left="660" w:right="12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entered into agreements with GE in connection with the Spin-Off, such as GE’s provision of transition and other services, and undertook indemnification obligations, which has caused us to incur new costs following the Spin-Off and may cause us to incur additional costs in the future.</w:t>
      </w:r>
    </w:p>
    <w:p>
      <w:pPr>
        <w:spacing w:after="0" w:line="196"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incur increased costs as a result of the loss of synergies previously enjoyed by operating as part of GE. In addition, our combined financial data relating to the years ended December 31, 2022 and 2021 does not include an allocation of interest expense comparable to the interest expense we incurred as a result of the Spin-Off, including interest expense in connection with our incurrence of indebtedness.</w:t>
      </w:r>
    </w:p>
    <w:p>
      <w:pPr>
        <w:spacing w:after="0" w:line="19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Following the Spin-Off, we have been responsible for additional costs associated with being an independent, publicly traded company, including costs related to corporate governance, investor and public relations, and public financial reporting. For additional information about our past financial performance and the basis of presentation of our consolidated and combined financial statements, see “Management’s Discussion and Analysis of Financial Condition and Results of Operations” and our historical consolidated and combined financial statements and the notes thereto included elsewhere in this Annual Report on Form 10-K.</w:t>
      </w:r>
    </w:p>
    <w:p>
      <w:pPr>
        <w:spacing w:after="0" w:line="205"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Beginning with this Annual Report on Form 10-K, we are required to comply with Section 404 of the Sarbanes Oxley Act of 2002, as amended (the “Sarbanes Oxley Act”), which requires annual management assessments of the effectiveness of our internal control over financial reporting. Under the Sarbanes Oxley Act, we are also required to maintain effective disclosure controls and procedures. We cannot be certain that the measures we have taken to upgrade our systems, implement additional financial and management controls, reporting systems, and procedures, and hire additional accounting and financial staff will ensure that we continue to maintain adequate controls over our financial processes and reporting. Because of its inherent limitations, internal control over financial reporting might not prevent or detect fraud or misstatements. This, in turn, could have an adverse impact on trading prices for shares of our common stock, and could adversely affect our ability to access the capital markets.</w:t>
      </w:r>
    </w:p>
    <w:p>
      <w:pPr>
        <w:spacing w:after="0" w:line="23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Certain of our directors and employees may have actual or potential conflicts of interest because of their financial interests in GE or because of their previous or continuing positions with GE.</w:t>
      </w:r>
    </w:p>
    <w:p>
      <w:pPr>
        <w:spacing w:after="0" w:line="18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Because of their current or former positions with GE, certain of our executive officers and directors own equity interests in both us and GE. Continuing ownership of GE shares and equity awards could create, or appear to create, potential conflicts of interest if we and GE face decisions that could have implications for both us and GE. For example, potential conflicts of interest could arise in connection with the resolution of any dispute between us and GE regarding the terms of the agreements governing the Spin-Off and distribution of approximately 80.1% of our common stock to holders of GE’s common stock as of the close of business on December 16, 2022, and our relationship with GE. Potential conflicts of interest may also arise out of any commercial arrangements that we or GE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We or GE may fail to perform under various transaction agreements executed as part of the Spin-Off.</w:t>
      </w:r>
    </w:p>
    <w:p>
      <w:pPr>
        <w:spacing w:after="0" w:line="246" w:lineRule="exact"/>
        <w:rPr>
          <w:sz w:val="20"/>
          <w:szCs w:val="20"/>
          <w:color w:val="auto"/>
        </w:rPr>
      </w:pPr>
    </w:p>
    <w:p>
      <w:pPr>
        <w:jc w:val="both"/>
        <w:ind w:right="140"/>
        <w:spacing w:after="0" w:line="265" w:lineRule="auto"/>
        <w:rPr>
          <w:sz w:val="20"/>
          <w:szCs w:val="20"/>
          <w:color w:val="auto"/>
        </w:rPr>
      </w:pPr>
      <w:r>
        <w:rPr>
          <w:rFonts w:ascii="Arial" w:cs="Arial" w:eastAsia="Arial" w:hAnsi="Arial"/>
          <w:sz w:val="16"/>
          <w:szCs w:val="16"/>
          <w:color w:val="auto"/>
        </w:rPr>
        <w:t>In connection with the Spin-Off, we and GE entered into various transaction agreements related to the Spin-Off. These agreements govern our relationship with GE and we rely on GE to satisfy its performance obligations under these agreements. If we or GE do not satisfy our respective obligations under these agreements, including indemnification obligations, our business, results of operations, cash flows, and financial condition could be adversely affected. See “Item 13. Certain Relationships and Related Transactions, and Director Independence.”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FINANCING AND CAPITAL MARKETS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access the capital markets on terms that are favorable to us, or at all.</w:t>
      </w:r>
    </w:p>
    <w:p>
      <w:pPr>
        <w:spacing w:after="0" w:line="24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capital markets may experience extreme volatility or disruptions that may lead to uncertainty and liquidity issues for both borrowers and investors. We may seek to access the capital markets to supplement our existing funds and cash generated from operations to satisfy our needs for working capital, to meet capital expenditure and debt service requirements, and for other business initiatives. In the event of adverse capital market conditions, we may be unable to obtain capital market financing on favorable terms, or at all. Furthermore, changes in our credit ratings issued by nationally recognized credit rating agencies could adversely affect our ability to obtain financing and the cost of such financing. In addition, a prolonged period of volatile and unstable capital markets conditions may increase our funding costs and negatively affect market risk mitigation strategies. Any of these risks could have a material adverse effect on our business results, cash flows, financial condition, prospects, and the market price of our securities.</w:t>
      </w:r>
    </w:p>
    <w:p>
      <w:pPr>
        <w:spacing w:after="0" w:line="208"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b w:val="1"/>
          <w:bCs w:val="1"/>
          <w:i w:val="1"/>
          <w:iCs w:val="1"/>
          <w:color w:val="auto"/>
        </w:rPr>
        <w:t>Our level of indebtedness, as well as our ability to comply with covenants under our debt instruments, could adversely affect our business, results of operations, cash flows, and financial condition.</w:t>
      </w:r>
    </w:p>
    <w:p>
      <w:pPr>
        <w:spacing w:after="0" w:line="18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have approximately $9,442 million of borrowings outstanding as of December 31, 2023, and we may incur additional indebtedness in the future. Our existing debt, together with any additional indebtedness that we may incur, could have important consequences, including, but not limited to:</w:t>
      </w:r>
    </w:p>
    <w:p>
      <w:pPr>
        <w:spacing w:after="0" w:line="18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requiring a substantial portion of our cash flow from operations to make principal and interest payments;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making it more difficult to satisfy other obligations;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reducing the cash flows available to fund capital expenditures and other corporate purposes and to grow our business;</w:t>
      </w:r>
    </w:p>
    <w:p>
      <w:pPr>
        <w:spacing w:after="0" w:line="248" w:lineRule="exact"/>
        <w:rPr>
          <w:rFonts w:ascii="Arial" w:cs="Arial" w:eastAsia="Arial" w:hAnsi="Arial"/>
          <w:sz w:val="16"/>
          <w:szCs w:val="16"/>
          <w:color w:val="auto"/>
        </w:rPr>
      </w:pPr>
    </w:p>
    <w:p>
      <w:pPr>
        <w:ind w:left="660" w:right="34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increasing the risk of a future credit ratings downgrade of our debt, which could increase future debt costs and limit the future availability of debt financing;</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increasing our vulnerability to general adverse economic and industry conditions;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and industry; and</w:t>
      </w:r>
    </w:p>
    <w:p>
      <w:pPr>
        <w:spacing w:after="0" w:line="248" w:lineRule="exact"/>
        <w:rPr>
          <w:rFonts w:ascii="Arial" w:cs="Arial" w:eastAsia="Arial" w:hAnsi="Arial"/>
          <w:sz w:val="16"/>
          <w:szCs w:val="16"/>
          <w:color w:val="auto"/>
        </w:rPr>
      </w:pPr>
    </w:p>
    <w:p>
      <w:pPr>
        <w:ind w:left="660" w:right="82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limiting our ability to borrow additional funds as needed to take advantage of business opportunities as they arise, pay cash dividends, or repurchase our common stock.</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debt instruments that compromise our indebtedness may contain restrictive covenants that may limit our ability to engage in activities that may be in our long-term best interest. Our failure to comply with those covenants could result in an event of default which, if not cured or waived, could result in the acceleration of substantially all of our debt. To the extent that we incur additional indebtedness, the risks described above could increase.</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ability to make payments on and to refinance our indebtedness, as well as any future debt that we may incur, will depend on our ability to generate cash from operations, financings, or asset sales. Our ability to generate cash is subject to general economic, financial, competitive, legislative, regulatory, and other factors that are beyond our control. Additionally, a substantial portion of our total consolidated cash is held overseas and may not be efficiently accessible to fund our debt obligations, which are primarily held in the United States.</w:t>
      </w:r>
    </w:p>
    <w:p>
      <w:pPr>
        <w:spacing w:after="0" w:line="207"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b w:val="1"/>
          <w:bCs w:val="1"/>
          <w:i w:val="1"/>
          <w:iCs w:val="1"/>
          <w:color w:val="auto"/>
        </w:rPr>
        <w:t>A lowering or withdrawal of the ratings, outlook, or watch assigned to our debt by rating agencies may increase our future borrowing costs, reduce our access to capital, and adversely impact our financial performance.</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indebtedness has investment-grade credit ratings, and any credit rating, outlook, or watch assigned could be lowered or withdrawn entirely by a credit rating agency if, in that credit rating agency’s judgment, current or future circumstances relating to the basis of the credit rating, outlook, or watch, such as adverse changes to our business, so warrant. Any future lowering of our credit ratings, outlook, or watch likely would make it more difficult or more expensive for us to obtain additional debt financing. Moreover, a reduction in our credit rating to below investment-grade could cause certain customers and suppliers to reduce or cease to do business with us, which would adversely impact our financial performance.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42" w:name="page43"/>
    <w:bookmarkEnd w:id="42"/>
    <w:p>
      <w:pPr>
        <w:ind w:right="160"/>
        <w:spacing w:after="0" w:line="311" w:lineRule="auto"/>
        <w:rPr>
          <w:sz w:val="20"/>
          <w:szCs w:val="20"/>
          <w:color w:val="auto"/>
        </w:rPr>
      </w:pPr>
      <w:r>
        <w:rPr>
          <w:rFonts w:ascii="Arial" w:cs="Arial" w:eastAsia="Arial" w:hAnsi="Arial"/>
          <w:sz w:val="16"/>
          <w:szCs w:val="16"/>
          <w:b w:val="1"/>
          <w:bCs w:val="1"/>
          <w:i w:val="1"/>
          <w:iCs w:val="1"/>
          <w:color w:val="auto"/>
        </w:rPr>
        <w:t>Substantial sales of our common stock, including the disposition by GE of shares of our common stock that it retained after the Spin-Off, could cause our stock price to decline or be volatile.</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GE owns approximately 13.5% of our outstanding common stock. GE has stated that it currently intends to monetize its remaining ownership of our common stock over time. Prior to the Spin-Off, we entered into a stockholder and registration rights agreement under which we agreed, upon the request of GE, to use our reasonable best efforts to effect a registration under applicable federal and state securities laws of any shares of our common stock retained by GE to facilitate GE’s disposition of our common stock. Sales of significant amounts of our common stock or the perception in the market that such sales might occur may decrease the market price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common stock may be diluted due to future equity issuances.</w:t>
      </w:r>
    </w:p>
    <w:p>
      <w:pPr>
        <w:spacing w:after="0" w:line="26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future, we may issue shares of our common stock for acquisitions, capital market transactions, or otherwise. We also plan to issue additional stock-based awards, including annual awards, new hire awards, and periodic retention awards, as applicable, to our directors, officers, and other employees under our employee benefit plans as part of our ongoing equity compensation programs. Such issuances may have a dilutive effect on our earnings per share, which could adversely affect the market price of our common stock.</w:t>
      </w:r>
    </w:p>
    <w:p>
      <w:pPr>
        <w:spacing w:after="0" w:line="215" w:lineRule="exact"/>
        <w:rPr>
          <w:sz w:val="20"/>
          <w:szCs w:val="20"/>
          <w:color w:val="auto"/>
        </w:rPr>
      </w:pPr>
    </w:p>
    <w:p>
      <w:pPr>
        <w:ind w:right="1000"/>
        <w:spacing w:after="0" w:line="294" w:lineRule="auto"/>
        <w:rPr>
          <w:sz w:val="20"/>
          <w:szCs w:val="20"/>
          <w:color w:val="auto"/>
        </w:rPr>
      </w:pPr>
      <w:r>
        <w:rPr>
          <w:rFonts w:ascii="Arial" w:cs="Arial" w:eastAsia="Arial" w:hAnsi="Arial"/>
          <w:sz w:val="16"/>
          <w:szCs w:val="16"/>
          <w:b w:val="1"/>
          <w:bCs w:val="1"/>
          <w:i w:val="1"/>
          <w:iCs w:val="1"/>
          <w:color w:val="auto"/>
        </w:rPr>
        <w:t>Certain provisions in our certificate of incorporation, bylaws, and Delaware law may discourage takeovers and limit the power of our stockholders.</w:t>
      </w:r>
    </w:p>
    <w:p>
      <w:pPr>
        <w:spacing w:after="0" w:line="16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Several provisions of our certificate of incorporation, bylaws, and Delaware law may discourage, delay, or prevent a merger or acquisition. These include, among others, provisions that (i) establish advance notice requirements for stockholder nominations and proposals; (ii) limit the ability of stockholders to call special meetings or act by written consent; (iii) provide the Board the right to issue shares of preferred stock without stockholder approval; and (iv) provide for the ability of our directors, and not stockholders, to fill vacancies on the Board (including those resulting from an enlargement of the Board). In addition, we are subject to Section 203 of the Delaware General Corporation Law (“DGCL”), which could have the effect of delaying or preventing a change of control that stockholders may favor.</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These and other provisions of our certificate of incorporation, bylaws, and Delaware law, as well as the restrictions in our Tax Matters Agreement, may discourage, delay, or prevent certain types of transactions involving an actual or a threatened acquisition or change in control of GE HealthCare,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219"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b w:val="1"/>
          <w:bCs w:val="1"/>
          <w:i w:val="1"/>
          <w:iCs w:val="1"/>
          <w:color w:val="auto"/>
        </w:rPr>
        <w:t>Our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43" w:name="page44"/>
    <w:bookmarkEnd w:id="43"/>
    <w:p>
      <w:pPr>
        <w:ind w:right="80"/>
        <w:spacing w:after="0" w:line="259"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certificate of incorporation to be inapplicable or unenforceable in an action, we may incur additional costs associated with resolving such action in other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w:t>
      </w:r>
    </w:p>
    <w:p>
      <w:pPr>
        <w:spacing w:after="0" w:line="24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GE HealthCare employs practices, processes, and procedures to proactively and comprehensively manage risks, including risks related to cybersecurity, through its enterprise risk management (“ERM”) program. We aim to identify material cybersecurity risks via multiple strategies, including user and external reporting, audit and assessment activities, and technology programs. We utilize risk identification and risk mitigation strategies.</w:t>
      </w:r>
    </w:p>
    <w:p>
      <w:pPr>
        <w:spacing w:after="0" w:line="205" w:lineRule="exact"/>
        <w:rPr>
          <w:sz w:val="20"/>
          <w:szCs w:val="20"/>
          <w:color w:val="auto"/>
        </w:rPr>
      </w:pPr>
    </w:p>
    <w:p>
      <w:pPr>
        <w:ind w:left="660" w:right="42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identification begins with understanding the devices and equipment in use across the company, including laptops and other data devices, industrial equipment and machinery, and associated risks related to the use of those devices and equipment.</w:t>
      </w:r>
    </w:p>
    <w:p>
      <w:pPr>
        <w:spacing w:after="0" w:line="20" w:lineRule="exact"/>
        <w:rPr>
          <w:rFonts w:ascii="Arial" w:cs="Arial" w:eastAsia="Arial" w:hAnsi="Arial"/>
          <w:sz w:val="16"/>
          <w:szCs w:val="16"/>
          <w:color w:val="auto"/>
        </w:rPr>
      </w:pPr>
    </w:p>
    <w:p>
      <w:pPr>
        <w:ind w:left="660" w:right="100" w:hanging="328"/>
        <w:spacing w:after="0" w:line="25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mitigation entails protecting our data and operational systems via a system of controls. We monitor and collect data about the devices and users that touch our network resources, reviewing this data for anomalies. When we identify anomalies, we investigate to determine if the anomaly represents a threat. We have a process to contain and remediate identified threats. As discussed further below, we have incident response processes in place to utilize in case of threats or incidents. We conduct regular crisis simulations.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processes also address cybersecurity threat risks associated with our use of third-party service providers, including those in our supply chain or who have access to our customer and employee data or our systems. Third-party risks are included within our ERM assessment program as well as our cybersecurity-specific risk identification program, as discussed above. In addition, cybersecurity considerations affect the selection and oversight of our third-party service providers. We perform diligence on third parties that have access to our systems, data, or facilities that house such systems or data, and monitor cybersecurity threat risks identified through such diligence.</w:t>
      </w: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a dedicated team of cyber professionals who report to our Chief Information Security Officer (“CISO”). This team publishes information technology and security policies, measures compliance, and operates a program to mitigate risks and threats. Our risk mitigation activities include network segmentation, cyber protection and containment, detection and reaction, and recovery. This team operates to decrease the risk of cyber incidents having a material impact. We measure our programs against the National Institute of Standards and Technology Cyber Security Framework and regularly test our controls and incident response plans.</w:t>
      </w:r>
    </w:p>
    <w:p>
      <w:pPr>
        <w:spacing w:after="0" w:line="199"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We maintain incident response plans that guide our activities in preparing for, detecting, responding to, and recovering from cybersecurity incidents. These plans cover the range of activities we undertake in connection with responding to cybersecurity incidents, including assessment, investigation, containment, remediation, and mitigation, as well as compliance with legal obligations including any necessary regulatory reporting.</w:t>
      </w:r>
    </w:p>
    <w:p>
      <w:pPr>
        <w:spacing w:after="0" w:line="19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As part of these processes, we regularly engage with assessors, consultants, auditors, and other third parties to review our cybersecurity program to help identify areas for continued focus, improvement, and compliance.</w:t>
      </w:r>
    </w:p>
    <w:p>
      <w:pPr>
        <w:spacing w:after="0" w:line="16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describe whether and how cybersecurity-related risks could materially affect our business under the heading “Increased cybersecurity requirements, vulnerabilities, threats, and more sophisticated and targeted computer crimes pose a risk to our systems, networks, products, solutions, services, and data, as well as our reputation, which could adversely affect our business” under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CYBERSECURITY GOVERNANCE.</w:t>
      </w: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Cybersecurity is an important part of our risk management processes and an area of focus for our Board and management. The Audit Committee of our Board is responsible for the oversight of cybersecurity-related risks. The Audit Committee regularly receives reports from management on our cybersecurity threat risk management and strategy processes, including on topics such as our data security posture, results from third-party assessments, progress towards pre-determined risk-mitigation-related goals, incident response plans, and cybersecurity threat risks or incidents and developments, as well as the steps management has taken to respond to these risks. The Audit Committee received reports from our Chief Information Officer (“CIO”) and/or CISO four times in 2023.</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Our cybersecurity risk management and strategy processes, which are discussed in greater detail above, are led by our CISO. The CISO works closely with the CIO, Chief Privacy Officer (“CPO”), and other members of the legal team who report to the General Counsel to review the cybersecurity program while monitoring global data protection regulations and cyber security laws. The CISO, CIO, and CPO, collectively, have over 35 years of work experience in various roles involving managing information security, developing cybersecurity strategy, and implementing effective information and cybersecurity programs. Our CISO is currently a board member for the National Technology Security Coalition, a non-profit, non-partisan trade association serving as the voice of CISOs to help improve national cybersecurity and has served on the board of advisors of many security technology companies.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GE HealthCare is a global organization with major centers in or near Chicago, Milwaukee, Paris, Bangalore, and Shanghai, and is headquartered in Chicago, Illinois. We own or lease over 300 facilities around the world excluding third-party logistics sites. We have 43 manufacturing facilities, of which 31 are owned. We have 16 manufacturing facilities located in the United States and 27 located outside of the United States, including in China, India, Israel, Mexico, Brazil, Austria, Denmark, France, Germany, Ireland, the Netherlands, Norway, Sweden, Finland, South Korea, and Japan. Many of these facilities serve more than one business line and may be used for multiple purposes, such as administration, sales, research, manufacturing, warehousing, service, and distribution. We consider our facilities suitable and adequate for the purposes for which they are used and do not anticipate difficulty in renewing existing leases as they expire or in finding alternative facilities.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14, “Commitments, Guarantees, Product Warranties, and Other Loss Contingencies” to the financial statements included elsewhere in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MARKET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market on which GE HealthCare’s common stock is traded is The Nasdaq Stock Market LLC (“Nasdaq”) under the symbol “GEHC”.</w:t>
      </w:r>
    </w:p>
    <w:p>
      <w:pPr>
        <w:spacing w:after="0" w:line="2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“when issued” trading market for GE HealthCare’s common stock began on Nasdaq on December 16, 2022, and “regular way” trading of GE HealthCare’s common stock began on January 4, 2023. Prior to December 16, 2022 there was no public market for GE HealthCare’s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There were 198,387 shareholders of record of GE HealthCare common stock as of January 30, 2024.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We declared and paid a quarterly dividend of $0.03 per share to our stockholders of record for the first, second, and third quarter of 2023. In the fourth quarter of 2023, we declared a dividend of $0.03 to be paid in the first quarter of 2024.</w:t>
      </w:r>
    </w:p>
    <w:p>
      <w:pPr>
        <w:spacing w:after="0" w:line="19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timing, declaration, amount, and payment of future dividends to stockholders, if any, will fall within the discretion of the Board of Directors taking into consideration matters such as the capital needs of GE HealthCare and opportunities to retain future earnings for use in the operation of our business and to fund future growth.</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STOCK PERFORMANCE GRAPH</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graph compares the total return on the Company’s common stock for the last 12 months with the Standard &amp; Poor’s (“S&amp;P”) 500 and S&amp;P 500 Healthcare indices. The graph assumes $100 was invested in each of these indices on the first day of “regular way” trading for our common stock,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172200" cy="1971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3760"/>
              <w:spacing w:after="0"/>
              <w:rPr>
                <w:sz w:val="20"/>
                <w:szCs w:val="20"/>
                <w:color w:val="auto"/>
              </w:rPr>
            </w:pPr>
            <w:r>
              <w:rPr>
                <w:rFonts w:ascii="Arial" w:cs="Arial" w:eastAsia="Arial" w:hAnsi="Arial"/>
                <w:sz w:val="16"/>
                <w:szCs w:val="16"/>
                <w:b w:val="1"/>
                <w:bCs w:val="1"/>
                <w:color w:val="auto"/>
              </w:rPr>
              <w:t>Part II. Financial Information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956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 (“MD&amp;A”)</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1"/>
        </w:trPr>
        <w:tc>
          <w:tcPr>
            <w:tcW w:w="95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560" w:type="dxa"/>
            <w:vAlign w:val="bottom"/>
          </w:tcPr>
          <w:p>
            <w:pPr>
              <w:ind w:left="20"/>
              <w:spacing w:after="0" w:line="183" w:lineRule="exact"/>
              <w:rPr>
                <w:sz w:val="20"/>
                <w:szCs w:val="20"/>
                <w:color w:val="auto"/>
              </w:rPr>
            </w:pPr>
            <w:r>
              <w:rPr>
                <w:rFonts w:ascii="Arial" w:cs="Arial" w:eastAsia="Arial" w:hAnsi="Arial"/>
                <w:sz w:val="16"/>
                <w:szCs w:val="16"/>
                <w:color w:val="auto"/>
              </w:rPr>
              <w:t>Trends and Factors Impacting Our Performance</w:t>
            </w:r>
          </w:p>
        </w:tc>
        <w:tc>
          <w:tcPr>
            <w:tcW w:w="148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48</w:t>
            </w:r>
          </w:p>
        </w:tc>
        <w:tc>
          <w:tcPr>
            <w:tcW w:w="20" w:type="dxa"/>
            <w:vAlign w:val="bottom"/>
          </w:tcPr>
          <w:p>
            <w:pPr>
              <w:spacing w:after="0"/>
              <w:rPr>
                <w:sz w:val="15"/>
                <w:szCs w:val="15"/>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49</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50</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53</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54</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58</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59</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59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should be read in conjunction with the consolidated and combined financial statements and corresponding notes included elsewhere in this Annual Report on Form 10-K. The following discussion and analysis provide information management believes to be relevant to understanding the financial condition and results of operations of GE HealthCare Technologies Inc. (“GE HealthCare,” the “Company,” “our,” or “we”) for the </w:t>
      </w:r>
      <w:r>
        <w:rPr>
          <w:rFonts w:ascii="Arial" w:cs="Arial" w:eastAsia="Arial" w:hAnsi="Arial"/>
          <w:sz w:val="16"/>
          <w:szCs w:val="16"/>
          <w:color w:val="0C2340"/>
        </w:rPr>
        <w:t>years ended</w:t>
      </w:r>
      <w:r>
        <w:rPr>
          <w:rFonts w:ascii="Arial" w:cs="Arial" w:eastAsia="Arial" w:hAnsi="Arial"/>
          <w:sz w:val="16"/>
          <w:szCs w:val="16"/>
          <w:color w:val="auto"/>
        </w:rPr>
        <w:t xml:space="preserve"> December 31, 2023 and 2022. For additional information on the year ended December 31, 2021 and year-over-year comparisons to December 31, 2022, refer to Management’s Discussion and Analysis of Financial Condition and Results of Operations included in our Annual Report on Form 10-K for the fiscal year ended December 31, 2022.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Annual Report on Form 10-K, and particularly in Item 1A. “Risk Factors”. Actual results may differ materially from these expectations; see “Forward-Looking Statements.”</w:t>
      </w:r>
    </w:p>
    <w:p>
      <w:pPr>
        <w:spacing w:after="0" w:line="2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(1) General Electric Company’s (“GE’s”) healthcare business prior to the previously announced spin-off of the Company on January 3, 2023 (the “Spin-Off”) as a carve-out business of GE with related combined financial statements and (2) GE HealthCare Technologies Inc. and its subsidiaries following the Spin-Off with related consolidated financial statements.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and we evaluate their operating performance using revenue and Segment EBIT. For additional information on the nature of our business see Item 1.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Manufacturing, Sourcing, and Supply Chain Management</w:t>
      </w:r>
    </w:p>
    <w:p>
      <w:pPr>
        <w:spacing w:after="0" w:line="30"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Our suppliers must provide us with quality products in substantial quantities, in compliance with regulatory requirements, at acceptable costs and on a timely basis. Trends affecting the supply chain for the previous two years include the impact of increasing prices of labor and raw materials, limitations on capacity, and increased cost of shipping. While we have seen some easing of these pressures in 2023, continued cost inflation or the return of material scarcity in our supply chain could have adverse impacts on our future results.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 xml:space="preserve">We had $153 million and $143 million of assets in, or directly related to, Russia and Ukraine as of December 31, 2023 and December 31, 2022, respectively, none of which are subject to sanctions that impact the carrying value of the assets. We generated revenues of $340 million and $395 million from customers in these two countries for the </w:t>
      </w:r>
      <w:r>
        <w:rPr>
          <w:rFonts w:ascii="Arial" w:cs="Arial" w:eastAsia="Arial" w:hAnsi="Arial"/>
          <w:sz w:val="16"/>
          <w:szCs w:val="16"/>
          <w:color w:val="0C2340"/>
        </w:rPr>
        <w:t>years ended</w:t>
      </w:r>
      <w:r>
        <w:rPr>
          <w:rFonts w:ascii="Arial" w:cs="Arial" w:eastAsia="Arial" w:hAnsi="Arial"/>
          <w:sz w:val="16"/>
          <w:szCs w:val="16"/>
          <w:color w:val="auto"/>
        </w:rPr>
        <w:t xml:space="preserve"> December 31, 2023 and December 31, 2022, respectively. The potential inability to repatriate earnings from these two countries will not have a material impact on our ability to operate.</w:t>
      </w:r>
    </w:p>
    <w:p>
      <w:pPr>
        <w:spacing w:after="0" w:line="2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In May 2023, the U.S. Department of Commerce implemented expanded measures that require us to obtain a license for the export, re-export, or transfer of specified medical equipment and spare parts to customers in Russia. The European Union and other countries have also expanded licensing requirements for certain spare parts and other items. We have successfully applied and continue to apply for the licenses required to supply to these customers. The implementation of these measures affected our ability to supply customers in Russia during the last three quarters of 2023 and will continue to do so as we continue to obtain licenses. There is no guarantee we will obtain all of the licenses for which we applied, that any approvals we obtain will be on a timely basis, or that our business in Russia will not be further disrupted due to evolving legal or operational considerations. The Board, together with management, will continue to assess whether developments related to the conflict have had, or are reasonably likely to have, a material impact on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2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revenues and operating profits vary from quarter to quarter. Revenues in the fourth quarter have historically been higher than in other quarters due to the spending patterns of our customers. In addition, cash from operating activities is typically higher in the fourth quarter sequentially as inventories are lower as a result of higher revenues.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OPERATION AS A STAND-ALONE COMPANY.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Presentation Under GE Ownership</w:t>
      </w:r>
    </w:p>
    <w:p>
      <w:pPr>
        <w:spacing w:after="0" w:line="2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GE HealthCare utilized allocations and carve-out methodologies through the date of the Spin-Off to prepare historical combined financial statements. The combined financial statements herein for periods prior to the Spin-Off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Note 1, “Organization and Basis of Presentation” to the consolidated and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Stand-Alone Company Expenses</w:t>
      </w:r>
    </w:p>
    <w:p>
      <w:pPr>
        <w:spacing w:after="0" w:line="29"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As a result of the Spin-Off, we are subject to the requirements of the federal and state securities laws and stock exchange requirements. We have established additional procedures and practices as a stand-alone public company. As a result, we have and will continue to incur additional costs related to external reporting, internal audit, treasury, investor relations, Board of Directors and officers, and stock administration.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Other Benefit-Related Liabilities</w:t>
      </w:r>
    </w:p>
    <w:p>
      <w:pPr>
        <w:spacing w:after="0" w:line="19"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In connection with the Spin-Off, on January 1, 2023, GE HealthCare assumed a net postretirement benefit obligation of $4,045 million, in addition to the existing GE HealthCare net postretirement benefit obligation of $278 million, for a total net obligation of $4,323 million.</w:t>
      </w:r>
    </w:p>
    <w:p>
      <w:pPr>
        <w:spacing w:after="0" w:line="18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value of the assets and liabilities as of December 31, 2023, including the plans sponsored by GE HealthCare prior to the Spin-Off, are shown in the table below. As a result of the liabilities and assets transferred to GE HealthCare on January 1, 2023, we disclose in the following table postretirement plans with assets or obligations that exceed $50 million as of December 31, 2023. Refer to Note 10, “Postretirement Benefit Plans” to the consolidated and combined financial statements for further details related to these plans.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54545"/>
              </w:rPr>
              <w:t>Projected benefit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Funded status - surplus</w:t>
            </w:r>
          </w:p>
        </w:tc>
      </w:tr>
      <w:tr>
        <w:trPr>
          <w:trHeight w:val="216"/>
        </w:trPr>
        <w:tc>
          <w:tcPr>
            <w:tcW w:w="4420" w:type="dxa"/>
            <w:vAlign w:val="bottom"/>
            <w:tcBorders>
              <w:bottom w:val="single" w:sz="8" w:color="6400A0"/>
            </w:tcBorders>
          </w:tcPr>
          <w:p>
            <w:pPr>
              <w:spacing w:after="0"/>
              <w:rPr>
                <w:sz w:val="18"/>
                <w:szCs w:val="18"/>
                <w:color w:val="auto"/>
              </w:rPr>
            </w:pPr>
          </w:p>
        </w:tc>
        <w:tc>
          <w:tcPr>
            <w:tcW w:w="1300" w:type="dxa"/>
            <w:vAlign w:val="bottom"/>
            <w:tcBorders>
              <w:bottom w:val="single" w:sz="8" w:color="6400A0"/>
            </w:tcBorders>
          </w:tcPr>
          <w:p>
            <w:pPr>
              <w:spacing w:after="0"/>
              <w:rPr>
                <w:sz w:val="18"/>
                <w:szCs w:val="18"/>
                <w:color w:val="auto"/>
              </w:rPr>
            </w:pPr>
          </w:p>
        </w:tc>
        <w:tc>
          <w:tcPr>
            <w:tcW w:w="1240" w:type="dxa"/>
            <w:vAlign w:val="bottom"/>
            <w:tcBorders>
              <w:bottom w:val="single" w:sz="8" w:color="6400A0"/>
            </w:tcBorders>
          </w:tcPr>
          <w:p>
            <w:pPr>
              <w:ind w:left="360"/>
              <w:spacing w:after="0"/>
              <w:rPr>
                <w:sz w:val="20"/>
                <w:szCs w:val="20"/>
                <w:color w:val="auto"/>
              </w:rPr>
            </w:pPr>
            <w:r>
              <w:rPr>
                <w:rFonts w:ascii="Arial" w:cs="Arial" w:eastAsia="Arial" w:hAnsi="Arial"/>
                <w:sz w:val="16"/>
                <w:szCs w:val="16"/>
                <w:b w:val="1"/>
                <w:bCs w:val="1"/>
                <w:color w:val="454545"/>
              </w:rPr>
              <w:t>obligations</w:t>
            </w:r>
          </w:p>
        </w:tc>
        <w:tc>
          <w:tcPr>
            <w:tcW w:w="2320" w:type="dxa"/>
            <w:vAlign w:val="bottom"/>
            <w:tcBorders>
              <w:bottom w:val="single" w:sz="8" w:color="6400A0"/>
            </w:tcBorders>
            <w:gridSpan w:val="3"/>
          </w:tcPr>
          <w:p>
            <w:pPr>
              <w:jc w:val="right"/>
              <w:spacing w:after="0"/>
              <w:rPr>
                <w:sz w:val="20"/>
                <w:szCs w:val="20"/>
                <w:color w:val="auto"/>
              </w:rPr>
            </w:pPr>
            <w:r>
              <w:rPr>
                <w:rFonts w:ascii="Arial" w:cs="Arial" w:eastAsia="Arial" w:hAnsi="Arial"/>
                <w:sz w:val="16"/>
                <w:szCs w:val="16"/>
                <w:b w:val="1"/>
                <w:bCs w:val="1"/>
                <w:color w:val="454545"/>
              </w:rPr>
              <w:t>Fair value of plan assets</w:t>
            </w:r>
          </w:p>
        </w:tc>
        <w:tc>
          <w:tcPr>
            <w:tcW w:w="460" w:type="dxa"/>
            <w:vAlign w:val="bottom"/>
            <w:tcBorders>
              <w:bottom w:val="single" w:sz="8" w:color="6400A0"/>
            </w:tcBorders>
          </w:tcPr>
          <w:p>
            <w:pPr>
              <w:spacing w:after="0"/>
              <w:rPr>
                <w:sz w:val="18"/>
                <w:szCs w:val="18"/>
                <w:color w:val="auto"/>
              </w:rPr>
            </w:pPr>
          </w:p>
        </w:tc>
        <w:tc>
          <w:tcPr>
            <w:tcW w:w="1500" w:type="dxa"/>
            <w:vAlign w:val="bottom"/>
            <w:tcBorders>
              <w:bottom w:val="single" w:sz="8" w:color="6400A0"/>
            </w:tcBorders>
          </w:tcPr>
          <w:p>
            <w:pPr>
              <w:jc w:val="right"/>
              <w:ind w:right="579"/>
              <w:spacing w:after="0"/>
              <w:rPr>
                <w:sz w:val="20"/>
                <w:szCs w:val="20"/>
                <w:color w:val="auto"/>
              </w:rPr>
            </w:pPr>
            <w:r>
              <w:rPr>
                <w:rFonts w:ascii="Arial" w:cs="Arial" w:eastAsia="Arial" w:hAnsi="Arial"/>
                <w:sz w:val="16"/>
                <w:szCs w:val="16"/>
                <w:b w:val="1"/>
                <w:bCs w:val="1"/>
                <w:color w:val="454545"/>
              </w:rPr>
              <w:t>(deficit)</w:t>
            </w:r>
          </w:p>
        </w:tc>
      </w:tr>
      <w:tr>
        <w:trPr>
          <w:trHeight w:val="230"/>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0C2340"/>
              </w:rPr>
              <w:t>GE HealthCare Pension Plan</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16,138</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14,700</w:t>
            </w:r>
          </w:p>
        </w:tc>
        <w:tc>
          <w:tcPr>
            <w:tcW w:w="46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(1,438)</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GE HealthCare Supplementary Pension Plan</w:t>
            </w: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2,022</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(2,022)</w:t>
            </w:r>
          </w:p>
        </w:tc>
      </w:tr>
      <w:tr>
        <w:trPr>
          <w:trHeight w:val="29"/>
        </w:trPr>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Total Principal Pension Plans</w:t>
            </w:r>
          </w:p>
        </w:tc>
        <w:tc>
          <w:tcPr>
            <w:tcW w:w="130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18,160</w:t>
            </w:r>
          </w:p>
        </w:tc>
        <w:tc>
          <w:tcPr>
            <w:tcW w:w="7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14,700</w:t>
            </w:r>
          </w:p>
        </w:tc>
        <w:tc>
          <w:tcPr>
            <w:tcW w:w="4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(3,460)</w:t>
            </w:r>
          </w:p>
        </w:tc>
      </w:tr>
      <w:tr>
        <w:trPr>
          <w:trHeight w:val="257"/>
        </w:trPr>
        <w:tc>
          <w:tcPr>
            <w:tcW w:w="4420" w:type="dxa"/>
            <w:vAlign w:val="bottom"/>
          </w:tcPr>
          <w:p>
            <w:pPr>
              <w:ind w:left="20"/>
              <w:spacing w:after="0"/>
              <w:rPr>
                <w:sz w:val="20"/>
                <w:szCs w:val="20"/>
                <w:color w:val="auto"/>
              </w:rPr>
            </w:pPr>
            <w:r>
              <w:rPr>
                <w:rFonts w:ascii="Arial" w:cs="Arial" w:eastAsia="Arial" w:hAnsi="Arial"/>
                <w:sz w:val="16"/>
                <w:szCs w:val="16"/>
                <w:color w:val="auto"/>
              </w:rPr>
              <w:t>Other Pension Plans</w:t>
            </w:r>
            <w:r>
              <w:rPr>
                <w:rFonts w:ascii="Arial" w:cs="Arial" w:eastAsia="Arial" w:hAnsi="Arial"/>
                <w:sz w:val="21"/>
                <w:szCs w:val="21"/>
                <w:color w:val="auto"/>
                <w:vertAlign w:val="superscript"/>
              </w:rPr>
              <w:t>(1)</w:t>
            </w:r>
          </w:p>
        </w:tc>
        <w:tc>
          <w:tcPr>
            <w:tcW w:w="1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4,588</w:t>
            </w:r>
          </w:p>
        </w:tc>
        <w:tc>
          <w:tcPr>
            <w:tcW w:w="7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4,518</w:t>
            </w: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57"/>
        </w:trPr>
        <w:tc>
          <w:tcPr>
            <w:tcW w:w="44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OPEB Plans</w:t>
            </w:r>
            <w:r>
              <w:rPr>
                <w:rFonts w:ascii="Arial" w:cs="Arial" w:eastAsia="Arial" w:hAnsi="Arial"/>
                <w:sz w:val="21"/>
                <w:szCs w:val="21"/>
                <w:color w:val="auto"/>
                <w:vertAlign w:val="superscript"/>
              </w:rPr>
              <w:t>(1)</w:t>
            </w:r>
          </w:p>
        </w:tc>
        <w:tc>
          <w:tcPr>
            <w:tcW w:w="130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spacing w:after="0"/>
              <w:rPr>
                <w:sz w:val="22"/>
                <w:szCs w:val="22"/>
                <w:color w:val="auto"/>
              </w:rPr>
            </w:pPr>
          </w:p>
        </w:tc>
        <w:tc>
          <w:tcPr>
            <w:tcW w:w="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w w:val="99"/>
              </w:rPr>
              <w:t>1,133</w:t>
            </w:r>
          </w:p>
        </w:tc>
        <w:tc>
          <w:tcPr>
            <w:tcW w:w="74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E4E4E4"/>
          </w:tcPr>
          <w:p>
            <w:pPr>
              <w:spacing w:after="0"/>
              <w:rPr>
                <w:sz w:val="22"/>
                <w:szCs w:val="22"/>
                <w:color w:val="auto"/>
              </w:rPr>
            </w:pPr>
          </w:p>
        </w:tc>
        <w:tc>
          <w:tcPr>
            <w:tcW w:w="15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(1,133)</w:t>
            </w: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23,881</w:t>
            </w:r>
          </w:p>
        </w:tc>
        <w:tc>
          <w:tcPr>
            <w:tcW w:w="7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19,218</w:t>
            </w:r>
          </w:p>
        </w:tc>
        <w:tc>
          <w:tcPr>
            <w:tcW w:w="46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As defined in Note 10, “Postretirement Benefit Plans” to our consolidated and combined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w:t>
      </w:r>
    </w:p>
    <w:p>
      <w:pPr>
        <w:spacing w:after="0" w:line="2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We have and expect to continue to institute competitive compensation policies and programs as an independent public company. The expense for these policies and programs will increase from the compensation expense allocated by GE in years prior to the Spin-Off, driven primarily by higher cash and stock compensation to retain employees and align more closely with industry peers.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Management reviews and analyzes several key performance measures including Total revenues, Remaining Performance Obligations (“RPO”), Operating income, Net income attributable to GE HealthCare, Earnings per share – continuing operations, and Cash from (used for) operating activities – continuing operations. Management also reviews and analyzes Organic revenue*, Adjusted Earnings Before Interest and Taxes* (“Adjusted </w:t>
      </w:r>
      <w:r>
        <w:rPr>
          <w:rFonts w:ascii="Arial" w:cs="Arial" w:eastAsia="Arial" w:hAnsi="Arial"/>
          <w:sz w:val="16"/>
          <w:szCs w:val="16"/>
          <w:color w:val="231F20"/>
        </w:rPr>
        <w:t>EBIT*”), Adjusted net</w:t>
      </w:r>
      <w:r>
        <w:rPr>
          <w:rFonts w:ascii="Arial" w:cs="Arial" w:eastAsia="Arial" w:hAnsi="Arial"/>
          <w:sz w:val="16"/>
          <w:szCs w:val="16"/>
          <w:color w:val="auto"/>
        </w:rPr>
        <w:t xml:space="preserve"> </w:t>
      </w:r>
      <w:r>
        <w:rPr>
          <w:rFonts w:ascii="Arial" w:cs="Arial" w:eastAsia="Arial" w:hAnsi="Arial"/>
          <w:sz w:val="16"/>
          <w:szCs w:val="16"/>
          <w:color w:val="231F20"/>
        </w:rPr>
        <w:t>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231F20"/>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231F20"/>
        </w:rPr>
        <w:t>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tables set forth our results of operations for each of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5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454545"/>
              </w:rPr>
              <w:t>For the years ended December 31</w:t>
            </w:r>
          </w:p>
        </w:tc>
      </w:tr>
      <w:tr>
        <w:trPr>
          <w:trHeight w:val="35"/>
        </w:trPr>
        <w:tc>
          <w:tcPr>
            <w:tcW w:w="5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Borders>
              <w:bottom w:val="single" w:sz="8" w:color="454545"/>
            </w:tcBorders>
          </w:tcPr>
          <w:p>
            <w:pPr>
              <w:spacing w:after="0"/>
              <w:rPr>
                <w:sz w:val="3"/>
                <w:szCs w:val="3"/>
                <w:color w:val="auto"/>
              </w:rPr>
            </w:pPr>
          </w:p>
        </w:tc>
        <w:tc>
          <w:tcPr>
            <w:tcW w:w="660" w:type="dxa"/>
            <w:vAlign w:val="bottom"/>
            <w:tcBorders>
              <w:bottom w:val="single" w:sz="8" w:color="454545"/>
            </w:tcBorders>
          </w:tcPr>
          <w:p>
            <w:pPr>
              <w:spacing w:after="0"/>
              <w:rPr>
                <w:sz w:val="3"/>
                <w:szCs w:val="3"/>
                <w:color w:val="auto"/>
              </w:rPr>
            </w:pPr>
          </w:p>
        </w:tc>
        <w:tc>
          <w:tcPr>
            <w:tcW w:w="640" w:type="dxa"/>
            <w:vAlign w:val="bottom"/>
            <w:tcBorders>
              <w:bottom w:val="single" w:sz="8" w:color="454545"/>
            </w:tcBorders>
          </w:tcPr>
          <w:p>
            <w:pPr>
              <w:spacing w:after="0"/>
              <w:rPr>
                <w:sz w:val="3"/>
                <w:szCs w:val="3"/>
                <w:color w:val="auto"/>
              </w:rPr>
            </w:pPr>
          </w:p>
        </w:tc>
        <w:tc>
          <w:tcPr>
            <w:tcW w:w="1320" w:type="dxa"/>
            <w:vAlign w:val="bottom"/>
            <w:tcBorders>
              <w:bottom w:val="single" w:sz="8" w:color="454545"/>
            </w:tcBorders>
          </w:tcPr>
          <w:p>
            <w:pPr>
              <w:spacing w:after="0"/>
              <w:rPr>
                <w:sz w:val="3"/>
                <w:szCs w:val="3"/>
                <w:color w:val="auto"/>
              </w:rPr>
            </w:pPr>
          </w:p>
        </w:tc>
      </w:tr>
      <w:tr>
        <w:trPr>
          <w:trHeight w:val="229"/>
        </w:trPr>
        <w:tc>
          <w:tcPr>
            <w:tcW w:w="5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2022</w:t>
            </w:r>
          </w:p>
        </w:tc>
      </w:tr>
      <w:tr>
        <w:trPr>
          <w:trHeight w:val="21"/>
        </w:trPr>
        <w:tc>
          <w:tcPr>
            <w:tcW w:w="55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30"/>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Sales of products</w:t>
            </w:r>
          </w:p>
        </w:tc>
        <w:tc>
          <w:tcPr>
            <w:tcW w:w="34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540" w:type="dxa"/>
            <w:vAlign w:val="bottom"/>
            <w:tcBorders>
              <w:bottom w:val="single" w:sz="8" w:color="E4E4E4"/>
            </w:tcBorders>
            <w:gridSpan w:val="2"/>
            <w:shd w:val="clear" w:color="auto" w:fill="E4E4E4"/>
          </w:tcPr>
          <w:p>
            <w:pPr>
              <w:jc w:val="right"/>
              <w:ind w:right="10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13,127</w:t>
            </w:r>
          </w:p>
        </w:tc>
        <w:tc>
          <w:tcPr>
            <w:tcW w:w="64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12,044</w:t>
            </w:r>
          </w:p>
        </w:tc>
      </w:tr>
      <w:tr>
        <w:trPr>
          <w:trHeight w:val="227"/>
        </w:trPr>
        <w:tc>
          <w:tcPr>
            <w:tcW w:w="5520" w:type="dxa"/>
            <w:vAlign w:val="bottom"/>
          </w:tcPr>
          <w:p>
            <w:pPr>
              <w:ind w:left="100"/>
              <w:spacing w:after="0"/>
              <w:rPr>
                <w:sz w:val="20"/>
                <w:szCs w:val="20"/>
                <w:color w:val="auto"/>
              </w:rPr>
            </w:pPr>
            <w:r>
              <w:rPr>
                <w:rFonts w:ascii="Arial" w:cs="Arial" w:eastAsia="Arial" w:hAnsi="Arial"/>
                <w:sz w:val="16"/>
                <w:szCs w:val="16"/>
                <w:color w:val="auto"/>
              </w:rPr>
              <w:t>Sales of services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6,425</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6,297</w:t>
            </w:r>
          </w:p>
        </w:tc>
      </w:tr>
      <w:tr>
        <w:trPr>
          <w:trHeight w:val="29"/>
        </w:trPr>
        <w:tc>
          <w:tcPr>
            <w:tcW w:w="5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6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18,341</w:t>
            </w:r>
          </w:p>
        </w:tc>
      </w:tr>
      <w:tr>
        <w:trPr>
          <w:trHeight w:val="221"/>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Cost of products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8,465</w:t>
            </w:r>
          </w:p>
        </w:tc>
        <w:tc>
          <w:tcPr>
            <w:tcW w:w="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7,975</w:t>
            </w:r>
          </w:p>
        </w:tc>
      </w:tr>
      <w:tr>
        <w:trPr>
          <w:trHeight w:val="29"/>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Cost of services</w:t>
            </w:r>
          </w:p>
        </w:tc>
        <w:tc>
          <w:tcPr>
            <w:tcW w:w="34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3,165</w:t>
            </w:r>
          </w:p>
        </w:tc>
        <w:tc>
          <w:tcPr>
            <w:tcW w:w="64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3,187</w:t>
            </w:r>
          </w:p>
        </w:tc>
      </w:tr>
      <w:tr>
        <w:trPr>
          <w:trHeight w:val="229"/>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Gross profit</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7,922</w:t>
            </w:r>
          </w:p>
        </w:tc>
        <w:tc>
          <w:tcPr>
            <w:tcW w:w="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7,179</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4,282</w:t>
            </w:r>
          </w:p>
        </w:tc>
        <w:tc>
          <w:tcPr>
            <w:tcW w:w="64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3,631</w:t>
            </w:r>
          </w:p>
        </w:tc>
      </w:tr>
      <w:tr>
        <w:trPr>
          <w:trHeight w:val="228"/>
        </w:trPr>
        <w:tc>
          <w:tcPr>
            <w:tcW w:w="552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1,205</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9"/>
        </w:trPr>
        <w:tc>
          <w:tcPr>
            <w:tcW w:w="5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5,487</w:t>
            </w:r>
          </w:p>
        </w:tc>
        <w:tc>
          <w:tcPr>
            <w:tcW w:w="6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4,657</w:t>
            </w:r>
          </w:p>
        </w:tc>
      </w:tr>
      <w:tr>
        <w:trPr>
          <w:trHeight w:val="229"/>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2,435</w:t>
            </w:r>
          </w:p>
        </w:tc>
        <w:tc>
          <w:tcPr>
            <w:tcW w:w="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2,522</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Interest and other financial charges – net</w:t>
            </w:r>
          </w:p>
        </w:tc>
        <w:tc>
          <w:tcPr>
            <w:tcW w:w="34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c>
          <w:tcPr>
            <w:tcW w:w="64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r>
      <w:tr>
        <w:trPr>
          <w:trHeight w:val="228"/>
        </w:trPr>
        <w:tc>
          <w:tcPr>
            <w:tcW w:w="5520" w:type="dxa"/>
            <w:vAlign w:val="bottom"/>
          </w:tcPr>
          <w:p>
            <w:pPr>
              <w:ind w:left="100"/>
              <w:spacing w:after="0"/>
              <w:rPr>
                <w:sz w:val="20"/>
                <w:szCs w:val="20"/>
                <w:color w:val="auto"/>
              </w:rPr>
            </w:pPr>
            <w:r>
              <w:rPr>
                <w:rFonts w:ascii="Arial" w:cs="Arial" w:eastAsia="Arial" w:hAnsi="Arial"/>
                <w:sz w:val="16"/>
                <w:szCs w:val="16"/>
                <w:color w:val="auto"/>
              </w:rPr>
              <w:t>Non-operating benefit (income) costs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(382)</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Other (income) expense – net</w:t>
            </w:r>
          </w:p>
        </w:tc>
        <w:tc>
          <w:tcPr>
            <w:tcW w:w="34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64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r>
      <w:tr>
        <w:trPr>
          <w:trHeight w:val="229"/>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r>
      <w:tr>
        <w:trPr>
          <w:trHeight w:val="21"/>
        </w:trPr>
        <w:tc>
          <w:tcPr>
            <w:tcW w:w="5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61"/>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64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r>
      <w:tr>
        <w:trPr>
          <w:trHeight w:val="229"/>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 from continuing operations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1,949</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5"/>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Income (loss) from discontinued operations, net of taxes</w:t>
            </w:r>
          </w:p>
        </w:tc>
        <w:tc>
          <w:tcPr>
            <w:tcW w:w="34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6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1,614</w:t>
            </w:r>
          </w:p>
        </w:tc>
        <w:tc>
          <w:tcPr>
            <w:tcW w:w="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5"/>
        </w:trPr>
        <w:tc>
          <w:tcPr>
            <w:tcW w:w="552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Net (income) loss attributable to noncontrolling interests</w:t>
            </w:r>
          </w:p>
        </w:tc>
        <w:tc>
          <w:tcPr>
            <w:tcW w:w="34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64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5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231F20"/>
              </w:rPr>
              <w:t>Net income attributable to GE HealthCare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1,568</w:t>
            </w:r>
          </w:p>
        </w:tc>
        <w:tc>
          <w:tcPr>
            <w:tcW w:w="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26"/>
        </w:trPr>
        <w:tc>
          <w:tcPr>
            <w:tcW w:w="5520" w:type="dxa"/>
            <w:vAlign w:val="bottom"/>
          </w:tcPr>
          <w:p>
            <w:pPr>
              <w:spacing w:after="0"/>
              <w:rPr>
                <w:sz w:val="20"/>
                <w:szCs w:val="20"/>
                <w:color w:val="auto"/>
              </w:rPr>
            </w:pPr>
            <w:r>
              <w:rPr>
                <w:rFonts w:ascii="Arial" w:cs="Arial" w:eastAsia="Arial" w:hAnsi="Arial"/>
                <w:sz w:val="16"/>
                <w:szCs w:val="16"/>
                <w:b w:val="1"/>
                <w:bCs w:val="1"/>
                <w:color w:val="auto"/>
              </w:rPr>
              <w:t>TOTAL REVENUES AND RPO.</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9"/>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454545"/>
              </w:rPr>
              <w:t>For the years ended December 31</w:t>
            </w:r>
          </w:p>
        </w:tc>
        <w:tc>
          <w:tcPr>
            <w:tcW w:w="1320" w:type="dxa"/>
            <w:vAlign w:val="bottom"/>
          </w:tcPr>
          <w:p>
            <w:pPr>
              <w:spacing w:after="0"/>
              <w:rPr>
                <w:sz w:val="24"/>
                <w:szCs w:val="24"/>
                <w:color w:val="auto"/>
              </w:rPr>
            </w:pPr>
          </w:p>
        </w:tc>
      </w:tr>
      <w:tr>
        <w:trPr>
          <w:trHeight w:val="21"/>
        </w:trPr>
        <w:tc>
          <w:tcPr>
            <w:tcW w:w="552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09"/>
        </w:trPr>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454545"/>
              </w:rPr>
              <w:t>% organic*</w:t>
            </w:r>
          </w:p>
        </w:tc>
      </w:tr>
      <w:tr>
        <w:trPr>
          <w:trHeight w:val="223"/>
        </w:trPr>
        <w:tc>
          <w:tcPr>
            <w:tcW w:w="5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140" w:type="dxa"/>
            <w:vAlign w:val="bottom"/>
          </w:tcPr>
          <w:p>
            <w:pPr>
              <w:spacing w:after="0"/>
              <w:rPr>
                <w:sz w:val="19"/>
                <w:szCs w:val="19"/>
                <w:color w:val="auto"/>
              </w:rPr>
            </w:pPr>
          </w:p>
        </w:tc>
        <w:tc>
          <w:tcPr>
            <w:tcW w:w="154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454545"/>
              </w:rPr>
              <w:t>2022</w:t>
            </w:r>
          </w:p>
        </w:tc>
        <w:tc>
          <w:tcPr>
            <w:tcW w:w="13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454545"/>
              </w:rPr>
              <w:t>% change</w:t>
            </w: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454545"/>
              </w:rPr>
              <w:t>change</w:t>
            </w:r>
          </w:p>
        </w:tc>
      </w:tr>
      <w:tr>
        <w:trPr>
          <w:trHeight w:val="21"/>
        </w:trPr>
        <w:tc>
          <w:tcPr>
            <w:tcW w:w="55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30"/>
        </w:trPr>
        <w:tc>
          <w:tcPr>
            <w:tcW w:w="552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Segment revenues</w:t>
            </w:r>
          </w:p>
        </w:tc>
        <w:tc>
          <w:tcPr>
            <w:tcW w:w="34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r>
      <w:tr>
        <w:trPr>
          <w:trHeight w:val="268"/>
        </w:trPr>
        <w:tc>
          <w:tcPr>
            <w:tcW w:w="5520" w:type="dxa"/>
            <w:vAlign w:val="bottom"/>
          </w:tcPr>
          <w:p>
            <w:pPr>
              <w:ind w:left="300"/>
              <w:spacing w:after="0"/>
              <w:rPr>
                <w:sz w:val="20"/>
                <w:szCs w:val="20"/>
                <w:color w:val="auto"/>
              </w:rPr>
            </w:pPr>
            <w:r>
              <w:rPr>
                <w:rFonts w:ascii="Arial" w:cs="Arial" w:eastAsia="Arial" w:hAnsi="Arial"/>
                <w:sz w:val="16"/>
                <w:szCs w:val="16"/>
                <w:color w:val="auto"/>
              </w:rPr>
              <w:t>Imaging</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10,581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19"/>
              <w:spacing w:after="0"/>
              <w:rPr>
                <w:sz w:val="20"/>
                <w:szCs w:val="20"/>
                <w:color w:val="auto"/>
              </w:rPr>
            </w:pPr>
            <w:r>
              <w:rPr>
                <w:rFonts w:ascii="Arial" w:cs="Arial" w:eastAsia="Arial" w:hAnsi="Arial"/>
                <w:sz w:val="16"/>
                <w:szCs w:val="16"/>
                <w:color w:val="auto"/>
              </w:rPr>
              <w:t>9,985</w:t>
            </w:r>
          </w:p>
        </w:tc>
        <w:tc>
          <w:tcPr>
            <w:tcW w:w="660" w:type="dxa"/>
            <w:vAlign w:val="bottom"/>
          </w:tcPr>
          <w:p>
            <w:pPr>
              <w:spacing w:after="0"/>
              <w:rPr>
                <w:sz w:val="23"/>
                <w:szCs w:val="23"/>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1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55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340" w:type="dxa"/>
            <w:vAlign w:val="bottom"/>
            <w:tcBorders>
              <w:bottom w:val="single" w:sz="8" w:color="E4E4E4"/>
            </w:tcBorders>
            <w:shd w:val="clear" w:color="auto" w:fill="E4E4E4"/>
          </w:tcPr>
          <w:p>
            <w:pPr>
              <w:spacing w:after="0"/>
              <w:rPr>
                <w:sz w:val="24"/>
                <w:szCs w:val="24"/>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3,457</w:t>
            </w:r>
          </w:p>
        </w:tc>
        <w:tc>
          <w:tcPr>
            <w:tcW w:w="140" w:type="dxa"/>
            <w:vAlign w:val="bottom"/>
            <w:tcBorders>
              <w:bottom w:val="single" w:sz="8" w:color="E4E4E4"/>
            </w:tcBorders>
            <w:shd w:val="clear" w:color="auto" w:fill="E4E4E4"/>
          </w:tcPr>
          <w:p>
            <w:pPr>
              <w:spacing w:after="0"/>
              <w:rPr>
                <w:sz w:val="24"/>
                <w:szCs w:val="24"/>
                <w:color w:val="auto"/>
              </w:rPr>
            </w:pPr>
          </w:p>
        </w:tc>
        <w:tc>
          <w:tcPr>
            <w:tcW w:w="1540" w:type="dxa"/>
            <w:vAlign w:val="bottom"/>
            <w:tcBorders>
              <w:bottom w:val="single" w:sz="8" w:color="E4E4E4"/>
            </w:tcBorders>
            <w:gridSpan w:val="2"/>
            <w:shd w:val="clear" w:color="auto" w:fill="E4E4E4"/>
          </w:tcPr>
          <w:p>
            <w:pPr>
              <w:jc w:val="right"/>
              <w:ind w:right="219"/>
              <w:spacing w:after="0"/>
              <w:rPr>
                <w:sz w:val="20"/>
                <w:szCs w:val="20"/>
                <w:color w:val="auto"/>
              </w:rPr>
            </w:pPr>
            <w:r>
              <w:rPr>
                <w:rFonts w:ascii="Arial" w:cs="Arial" w:eastAsia="Arial" w:hAnsi="Arial"/>
                <w:sz w:val="16"/>
                <w:szCs w:val="16"/>
                <w:color w:val="auto"/>
              </w:rPr>
              <w:t>3,422</w:t>
            </w:r>
          </w:p>
        </w:tc>
        <w:tc>
          <w:tcPr>
            <w:tcW w:w="660" w:type="dxa"/>
            <w:vAlign w:val="bottom"/>
            <w:tcBorders>
              <w:bottom w:val="single" w:sz="8" w:color="E4E4E4"/>
            </w:tcBorders>
            <w:shd w:val="clear" w:color="auto" w:fill="E4E4E4"/>
          </w:tcPr>
          <w:p>
            <w:pPr>
              <w:spacing w:after="0"/>
              <w:rPr>
                <w:sz w:val="24"/>
                <w:szCs w:val="24"/>
                <w:color w:val="auto"/>
              </w:rPr>
            </w:pPr>
          </w:p>
        </w:tc>
        <w:tc>
          <w:tcPr>
            <w:tcW w:w="64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68"/>
        </w:trPr>
        <w:tc>
          <w:tcPr>
            <w:tcW w:w="5520" w:type="dxa"/>
            <w:vAlign w:val="bottom"/>
          </w:tcPr>
          <w:p>
            <w:pPr>
              <w:ind w:left="300"/>
              <w:spacing w:after="0"/>
              <w:rPr>
                <w:sz w:val="20"/>
                <w:szCs w:val="20"/>
                <w:color w:val="auto"/>
              </w:rPr>
            </w:pPr>
            <w:r>
              <w:rPr>
                <w:rFonts w:ascii="Arial" w:cs="Arial" w:eastAsia="Arial" w:hAnsi="Arial"/>
                <w:sz w:val="16"/>
                <w:szCs w:val="16"/>
                <w:color w:val="auto"/>
              </w:rPr>
              <w:t>PCS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3,142</w:t>
            </w:r>
          </w:p>
        </w:tc>
        <w:tc>
          <w:tcPr>
            <w:tcW w:w="140" w:type="dxa"/>
            <w:vAlign w:val="bottom"/>
          </w:tcPr>
          <w:p>
            <w:pPr>
              <w:spacing w:after="0"/>
              <w:rPr>
                <w:sz w:val="23"/>
                <w:szCs w:val="23"/>
                <w:color w:val="auto"/>
              </w:rPr>
            </w:pPr>
          </w:p>
        </w:tc>
        <w:tc>
          <w:tcPr>
            <w:tcW w:w="1540" w:type="dxa"/>
            <w:vAlign w:val="bottom"/>
            <w:gridSpan w:val="2"/>
          </w:tcPr>
          <w:p>
            <w:pPr>
              <w:jc w:val="right"/>
              <w:ind w:right="219"/>
              <w:spacing w:after="0"/>
              <w:rPr>
                <w:sz w:val="20"/>
                <w:szCs w:val="20"/>
                <w:color w:val="auto"/>
              </w:rPr>
            </w:pPr>
            <w:r>
              <w:rPr>
                <w:rFonts w:ascii="Arial" w:cs="Arial" w:eastAsia="Arial" w:hAnsi="Arial"/>
                <w:sz w:val="16"/>
                <w:szCs w:val="16"/>
                <w:color w:val="auto"/>
              </w:rPr>
              <w:t>2,916</w:t>
            </w:r>
          </w:p>
        </w:tc>
        <w:tc>
          <w:tcPr>
            <w:tcW w:w="660" w:type="dxa"/>
            <w:vAlign w:val="bottom"/>
          </w:tcPr>
          <w:p>
            <w:pPr>
              <w:spacing w:after="0"/>
              <w:rPr>
                <w:sz w:val="23"/>
                <w:szCs w:val="23"/>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7"/>
        </w:trPr>
        <w:tc>
          <w:tcPr>
            <w:tcW w:w="55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340" w:type="dxa"/>
            <w:vAlign w:val="bottom"/>
            <w:tcBorders>
              <w:bottom w:val="single" w:sz="8" w:color="E4E4E4"/>
            </w:tcBorders>
            <w:shd w:val="clear" w:color="auto" w:fill="E4E4E4"/>
          </w:tcPr>
          <w:p>
            <w:pPr>
              <w:spacing w:after="0"/>
              <w:rPr>
                <w:sz w:val="24"/>
                <w:szCs w:val="24"/>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2,306</w:t>
            </w:r>
          </w:p>
        </w:tc>
        <w:tc>
          <w:tcPr>
            <w:tcW w:w="140" w:type="dxa"/>
            <w:vAlign w:val="bottom"/>
            <w:tcBorders>
              <w:bottom w:val="single" w:sz="8" w:color="E4E4E4"/>
            </w:tcBorders>
            <w:shd w:val="clear" w:color="auto" w:fill="E4E4E4"/>
          </w:tcPr>
          <w:p>
            <w:pPr>
              <w:spacing w:after="0"/>
              <w:rPr>
                <w:sz w:val="24"/>
                <w:szCs w:val="24"/>
                <w:color w:val="auto"/>
              </w:rPr>
            </w:pPr>
          </w:p>
        </w:tc>
        <w:tc>
          <w:tcPr>
            <w:tcW w:w="1540" w:type="dxa"/>
            <w:vAlign w:val="bottom"/>
            <w:tcBorders>
              <w:bottom w:val="single" w:sz="8" w:color="E4E4E4"/>
            </w:tcBorders>
            <w:gridSpan w:val="2"/>
            <w:shd w:val="clear" w:color="auto" w:fill="E4E4E4"/>
          </w:tcPr>
          <w:p>
            <w:pPr>
              <w:jc w:val="right"/>
              <w:ind w:right="219"/>
              <w:spacing w:after="0"/>
              <w:rPr>
                <w:sz w:val="20"/>
                <w:szCs w:val="20"/>
                <w:color w:val="auto"/>
              </w:rPr>
            </w:pPr>
            <w:r>
              <w:rPr>
                <w:rFonts w:ascii="Arial" w:cs="Arial" w:eastAsia="Arial" w:hAnsi="Arial"/>
                <w:sz w:val="16"/>
                <w:szCs w:val="16"/>
                <w:color w:val="auto"/>
              </w:rPr>
              <w:t>1,958</w:t>
            </w:r>
          </w:p>
        </w:tc>
        <w:tc>
          <w:tcPr>
            <w:tcW w:w="660" w:type="dxa"/>
            <w:vAlign w:val="bottom"/>
            <w:tcBorders>
              <w:bottom w:val="single" w:sz="8" w:color="E4E4E4"/>
            </w:tcBorders>
            <w:shd w:val="clear" w:color="auto" w:fill="E4E4E4"/>
          </w:tcPr>
          <w:p>
            <w:pPr>
              <w:spacing w:after="0"/>
              <w:rPr>
                <w:sz w:val="24"/>
                <w:szCs w:val="24"/>
                <w:color w:val="auto"/>
              </w:rPr>
            </w:pPr>
          </w:p>
        </w:tc>
        <w:tc>
          <w:tcPr>
            <w:tcW w:w="64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18%</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60</w:t>
            </w: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0"/>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E4E4E4"/>
            </w:tcBorders>
            <w:gridSpan w:val="2"/>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18,341</w:t>
            </w:r>
          </w:p>
        </w:tc>
        <w:tc>
          <w:tcPr>
            <w:tcW w:w="660" w:type="dxa"/>
            <w:vAlign w:val="bottom"/>
            <w:tcBorders>
              <w:bottom w:val="single" w:sz="8" w:color="E4E4E4"/>
            </w:tcBorders>
            <w:shd w:val="clear" w:color="auto" w:fill="E4E4E4"/>
          </w:tcPr>
          <w:p>
            <w:pPr>
              <w:spacing w:after="0"/>
              <w:rPr>
                <w:sz w:val="23"/>
                <w:szCs w:val="23"/>
                <w:color w:val="auto"/>
              </w:rPr>
            </w:pPr>
          </w:p>
        </w:tc>
        <w:tc>
          <w:tcPr>
            <w:tcW w:w="64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7%</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0"/>
        </w:trPr>
        <w:tc>
          <w:tcPr>
            <w:tcW w:w="5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460" w:hanging="252"/>
        <w:spacing w:after="0" w:line="286"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4"/>
        </w:trPr>
        <w:tc>
          <w:tcPr>
            <w:tcW w:w="7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71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7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360" w:type="dxa"/>
            <w:vAlign w:val="bottom"/>
          </w:tcPr>
          <w:p>
            <w:pPr>
              <w:spacing w:after="0"/>
              <w:rPr>
                <w:sz w:val="19"/>
                <w:szCs w:val="19"/>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2022</w:t>
            </w: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71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57"/>
        </w:trPr>
        <w:tc>
          <w:tcPr>
            <w:tcW w:w="7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United States and Canada (“USCAN”)</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8,551</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8,130</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7120" w:type="dxa"/>
            <w:vAlign w:val="bottom"/>
          </w:tcPr>
          <w:p>
            <w:pPr>
              <w:ind w:left="80"/>
              <w:spacing w:after="0"/>
              <w:rPr>
                <w:sz w:val="20"/>
                <w:szCs w:val="20"/>
                <w:color w:val="auto"/>
              </w:rPr>
            </w:pPr>
            <w:r>
              <w:rPr>
                <w:rFonts w:ascii="Arial" w:cs="Arial" w:eastAsia="Arial" w:hAnsi="Arial"/>
                <w:sz w:val="16"/>
                <w:szCs w:val="16"/>
                <w:color w:val="auto"/>
              </w:rPr>
              <w:t>Europe, the Middle East, and Africa (“EMEA”)</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5,058</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4,684</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3"/>
        </w:trPr>
        <w:tc>
          <w:tcPr>
            <w:tcW w:w="7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7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China region</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2,785</w:t>
            </w:r>
          </w:p>
        </w:tc>
        <w:tc>
          <w:tcPr>
            <w:tcW w:w="3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2,531</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41"/>
        </w:trPr>
        <w:tc>
          <w:tcPr>
            <w:tcW w:w="71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3,158</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2,996</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3"/>
        </w:trPr>
        <w:tc>
          <w:tcPr>
            <w:tcW w:w="7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7"/>
        </w:trPr>
        <w:tc>
          <w:tcPr>
            <w:tcW w:w="7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18,341</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0"/>
        </w:trPr>
        <w:tc>
          <w:tcPr>
            <w:tcW w:w="7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25"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i w:val="1"/>
          <w:iCs w:val="1"/>
          <w:color w:val="231F20"/>
        </w:rPr>
        <w:t>For the year ended December 31, 2023</w:t>
      </w:r>
    </w:p>
    <w:p>
      <w:pPr>
        <w:spacing w:after="0" w:line="165"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Total revenues were $19,552 million</w:t>
      </w:r>
      <w:r>
        <w:rPr>
          <w:rFonts w:ascii="Arial" w:cs="Arial" w:eastAsia="Arial" w:hAnsi="Arial"/>
          <w:sz w:val="16"/>
          <w:szCs w:val="16"/>
          <w:color w:val="231F20"/>
        </w:rPr>
        <w:t>, growing 7% or $1,211 million as reported and 8% organically*. The reported growth was primarily due to Sales of</w:t>
      </w:r>
      <w:r>
        <w:rPr>
          <w:rFonts w:ascii="Arial" w:cs="Arial" w:eastAsia="Arial" w:hAnsi="Arial"/>
          <w:sz w:val="16"/>
          <w:szCs w:val="16"/>
          <w:color w:val="auto"/>
        </w:rPr>
        <w:t xml:space="preserve"> </w:t>
      </w:r>
      <w:r>
        <w:rPr>
          <w:rFonts w:ascii="Arial" w:cs="Arial" w:eastAsia="Arial" w:hAnsi="Arial"/>
          <w:sz w:val="16"/>
          <w:szCs w:val="16"/>
          <w:color w:val="231F20"/>
        </w:rPr>
        <w:t>products growing 9% or $1,083 million as reported, with growth across all segments.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60" w:hanging="328"/>
        <w:spacing w:after="0" w:line="26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$10,581 million, growing 6% or $596 million as reported due to an increase in Organic revenue*, partially offset by unfavorable foreign currency impacts. Organic revenue* grew 7% primarily due to growth in Magnetic Resonance and MI/CT product lines, due to supply chain fulfillment improvements, new product introductions, and an increase in price;</w:t>
      </w:r>
    </w:p>
    <w:p>
      <w:pPr>
        <w:spacing w:after="0" w:line="49" w:lineRule="exact"/>
        <w:rPr>
          <w:rFonts w:ascii="Arial" w:cs="Arial" w:eastAsia="Arial" w:hAnsi="Arial"/>
          <w:sz w:val="16"/>
          <w:szCs w:val="16"/>
          <w:color w:val="231F20"/>
        </w:rPr>
      </w:pPr>
    </w:p>
    <w:p>
      <w:pPr>
        <w:ind w:left="660" w:right="20" w:hanging="328"/>
        <w:spacing w:after="0" w:line="275"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Ultrasound segment revenues were $3,457 million, growing 1% or $35 million as reported due to an increase in Organic revenue*, partially offset by unfavorable foreign currency impacts. Organic revenue* grew 2% primarily due to growth in Cardiovascular and Point of Care and Handheld product lines due to new product introductions, an increase in price, and supply chain fulfillment improvements;</w:t>
      </w:r>
    </w:p>
    <w:p>
      <w:pPr>
        <w:spacing w:after="0" w:line="42" w:lineRule="exact"/>
        <w:rPr>
          <w:rFonts w:ascii="Arial" w:cs="Arial" w:eastAsia="Arial" w:hAnsi="Arial"/>
          <w:sz w:val="16"/>
          <w:szCs w:val="16"/>
          <w:color w:val="231F20"/>
        </w:rPr>
      </w:pPr>
    </w:p>
    <w:p>
      <w:pPr>
        <w:ind w:left="660" w:right="360" w:hanging="328"/>
        <w:spacing w:after="0" w:line="304"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$3,142 million, growing 8% or $226 million due to growth in Monitoring Solutions and Consumables and Services product lines driven by an increase in price and operational improvements; and</w:t>
      </w:r>
    </w:p>
    <w:p>
      <w:pPr>
        <w:spacing w:after="0" w:line="19" w:lineRule="exact"/>
        <w:rPr>
          <w:rFonts w:ascii="Arial" w:cs="Arial" w:eastAsia="Arial" w:hAnsi="Arial"/>
          <w:sz w:val="16"/>
          <w:szCs w:val="16"/>
          <w:color w:val="231F20"/>
        </w:rPr>
      </w:pPr>
    </w:p>
    <w:p>
      <w:pPr>
        <w:ind w:left="660" w:right="20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$2,306 million, growing 18% or $348 million with growth across all regions due to an increase in price and improved demand.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$8,551 million, growing 5% or $421 million due to growth across all segments;</w:t>
      </w:r>
    </w:p>
    <w:p>
      <w:pPr>
        <w:spacing w:after="0" w:line="99" w:lineRule="exact"/>
        <w:rPr>
          <w:rFonts w:ascii="Arial" w:cs="Arial" w:eastAsia="Arial" w:hAnsi="Arial"/>
          <w:sz w:val="16"/>
          <w:szCs w:val="16"/>
          <w:color w:val="231F20"/>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$5,058 million, growing 8% or $374 million due to growth in Imaging and PDx;</w:t>
      </w:r>
    </w:p>
    <w:p>
      <w:pPr>
        <w:spacing w:after="0" w:line="99" w:lineRule="exact"/>
        <w:rPr>
          <w:rFonts w:ascii="Arial" w:cs="Arial" w:eastAsia="Arial" w:hAnsi="Arial"/>
          <w:sz w:val="16"/>
          <w:szCs w:val="16"/>
          <w:color w:val="231F20"/>
        </w:rPr>
      </w:pPr>
    </w:p>
    <w:p>
      <w:pPr>
        <w:ind w:left="660" w:right="16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$2,785 million, growing 10% or $254 million due to growth across all segments, partially offset by unfavorable foreign currency impacts; and</w:t>
      </w:r>
    </w:p>
    <w:p>
      <w:pPr>
        <w:spacing w:after="0" w:line="34" w:lineRule="exact"/>
        <w:rPr>
          <w:rFonts w:ascii="Arial" w:cs="Arial" w:eastAsia="Arial" w:hAnsi="Arial"/>
          <w:sz w:val="16"/>
          <w:szCs w:val="16"/>
          <w:color w:val="231F20"/>
        </w:rPr>
      </w:pPr>
    </w:p>
    <w:p>
      <w:pPr>
        <w:ind w:left="660" w:right="20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Rest of World revenues were $3,158 million, growing 5% or $162 million due to growth in Imaging and PDx, partially offset by unfavorable foreign currency impacts.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6"/>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ind w:right="1199"/>
              <w:spacing w:after="0"/>
              <w:rPr>
                <w:sz w:val="20"/>
                <w:szCs w:val="20"/>
                <w:color w:val="auto"/>
              </w:rPr>
            </w:pPr>
            <w:r>
              <w:rPr>
                <w:rFonts w:ascii="Arial" w:cs="Arial" w:eastAsia="Arial" w:hAnsi="Arial"/>
                <w:sz w:val="16"/>
                <w:szCs w:val="16"/>
                <w:b w:val="1"/>
                <w:bCs w:val="1"/>
                <w:color w:val="454545"/>
              </w:rPr>
              <w:t>As of</w:t>
            </w:r>
          </w:p>
        </w:tc>
        <w:tc>
          <w:tcPr>
            <w:tcW w:w="1480" w:type="dxa"/>
            <w:vAlign w:val="bottom"/>
          </w:tcPr>
          <w:p>
            <w:pPr>
              <w:spacing w:after="0"/>
              <w:rPr>
                <w:sz w:val="22"/>
                <w:szCs w:val="22"/>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1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December 31, 2022</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4,930</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4,992</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68"/>
        </w:trPr>
        <w:tc>
          <w:tcPr>
            <w:tcW w:w="5320" w:type="dxa"/>
            <w:vAlign w:val="bottom"/>
          </w:tcPr>
          <w:p>
            <w:pPr>
              <w:ind w:left="8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9,725</w:t>
            </w:r>
          </w:p>
        </w:tc>
        <w:tc>
          <w:tcPr>
            <w:tcW w:w="240" w:type="dxa"/>
            <w:vAlign w:val="bottom"/>
          </w:tcPr>
          <w:p>
            <w:pPr>
              <w:spacing w:after="0"/>
              <w:rPr>
                <w:sz w:val="23"/>
                <w:szCs w:val="23"/>
                <w:color w:val="auto"/>
              </w:rPr>
            </w:pPr>
          </w:p>
        </w:tc>
        <w:tc>
          <w:tcPr>
            <w:tcW w:w="2100" w:type="dxa"/>
            <w:vAlign w:val="bottom"/>
          </w:tcPr>
          <w:p>
            <w:pPr>
              <w:jc w:val="right"/>
              <w:ind w:right="179"/>
              <w:spacing w:after="0"/>
              <w:rPr>
                <w:sz w:val="20"/>
                <w:szCs w:val="20"/>
                <w:color w:val="auto"/>
              </w:rPr>
            </w:pPr>
            <w:r>
              <w:rPr>
                <w:rFonts w:ascii="Arial" w:cs="Arial" w:eastAsia="Arial" w:hAnsi="Arial"/>
                <w:sz w:val="16"/>
                <w:szCs w:val="16"/>
                <w:color w:val="auto"/>
              </w:rPr>
              <w:t>9,351</w:t>
            </w:r>
          </w:p>
        </w:tc>
        <w:tc>
          <w:tcPr>
            <w:tcW w:w="1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1"/>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14,655</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14,343</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0"/>
        </w:trPr>
        <w:tc>
          <w:tcPr>
            <w:tcW w:w="5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ind w:right="300"/>
        <w:spacing w:after="0" w:line="265"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December 31, 2023 increased 2% from December 31, 2022, primarily due to new and renewals of multi-year service contracts in USCAN and EMEA.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140" w:type="dxa"/>
            <w:vAlign w:val="bottom"/>
            <w:gridSpan w:val="4"/>
          </w:tcPr>
          <w:p>
            <w:pPr>
              <w:ind w:left="700"/>
              <w:spacing w:after="0"/>
              <w:rPr>
                <w:sz w:val="20"/>
                <w:szCs w:val="20"/>
                <w:color w:val="auto"/>
              </w:rPr>
            </w:pPr>
            <w:r>
              <w:rPr>
                <w:rFonts w:ascii="Arial" w:cs="Arial" w:eastAsia="Arial" w:hAnsi="Arial"/>
                <w:sz w:val="16"/>
                <w:szCs w:val="16"/>
                <w:b w:val="1"/>
                <w:bCs w:val="1"/>
                <w:color w:val="454545"/>
              </w:rPr>
              <w:t>For the years ended December 31</w:t>
            </w:r>
          </w:p>
        </w:tc>
        <w:tc>
          <w:tcPr>
            <w:tcW w:w="1420" w:type="dxa"/>
            <w:vAlign w:val="bottom"/>
          </w:tcPr>
          <w:p>
            <w:pPr>
              <w:spacing w:after="0"/>
              <w:rPr>
                <w:sz w:val="19"/>
                <w:szCs w:val="19"/>
                <w:color w:val="auto"/>
              </w:rPr>
            </w:pPr>
          </w:p>
        </w:tc>
      </w:tr>
      <w:tr>
        <w:trPr>
          <w:trHeight w:val="21"/>
        </w:trPr>
        <w:tc>
          <w:tcPr>
            <w:tcW w:w="412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09"/>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6"/>
                <w:szCs w:val="16"/>
                <w:b w:val="1"/>
                <w:bCs w:val="1"/>
                <w:color w:val="454545"/>
              </w:rPr>
              <w:t>% of Total</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 of Total</w:t>
            </w:r>
          </w:p>
        </w:tc>
        <w:tc>
          <w:tcPr>
            <w:tcW w:w="1420" w:type="dxa"/>
            <w:vAlign w:val="bottom"/>
          </w:tcPr>
          <w:p>
            <w:pPr>
              <w:spacing w:after="0"/>
              <w:rPr>
                <w:sz w:val="18"/>
                <w:szCs w:val="18"/>
                <w:color w:val="auto"/>
              </w:rPr>
            </w:pPr>
          </w:p>
        </w:tc>
      </w:tr>
      <w:tr>
        <w:trPr>
          <w:trHeight w:val="223"/>
        </w:trPr>
        <w:tc>
          <w:tcPr>
            <w:tcW w:w="4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640" w:type="dxa"/>
            <w:vAlign w:val="bottom"/>
          </w:tcPr>
          <w:p>
            <w:pPr>
              <w:spacing w:after="0"/>
              <w:rPr>
                <w:sz w:val="19"/>
                <w:szCs w:val="19"/>
                <w:color w:val="auto"/>
              </w:rPr>
            </w:pPr>
          </w:p>
        </w:tc>
        <w:tc>
          <w:tcPr>
            <w:tcW w:w="1120" w:type="dxa"/>
            <w:vAlign w:val="bottom"/>
          </w:tcPr>
          <w:p>
            <w:pPr>
              <w:ind w:left="220"/>
              <w:spacing w:after="0"/>
              <w:rPr>
                <w:sz w:val="20"/>
                <w:szCs w:val="20"/>
                <w:color w:val="auto"/>
              </w:rPr>
            </w:pPr>
            <w:r>
              <w:rPr>
                <w:rFonts w:ascii="Arial" w:cs="Arial" w:eastAsia="Arial" w:hAnsi="Arial"/>
                <w:sz w:val="16"/>
                <w:szCs w:val="16"/>
                <w:b w:val="1"/>
                <w:bCs w:val="1"/>
                <w:color w:val="454545"/>
              </w:rPr>
              <w:t>revenues</w:t>
            </w:r>
          </w:p>
        </w:tc>
        <w:tc>
          <w:tcPr>
            <w:tcW w:w="480" w:type="dxa"/>
            <w:vAlign w:val="bottom"/>
          </w:tcPr>
          <w:p>
            <w:pPr>
              <w:spacing w:after="0"/>
              <w:rPr>
                <w:sz w:val="19"/>
                <w:szCs w:val="19"/>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2022</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454545"/>
              </w:rPr>
              <w:t>revenues</w:t>
            </w: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12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r>
      <w:tr>
        <w:trPr>
          <w:trHeight w:val="257"/>
        </w:trPr>
        <w:tc>
          <w:tcPr>
            <w:tcW w:w="4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2,435</w:t>
            </w:r>
          </w:p>
        </w:tc>
        <w:tc>
          <w:tcPr>
            <w:tcW w:w="112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12.5%</w:t>
            </w:r>
          </w:p>
        </w:tc>
        <w:tc>
          <w:tcPr>
            <w:tcW w:w="48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2,522</w:t>
            </w:r>
          </w:p>
        </w:tc>
        <w:tc>
          <w:tcPr>
            <w:tcW w:w="1300" w:type="dxa"/>
            <w:vAlign w:val="bottom"/>
            <w:tcBorders>
              <w:bottom w:val="single" w:sz="8" w:color="E4E4E4"/>
            </w:tcBorders>
            <w:shd w:val="clear" w:color="auto" w:fill="E4E4E4"/>
          </w:tcPr>
          <w:p>
            <w:pPr>
              <w:jc w:val="center"/>
              <w:ind w:right="59"/>
              <w:spacing w:after="0"/>
              <w:rPr>
                <w:sz w:val="20"/>
                <w:szCs w:val="20"/>
                <w:color w:val="auto"/>
              </w:rPr>
            </w:pPr>
            <w:r>
              <w:rPr>
                <w:rFonts w:ascii="Arial" w:cs="Arial" w:eastAsia="Arial" w:hAnsi="Arial"/>
                <w:sz w:val="16"/>
                <w:szCs w:val="16"/>
                <w:color w:val="auto"/>
                <w:w w:val="96"/>
              </w:rPr>
              <w:t>13.8%</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7"/>
        </w:trPr>
        <w:tc>
          <w:tcPr>
            <w:tcW w:w="4120" w:type="dxa"/>
            <w:vAlign w:val="bottom"/>
          </w:tcPr>
          <w:p>
            <w:pPr>
              <w:ind w:left="80"/>
              <w:spacing w:after="0"/>
              <w:rPr>
                <w:sz w:val="20"/>
                <w:szCs w:val="20"/>
                <w:color w:val="auto"/>
              </w:rPr>
            </w:pPr>
            <w:r>
              <w:rPr>
                <w:rFonts w:ascii="Arial" w:cs="Arial" w:eastAsia="Arial" w:hAnsi="Arial"/>
                <w:sz w:val="16"/>
                <w:szCs w:val="16"/>
                <w:color w:val="auto"/>
              </w:rPr>
              <w:t>Net income attributable to GE HealthCare</w:t>
            </w:r>
          </w:p>
        </w:tc>
        <w:tc>
          <w:tcPr>
            <w:tcW w:w="92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1,568</w:t>
            </w:r>
          </w:p>
        </w:tc>
        <w:tc>
          <w:tcPr>
            <w:tcW w:w="1120" w:type="dxa"/>
            <w:vAlign w:val="bottom"/>
          </w:tcPr>
          <w:p>
            <w:pPr>
              <w:jc w:val="center"/>
              <w:spacing w:after="0"/>
              <w:rPr>
                <w:sz w:val="20"/>
                <w:szCs w:val="20"/>
                <w:color w:val="auto"/>
              </w:rPr>
            </w:pPr>
            <w:r>
              <w:rPr>
                <w:rFonts w:ascii="Arial" w:cs="Arial" w:eastAsia="Arial" w:hAnsi="Arial"/>
                <w:sz w:val="16"/>
                <w:szCs w:val="16"/>
                <w:color w:val="auto"/>
              </w:rPr>
              <w:t>8.0%</w:t>
            </w:r>
          </w:p>
        </w:tc>
        <w:tc>
          <w:tcPr>
            <w:tcW w:w="48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1,916</w:t>
            </w:r>
          </w:p>
        </w:tc>
        <w:tc>
          <w:tcPr>
            <w:tcW w:w="1300" w:type="dxa"/>
            <w:vAlign w:val="bottom"/>
          </w:tcPr>
          <w:p>
            <w:pPr>
              <w:jc w:val="center"/>
              <w:ind w:right="59"/>
              <w:spacing w:after="0"/>
              <w:rPr>
                <w:sz w:val="20"/>
                <w:szCs w:val="20"/>
                <w:color w:val="auto"/>
              </w:rPr>
            </w:pPr>
            <w:r>
              <w:rPr>
                <w:rFonts w:ascii="Arial" w:cs="Arial" w:eastAsia="Arial" w:hAnsi="Arial"/>
                <w:sz w:val="16"/>
                <w:szCs w:val="16"/>
                <w:color w:val="auto"/>
                <w:w w:val="96"/>
              </w:rPr>
              <w:t>10.4%</w:t>
            </w: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4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Adjusted EBIT*</w:t>
            </w:r>
          </w:p>
        </w:tc>
        <w:tc>
          <w:tcPr>
            <w:tcW w:w="92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2,956</w:t>
            </w:r>
          </w:p>
        </w:tc>
        <w:tc>
          <w:tcPr>
            <w:tcW w:w="112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15.1%</w:t>
            </w:r>
          </w:p>
        </w:tc>
        <w:tc>
          <w:tcPr>
            <w:tcW w:w="4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2,861</w:t>
            </w:r>
          </w:p>
        </w:tc>
        <w:tc>
          <w:tcPr>
            <w:tcW w:w="1300" w:type="dxa"/>
            <w:vAlign w:val="bottom"/>
            <w:tcBorders>
              <w:bottom w:val="single" w:sz="8" w:color="E4E4E4"/>
            </w:tcBorders>
            <w:shd w:val="clear" w:color="auto" w:fill="E4E4E4"/>
          </w:tcPr>
          <w:p>
            <w:pPr>
              <w:jc w:val="center"/>
              <w:ind w:right="59"/>
              <w:spacing w:after="0"/>
              <w:rPr>
                <w:sz w:val="20"/>
                <w:szCs w:val="20"/>
                <w:color w:val="auto"/>
              </w:rPr>
            </w:pPr>
            <w:r>
              <w:rPr>
                <w:rFonts w:ascii="Arial" w:cs="Arial" w:eastAsia="Arial" w:hAnsi="Arial"/>
                <w:sz w:val="16"/>
                <w:szCs w:val="16"/>
                <w:color w:val="auto"/>
                <w:w w:val="96"/>
              </w:rPr>
              <w:t>15.6%</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4"/>
        </w:trPr>
        <w:tc>
          <w:tcPr>
            <w:tcW w:w="412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920" w:type="dxa"/>
            <w:vAlign w:val="bottom"/>
          </w:tcPr>
          <w:p>
            <w:pPr>
              <w:spacing w:after="0"/>
              <w:rPr>
                <w:sz w:val="22"/>
                <w:szCs w:val="22"/>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1,797</w:t>
            </w:r>
          </w:p>
        </w:tc>
        <w:tc>
          <w:tcPr>
            <w:tcW w:w="1120" w:type="dxa"/>
            <w:vAlign w:val="bottom"/>
          </w:tcPr>
          <w:p>
            <w:pPr>
              <w:jc w:val="center"/>
              <w:spacing w:after="0"/>
              <w:rPr>
                <w:sz w:val="20"/>
                <w:szCs w:val="20"/>
                <w:color w:val="auto"/>
              </w:rPr>
            </w:pPr>
            <w:r>
              <w:rPr>
                <w:rFonts w:ascii="Arial" w:cs="Arial" w:eastAsia="Arial" w:hAnsi="Arial"/>
                <w:sz w:val="16"/>
                <w:szCs w:val="16"/>
                <w:color w:val="auto"/>
              </w:rPr>
              <w:t>9.2%</w:t>
            </w:r>
          </w:p>
        </w:tc>
        <w:tc>
          <w:tcPr>
            <w:tcW w:w="48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2,103</w:t>
            </w:r>
          </w:p>
        </w:tc>
        <w:tc>
          <w:tcPr>
            <w:tcW w:w="1300" w:type="dxa"/>
            <w:vAlign w:val="bottom"/>
          </w:tcPr>
          <w:p>
            <w:pPr>
              <w:jc w:val="center"/>
              <w:ind w:right="59"/>
              <w:spacing w:after="0"/>
              <w:rPr>
                <w:sz w:val="20"/>
                <w:szCs w:val="20"/>
                <w:color w:val="auto"/>
              </w:rPr>
            </w:pPr>
            <w:r>
              <w:rPr>
                <w:rFonts w:ascii="Arial" w:cs="Arial" w:eastAsia="Arial" w:hAnsi="Arial"/>
                <w:sz w:val="16"/>
                <w:szCs w:val="16"/>
                <w:color w:val="auto"/>
                <w:w w:val="96"/>
              </w:rPr>
              <w:t>11.5%</w:t>
            </w: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4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2023</w:t>
      </w:r>
    </w:p>
    <w:p>
      <w:pPr>
        <w:spacing w:after="0" w:line="260"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Operating income was $2,435 million, a decrease of $87 million and 130 basis points as a percent of Total revenues. The decrease as a percent of Total revenues was due to the following factors:</w:t>
      </w:r>
    </w:p>
    <w:p>
      <w:pPr>
        <w:spacing w:after="0" w:line="168" w:lineRule="exact"/>
        <w:rPr>
          <w:sz w:val="20"/>
          <w:szCs w:val="20"/>
          <w:color w:val="auto"/>
        </w:rPr>
      </w:pPr>
    </w:p>
    <w:p>
      <w:pPr>
        <w:ind w:left="660" w:right="100" w:hanging="328"/>
        <w:spacing w:after="0" w:line="261"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 xml:space="preserve">Cost of products sold increased $490 million but decreased 170 basis points as a percent of Sales of products. The decrease as a percent of sales was driven by cost productivity and an increase in pricing of our products, partially offset by cost inflation. Cost of services sold decreased $22 million or 130 basis points as a percent of Sales of services. The decrease as a percent of sales was driven by cost productivity and an increase in pricing of our service offerings, partially offset by cost inflation. Included in our total cost of revenue as part of our product investment was $438 million in engineering costs for design follow-through on new product introductions and product lifecycle maintenance subsequent to the initial product launch, compared to $429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4" w:lineRule="exact"/>
        <w:rPr>
          <w:rFonts w:ascii="Arial" w:cs="Arial" w:eastAsia="Arial" w:hAnsi="Arial"/>
          <w:sz w:val="16"/>
          <w:szCs w:val="16"/>
          <w:color w:val="231F20"/>
        </w:rPr>
      </w:pPr>
    </w:p>
    <w:p>
      <w:pPr>
        <w:ind w:left="660" w:right="8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increased $830 million due to an increase in Selling, general, and administrative (“SG&amp;A”) expense of $651 million driven by increased costs associated with both the one-time stand-up and recurring operations of a standalone company and commercial and marketing investments and an increase in R&amp;D investments of $179 million. As a result, SG&amp;A as a percentage of Total revenues increased by 210 basis points and R&amp;D as a percentage of Total revenues increased by 60 basis points.</w:t>
      </w:r>
    </w:p>
    <w:p>
      <w:pPr>
        <w:spacing w:after="0" w:line="213"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Net income attributable to GE HealthCare and Net income margin were $1,568 million and 8.0%, a decrease of $348 million and 240 basis points, respectively, primarily due to the following factors:</w:t>
      </w:r>
    </w:p>
    <w:p>
      <w:pPr>
        <w:spacing w:after="0" w:line="196"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i w:val="1"/>
          <w:iCs w:val="1"/>
          <w:color w:val="231F20"/>
        </w:rPr>
      </w:pPr>
      <w:r>
        <w:rPr>
          <w:rFonts w:ascii="Arial" w:cs="Arial" w:eastAsia="Arial" w:hAnsi="Arial"/>
          <w:sz w:val="16"/>
          <w:szCs w:val="16"/>
          <w:color w:val="auto"/>
        </w:rPr>
        <w:t>Operating income decreased $87 million, as discussed above;</w:t>
      </w:r>
    </w:p>
    <w:p>
      <w:pPr>
        <w:spacing w:after="0" w:line="99" w:lineRule="exact"/>
        <w:rPr>
          <w:rFonts w:ascii="Arial" w:cs="Arial" w:eastAsia="Arial" w:hAnsi="Arial"/>
          <w:sz w:val="16"/>
          <w:szCs w:val="16"/>
          <w:i w:val="1"/>
          <w:iCs w:val="1"/>
          <w:color w:val="231F20"/>
        </w:rPr>
      </w:pPr>
    </w:p>
    <w:p>
      <w:pPr>
        <w:ind w:left="660" w:right="52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$465 million primarily due to interest expense related to the debt securities issued by GE HealthCare in November of 2022 and the Term Loan Facility drawn upon in January of 2023;</w:t>
      </w:r>
    </w:p>
    <w:p>
      <w:pPr>
        <w:spacing w:after="0" w:line="34" w:lineRule="exact"/>
        <w:rPr>
          <w:rFonts w:ascii="Arial" w:cs="Arial" w:eastAsia="Arial" w:hAnsi="Arial"/>
          <w:sz w:val="16"/>
          <w:szCs w:val="16"/>
          <w:color w:val="auto"/>
        </w:rPr>
      </w:pPr>
    </w:p>
    <w:p>
      <w:pPr>
        <w:ind w:left="660" w:right="30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increased $377 million primarily related to the pension plans transferred to GE HealthCare as part of the Spin-Off; and</w:t>
      </w:r>
    </w:p>
    <w:p>
      <w:pPr>
        <w:spacing w:after="0" w:line="19" w:lineRule="exact"/>
        <w:rPr>
          <w:rFonts w:ascii="Arial" w:cs="Arial" w:eastAsia="Arial" w:hAnsi="Arial"/>
          <w:sz w:val="16"/>
          <w:szCs w:val="16"/>
          <w:color w:val="auto"/>
        </w:rPr>
      </w:pPr>
    </w:p>
    <w:p>
      <w:pPr>
        <w:ind w:left="660" w:right="2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increased $180 million primarily due to the tax effect of foreign currency movement, the impact of the Tax Matters Agreement, including the effect of completing the 2022 U.S. federal tax return, taxes accrued for the future repatriation of current earnings with a one-time charge for prior period earnings of certain of our foreign subsidiaries, and the impact of adjusting deferred tax assets and liabilities to standalone GE HealthCare tax rates. For additional detail regarding our income taxes, see Note 11, “Income Taxes” to the consolidated and combined financial statements.</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Adjusted EBIT* and Adjusted EBIT margin* were $2,956 million and 15.1%, an increase of $95 million but a decrease of 50 basis points, respectively, primarily due to an increase in Total revenues, offset by an increase in Total operating expenses, excluding the impact of one-time Spin-Off and separation costs, as discussed above.</w:t>
      </w:r>
    </w:p>
    <w:p>
      <w:pPr>
        <w:spacing w:after="0" w:line="181"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 xml:space="preserve">Adjusted net income* was $1,797 million, a decrease of $306 million primarily due to higher Interest and other financial charges </w:t>
      </w:r>
      <w:r>
        <w:rPr>
          <w:rFonts w:ascii="Calibri" w:cs="Calibri" w:eastAsia="Calibri" w:hAnsi="Calibri"/>
          <w:sz w:val="19"/>
          <w:szCs w:val="19"/>
          <w:color w:val="auto"/>
        </w:rPr>
        <w:t>–</w:t>
      </w:r>
      <w:r>
        <w:rPr>
          <w:rFonts w:ascii="Arial" w:cs="Arial" w:eastAsia="Arial" w:hAnsi="Arial"/>
          <w:sz w:val="16"/>
          <w:szCs w:val="16"/>
          <w:color w:val="auto"/>
        </w:rPr>
        <w:t xml:space="preserve"> net, partially offset by an increase in Operating Income, excluding the impact of one-time Spin-Off and separation costs,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RESULTS OF OPERATIONS </w:t>
      </w:r>
      <w:r>
        <w:rPr>
          <w:rFonts w:ascii="Calibri" w:cs="Calibri" w:eastAsia="Calibri" w:hAnsi="Calibri"/>
          <w:sz w:val="19"/>
          <w:szCs w:val="19"/>
          <w:color w:val="auto"/>
        </w:rPr>
        <w:t>–</w:t>
      </w:r>
      <w:r>
        <w:rPr>
          <w:rFonts w:ascii="Arial" w:cs="Arial" w:eastAsia="Arial" w:hAnsi="Arial"/>
          <w:sz w:val="18"/>
          <w:szCs w:val="18"/>
          <w:b w:val="1"/>
          <w:bCs w:val="1"/>
          <w:color w:val="auto"/>
        </w:rPr>
        <w:t xml:space="preserve"> SEGMENTS</w:t>
      </w:r>
    </w:p>
    <w:p>
      <w:pPr>
        <w:spacing w:after="0" w:line="2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“Results of Operations” section above for discussion on the performance of segments on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83"/>
        </w:trPr>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454545"/>
              </w:rPr>
              <w:t>For the years ended December 31</w:t>
            </w:r>
          </w:p>
        </w:tc>
        <w:tc>
          <w:tcPr>
            <w:tcW w:w="1340" w:type="dxa"/>
            <w:vAlign w:val="bottom"/>
          </w:tcPr>
          <w:p>
            <w:pPr>
              <w:spacing w:after="0"/>
              <w:rPr>
                <w:sz w:val="24"/>
                <w:szCs w:val="24"/>
                <w:color w:val="auto"/>
              </w:rPr>
            </w:pPr>
          </w:p>
        </w:tc>
      </w:tr>
      <w:tr>
        <w:trPr>
          <w:trHeight w:val="21"/>
        </w:trPr>
        <w:tc>
          <w:tcPr>
            <w:tcW w:w="3940" w:type="dxa"/>
            <w:vAlign w:val="bottom"/>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b w:val="1"/>
                <w:bCs w:val="1"/>
                <w:color w:val="454545"/>
              </w:rPr>
              <w:t>% of segment</w:t>
            </w:r>
          </w:p>
        </w:tc>
        <w:tc>
          <w:tcPr>
            <w:tcW w:w="114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454545"/>
              </w:rPr>
              <w:t>% of segment</w:t>
            </w:r>
          </w:p>
        </w:tc>
        <w:tc>
          <w:tcPr>
            <w:tcW w:w="1340" w:type="dxa"/>
            <w:vAlign w:val="bottom"/>
          </w:tcPr>
          <w:p>
            <w:pPr>
              <w:spacing w:after="0"/>
              <w:rPr>
                <w:sz w:val="18"/>
                <w:szCs w:val="18"/>
                <w:color w:val="auto"/>
              </w:rPr>
            </w:pPr>
          </w:p>
        </w:tc>
      </w:tr>
      <w:tr>
        <w:trPr>
          <w:trHeight w:val="223"/>
        </w:trPr>
        <w:tc>
          <w:tcPr>
            <w:tcW w:w="3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1740" w:type="dxa"/>
            <w:vAlign w:val="bottom"/>
          </w:tcPr>
          <w:p>
            <w:pPr>
              <w:jc w:val="right"/>
              <w:ind w:right="639"/>
              <w:spacing w:after="0"/>
              <w:rPr>
                <w:sz w:val="20"/>
                <w:szCs w:val="20"/>
                <w:color w:val="auto"/>
              </w:rPr>
            </w:pPr>
            <w:r>
              <w:rPr>
                <w:rFonts w:ascii="Arial" w:cs="Arial" w:eastAsia="Arial" w:hAnsi="Arial"/>
                <w:sz w:val="16"/>
                <w:szCs w:val="16"/>
                <w:b w:val="1"/>
                <w:bCs w:val="1"/>
                <w:color w:val="454545"/>
              </w:rPr>
              <w:t>revenues</w:t>
            </w: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2022</w:t>
            </w: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454545"/>
              </w:rPr>
              <w:t>revenues</w:t>
            </w: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9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162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Segment EBIT</w:t>
            </w:r>
          </w:p>
        </w:tc>
        <w:tc>
          <w:tcPr>
            <w:tcW w:w="8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16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spacing w:after="0"/>
              <w:rPr>
                <w:sz w:val="20"/>
                <w:szCs w:val="20"/>
                <w:color w:val="auto"/>
              </w:rPr>
            </w:pPr>
          </w:p>
        </w:tc>
      </w:tr>
      <w:tr>
        <w:trPr>
          <w:trHeight w:val="254"/>
        </w:trPr>
        <w:tc>
          <w:tcPr>
            <w:tcW w:w="3940" w:type="dxa"/>
            <w:vAlign w:val="bottom"/>
          </w:tcPr>
          <w:p>
            <w:pPr>
              <w:ind w:left="300"/>
              <w:spacing w:after="0"/>
              <w:rPr>
                <w:sz w:val="20"/>
                <w:szCs w:val="20"/>
                <w:color w:val="auto"/>
              </w:rPr>
            </w:pPr>
            <w:r>
              <w:rPr>
                <w:rFonts w:ascii="Arial" w:cs="Arial" w:eastAsia="Arial" w:hAnsi="Arial"/>
                <w:sz w:val="16"/>
                <w:szCs w:val="16"/>
                <w:color w:val="auto"/>
              </w:rPr>
              <w:t>Imaging</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1,124</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10.6 % $</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1,100</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11.0 %</w:t>
            </w:r>
          </w:p>
        </w:tc>
        <w:tc>
          <w:tcPr>
            <w:tcW w:w="134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9"/>
        </w:trPr>
        <w:tc>
          <w:tcPr>
            <w:tcW w:w="3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39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88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821</w:t>
            </w:r>
          </w:p>
        </w:tc>
        <w:tc>
          <w:tcPr>
            <w:tcW w:w="17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color w:val="auto"/>
              </w:rPr>
              <w:t>23.7 %</w:t>
            </w:r>
          </w:p>
        </w:tc>
        <w:tc>
          <w:tcPr>
            <w:tcW w:w="11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908</w:t>
            </w:r>
          </w:p>
        </w:tc>
        <w:tc>
          <w:tcPr>
            <w:tcW w:w="16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26.5 %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54"/>
        </w:trPr>
        <w:tc>
          <w:tcPr>
            <w:tcW w:w="3940" w:type="dxa"/>
            <w:vAlign w:val="bottom"/>
          </w:tcPr>
          <w:p>
            <w:pPr>
              <w:ind w:left="300"/>
              <w:spacing w:after="0"/>
              <w:rPr>
                <w:sz w:val="20"/>
                <w:szCs w:val="20"/>
                <w:color w:val="auto"/>
              </w:rPr>
            </w:pPr>
            <w:r>
              <w:rPr>
                <w:rFonts w:ascii="Arial" w:cs="Arial" w:eastAsia="Arial" w:hAnsi="Arial"/>
                <w:sz w:val="16"/>
                <w:szCs w:val="16"/>
                <w:color w:val="auto"/>
              </w:rPr>
              <w:t>PCS</w:t>
            </w:r>
          </w:p>
        </w:tc>
        <w:tc>
          <w:tcPr>
            <w:tcW w:w="880" w:type="dxa"/>
            <w:vAlign w:val="bottom"/>
          </w:tcPr>
          <w:p>
            <w:pPr>
              <w:spacing w:after="0"/>
              <w:rPr>
                <w:sz w:val="22"/>
                <w:szCs w:val="22"/>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383</w:t>
            </w:r>
          </w:p>
        </w:tc>
        <w:tc>
          <w:tcPr>
            <w:tcW w:w="1740" w:type="dxa"/>
            <w:vAlign w:val="bottom"/>
          </w:tcPr>
          <w:p>
            <w:pPr>
              <w:jc w:val="right"/>
              <w:ind w:right="259"/>
              <w:spacing w:after="0"/>
              <w:rPr>
                <w:sz w:val="20"/>
                <w:szCs w:val="20"/>
                <w:color w:val="auto"/>
              </w:rPr>
            </w:pPr>
            <w:r>
              <w:rPr>
                <w:rFonts w:ascii="Arial" w:cs="Arial" w:eastAsia="Arial" w:hAnsi="Arial"/>
                <w:sz w:val="16"/>
                <w:szCs w:val="16"/>
                <w:color w:val="auto"/>
              </w:rPr>
              <w:t>12.2 %</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11.7 %</w:t>
            </w:r>
          </w:p>
        </w:tc>
        <w:tc>
          <w:tcPr>
            <w:tcW w:w="13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9"/>
        </w:trPr>
        <w:tc>
          <w:tcPr>
            <w:tcW w:w="3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39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88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617</w:t>
            </w:r>
          </w:p>
        </w:tc>
        <w:tc>
          <w:tcPr>
            <w:tcW w:w="17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color w:val="auto"/>
              </w:rPr>
              <w:t>26.8 %</w:t>
            </w:r>
          </w:p>
        </w:tc>
        <w:tc>
          <w:tcPr>
            <w:tcW w:w="11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520</w:t>
            </w:r>
          </w:p>
        </w:tc>
        <w:tc>
          <w:tcPr>
            <w:tcW w:w="16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26.6 %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19 %</w:t>
            </w:r>
          </w:p>
        </w:tc>
      </w:tr>
      <w:tr>
        <w:trPr>
          <w:trHeight w:val="283"/>
        </w:trPr>
        <w:tc>
          <w:tcPr>
            <w:tcW w:w="3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30"/>
        </w:trPr>
        <w:tc>
          <w:tcPr>
            <w:tcW w:w="39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99"/>
              </w:rPr>
              <w:t>2,956</w:t>
            </w:r>
          </w:p>
        </w:tc>
        <w:tc>
          <w:tcPr>
            <w:tcW w:w="17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2,861</w:t>
            </w:r>
          </w:p>
        </w:tc>
        <w:tc>
          <w:tcPr>
            <w:tcW w:w="162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3 %</w:t>
            </w:r>
          </w:p>
        </w:tc>
      </w:tr>
      <w:tr>
        <w:trPr>
          <w:trHeight w:val="20"/>
        </w:trPr>
        <w:tc>
          <w:tcPr>
            <w:tcW w:w="39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340" w:right="300" w:hanging="332"/>
        <w:spacing w:after="0" w:line="286"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HFS business and certain other business activities which do not meet the definition of an operating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2023</w:t>
      </w:r>
    </w:p>
    <w:p>
      <w:pPr>
        <w:spacing w:after="0" w:line="246" w:lineRule="exact"/>
        <w:rPr>
          <w:sz w:val="20"/>
          <w:szCs w:val="20"/>
          <w:color w:val="auto"/>
        </w:rPr>
      </w:pPr>
    </w:p>
    <w:p>
      <w:pPr>
        <w:ind w:left="660" w:right="340" w:hanging="328"/>
        <w:spacing w:after="0" w:line="304" w:lineRule="auto"/>
        <w:tabs>
          <w:tab w:leader="none" w:pos="649"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Imaging Segment EBIT was $1,124 million, an increase of $24 million due to cost productivity, an increase in price, and growth in sales volume, largely offset by investments, liquidation of higher-cost inventory, and mix between our product and service offerings;</w:t>
      </w:r>
    </w:p>
    <w:p>
      <w:pPr>
        <w:spacing w:after="0" w:line="19" w:lineRule="exact"/>
        <w:rPr>
          <w:rFonts w:ascii="Arial" w:cs="Arial" w:eastAsia="Arial" w:hAnsi="Arial"/>
          <w:sz w:val="16"/>
          <w:szCs w:val="16"/>
          <w:i w:val="1"/>
          <w:iCs w:val="1"/>
          <w:color w:val="231F20"/>
        </w:rPr>
      </w:pPr>
    </w:p>
    <w:p>
      <w:pPr>
        <w:ind w:left="660" w:right="80" w:hanging="328"/>
        <w:spacing w:after="0" w:line="286" w:lineRule="auto"/>
        <w:tabs>
          <w:tab w:leader="none" w:pos="649"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Ultrasound Segment EBIT was $821 million, a decrease of $87 million due to cost inflation and investments, partially offset by cost productivity and an increase in price;</w:t>
      </w:r>
    </w:p>
    <w:p>
      <w:pPr>
        <w:spacing w:after="0" w:line="34" w:lineRule="exact"/>
        <w:rPr>
          <w:rFonts w:ascii="Arial" w:cs="Arial" w:eastAsia="Arial" w:hAnsi="Arial"/>
          <w:sz w:val="16"/>
          <w:szCs w:val="16"/>
          <w:i w:val="1"/>
          <w:iCs w:val="1"/>
          <w:color w:val="231F20"/>
        </w:rPr>
      </w:pPr>
    </w:p>
    <w:p>
      <w:pPr>
        <w:ind w:left="660" w:right="100" w:hanging="328"/>
        <w:spacing w:after="0" w:line="286" w:lineRule="auto"/>
        <w:tabs>
          <w:tab w:leader="none" w:pos="649"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PCS Segment EBIT was $383 million, an increase of $42 million due to cost productivity, an increase in price, and growth in sales volume, partially offset by investments and cost inflation; and</w:t>
      </w:r>
    </w:p>
    <w:p>
      <w:pPr>
        <w:spacing w:after="0" w:line="34" w:lineRule="exact"/>
        <w:rPr>
          <w:rFonts w:ascii="Arial" w:cs="Arial" w:eastAsia="Arial" w:hAnsi="Arial"/>
          <w:sz w:val="16"/>
          <w:szCs w:val="16"/>
          <w:i w:val="1"/>
          <w:iCs w:val="1"/>
          <w:color w:val="231F20"/>
        </w:rPr>
      </w:pPr>
    </w:p>
    <w:p>
      <w:pPr>
        <w:ind w:left="660" w:right="140" w:hanging="328"/>
        <w:spacing w:after="0" w:line="304" w:lineRule="auto"/>
        <w:tabs>
          <w:tab w:leader="none" w:pos="649" w:val="left"/>
        </w:tabs>
        <w:numPr>
          <w:ilvl w:val="0"/>
          <w:numId w:val="26"/>
        </w:numPr>
        <w:rPr>
          <w:rFonts w:ascii="Arial" w:cs="Arial" w:eastAsia="Arial" w:hAnsi="Arial"/>
          <w:sz w:val="16"/>
          <w:szCs w:val="16"/>
          <w:i w:val="1"/>
          <w:iCs w:val="1"/>
          <w:color w:val="231F20"/>
        </w:rPr>
      </w:pPr>
      <w:r>
        <w:rPr>
          <w:rFonts w:ascii="Arial" w:cs="Arial" w:eastAsia="Arial" w:hAnsi="Arial"/>
          <w:sz w:val="16"/>
          <w:szCs w:val="16"/>
          <w:color w:val="auto"/>
        </w:rPr>
        <w:t>PDx Segment EBIT was $617 million, an increase of $97 million due to an increase in price, growth in sales volume, and cost productivity, partially offset by cost inflation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87" w:right="339" w:bottom="8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889"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NON-GAAP FINANCIAL MEASURES</w:t>
      </w:r>
    </w:p>
    <w:p>
      <w:pPr>
        <w:spacing w:after="0" w:line="25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non-GAAP financial measures presented in this Annual Report on Form 10-K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making financial, operational, and planning decisions. Finally, these measures are often used by analysts and other interested parties to evaluate companies in our industry.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non-GAAP financial measures we report include: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Organic revenue and Organic revenue growth rate</w:t>
      </w:r>
    </w:p>
    <w:p>
      <w:pPr>
        <w:spacing w:after="0" w:line="29"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We believe that Organic revenue and Organic revenue growth rate, by excluding the effect of acquisitions, dispositions, and foreign currency rate fluctuations, provide management and investors with additional understanding and visibility into the underlying revenue trends of our established, ongoing operations. Organic revenue and Organic revenue growth rate also provide greater insight regarding the overall demand for our products and services.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EBIT and Adjusted EBIT margin</w:t>
      </w:r>
    </w:p>
    <w:p>
      <w:pPr>
        <w:spacing w:after="0" w:line="1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non-operating benefit (income) costs, and tax expense, as well as non-recurring and/or non-cash items, which may have a material impact on our results. In addition, we may from time to time consider excluding other nonrecurring items to enhance comparability between periods.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net income</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earnings. Adjusted net income excludes non-operating benefit (income) costs, certain tax expense adjustments, and non-recurring and/or non-cash items, which may have a material impact on our results. In addition, we may from time to time consider excluding other nonrecurring items to enhance comparability between periods. However, Adjusted net income should not be construed as inferring that our future results will be unaffected by the items for which the measure adjusts.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earnings per share</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believe Adjusted earnings per share provides investors with improved comparability of underlying operating results and a further understanding and additional transparency regarding how we evaluate our business. Adjusted earnings per share also provides management and investors with additional perspective regarding the impact of certain significant items on our per share earnings. Adjusted earnings per share excludes non-operating benefit (income) costs, certain tax expense adjustments, and non-recurring and/or non-cash items, which may have a material impact on our results. In addition, we may from time to time consider excluding other nonrecurring items to enhance comparability between periods. However, Adjusted earnings per share should not be construed as inferring that our future results will be unaffected by the items for which the measure adjusts.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tax expense and Adjusted effective tax rate</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believe that Adjusted tax expense and Adjusted effective tax rate provide investors with a better understanding of the normalized tax rate applicable to our business and provide more consistent comparability across periods. A</w:t>
      </w:r>
      <w:r>
        <w:rPr>
          <w:rFonts w:ascii="Arial" w:cs="Arial" w:eastAsia="Arial" w:hAnsi="Arial"/>
          <w:sz w:val="16"/>
          <w:szCs w:val="16"/>
          <w:color w:val="231F20"/>
        </w:rPr>
        <w:t>djusted tax expense excludes the income tax related to the pre-tax income</w:t>
      </w:r>
      <w:r>
        <w:rPr>
          <w:rFonts w:ascii="Arial" w:cs="Arial" w:eastAsia="Arial" w:hAnsi="Arial"/>
          <w:sz w:val="16"/>
          <w:szCs w:val="16"/>
          <w:color w:val="auto"/>
        </w:rPr>
        <w:t xml:space="preserve"> </w:t>
      </w:r>
      <w:r>
        <w:rPr>
          <w:rFonts w:ascii="Arial" w:cs="Arial" w:eastAsia="Arial" w:hAnsi="Arial"/>
          <w:sz w:val="16"/>
          <w:szCs w:val="16"/>
          <w:color w:val="231F20"/>
        </w:rPr>
        <w:t>adjustments included as part of Adjusted net income and certain income tax adjustments, such as adjustments to deferred tax assets or liabilities. In addition, we may from time to time consider excluding other nonrecurring tax items to enhance comparability between periods. Adjusted effective tax rate is Adjusted tax expense divided by Income before income taxes less pre-tax income adjustments detailed above in Adjusted net income. However, Adjusted tax expense and Adjusted effective tax rate should not be construed as inferring that our future results will be unaffected by the items for which the measure adjusts.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i w:val="1"/>
          <w:iCs w:val="1"/>
          <w:color w:val="231F20"/>
        </w:rPr>
        <w:t>Free cash flow</w:t>
      </w:r>
    </w:p>
    <w:p>
      <w:pPr>
        <w:spacing w:after="0" w:line="1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 xml:space="preserve">We believe that Free cash flow provides management and investors with an important measure of our ability to generate cash on a normalized basis. Free cash flow also provides insight into our flexibility to allocate capital, including reinvesting in the Company for </w:t>
      </w:r>
      <w:r>
        <w:rPr>
          <w:rFonts w:ascii="Arial" w:cs="Arial" w:eastAsia="Arial" w:hAnsi="Arial"/>
          <w:sz w:val="16"/>
          <w:szCs w:val="16"/>
          <w:color w:val="231F20"/>
        </w:rPr>
        <w:t>future growth, paying down debt, paying</w:t>
      </w:r>
      <w:r>
        <w:rPr>
          <w:rFonts w:ascii="Arial" w:cs="Arial" w:eastAsia="Arial" w:hAnsi="Arial"/>
          <w:sz w:val="16"/>
          <w:szCs w:val="16"/>
          <w:color w:val="auto"/>
        </w:rPr>
        <w:t xml:space="preserve"> </w:t>
      </w:r>
      <w:r>
        <w:rPr>
          <w:rFonts w:ascii="Arial" w:cs="Arial" w:eastAsia="Arial" w:hAnsi="Arial"/>
          <w:sz w:val="16"/>
          <w:szCs w:val="16"/>
          <w:color w:val="231F20"/>
        </w:rPr>
        <w:t xml:space="preserve">dividends, and pursuing other opportunities that may enhance stockholder value. Free cash flow is Cash from (used for) operating activities – continuing operations including cash flows related to the additions and dispositions of PP&amp;E and internal-use software as well as the impact of discontinued factoring programs. Interest </w:t>
      </w:r>
      <w:r>
        <w:rPr>
          <w:rFonts w:ascii="Arial" w:cs="Arial" w:eastAsia="Arial" w:hAnsi="Arial"/>
          <w:sz w:val="16"/>
          <w:szCs w:val="16"/>
          <w:color w:val="000000"/>
        </w:rPr>
        <w:t>expense associated with external debt that was historically held by GE is not recognized in the combined financial statements and related</w:t>
      </w:r>
      <w:r>
        <w:rPr>
          <w:rFonts w:ascii="Arial" w:cs="Arial" w:eastAsia="Arial" w:hAnsi="Arial"/>
          <w:sz w:val="16"/>
          <w:szCs w:val="16"/>
          <w:color w:val="231F20"/>
        </w:rPr>
        <w:t xml:space="preserve"> </w:t>
      </w:r>
      <w:r>
        <w:rPr>
          <w:rFonts w:ascii="Arial" w:cs="Arial" w:eastAsia="Arial" w:hAnsi="Arial"/>
          <w:sz w:val="16"/>
          <w:szCs w:val="16"/>
          <w:color w:val="000000"/>
        </w:rPr>
        <w:t>notes. Additionally, Free cash flow does not represent residual cash flows available for discretionary expenditures, due to the fact that the measures do not deduct the payments required for debt repayments.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Reconciliations</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The reconciliations of each non-GAAP financial measure to the most directly comparable U.S. GAAP financial measure are provided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4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320" w:type="dxa"/>
            <w:vAlign w:val="bottom"/>
          </w:tcPr>
          <w:p>
            <w:pPr>
              <w:spacing w:after="0"/>
              <w:rPr>
                <w:sz w:val="20"/>
                <w:szCs w:val="20"/>
                <w:color w:val="auto"/>
              </w:rPr>
            </w:pPr>
          </w:p>
        </w:tc>
        <w:tc>
          <w:tcPr>
            <w:tcW w:w="39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2022</w:t>
            </w: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9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10,581</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9,985</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r>
      <w:tr>
        <w:trPr>
          <w:trHeight w:val="257"/>
        </w:trPr>
        <w:tc>
          <w:tcPr>
            <w:tcW w:w="6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5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4E4E4"/>
          </w:tcPr>
          <w:p>
            <w:pPr>
              <w:spacing w:after="0"/>
              <w:rPr>
                <w:sz w:val="22"/>
                <w:szCs w:val="22"/>
                <w:color w:val="auto"/>
              </w:rPr>
            </w:pPr>
          </w:p>
        </w:tc>
      </w:tr>
      <w:tr>
        <w:trPr>
          <w:trHeight w:val="227"/>
        </w:trPr>
        <w:tc>
          <w:tcPr>
            <w:tcW w:w="6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9"/>
                <w:szCs w:val="19"/>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10,724</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9,985</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r>
      <w:tr>
        <w:trPr>
          <w:trHeight w:val="229"/>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revenues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3,457</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3,422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4E4E4"/>
          </w:tcPr>
          <w:p>
            <w:pPr>
              <w:spacing w:after="0"/>
              <w:rPr>
                <w:sz w:val="22"/>
                <w:szCs w:val="22"/>
                <w:color w:val="auto"/>
              </w:rPr>
            </w:pPr>
          </w:p>
        </w:tc>
      </w:tr>
      <w:tr>
        <w:trPr>
          <w:trHeight w:val="256"/>
        </w:trPr>
        <w:tc>
          <w:tcPr>
            <w:tcW w:w="6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62"/>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spacing w:after="0"/>
              <w:rPr>
                <w:sz w:val="22"/>
                <w:szCs w:val="22"/>
                <w:color w:val="auto"/>
              </w:rPr>
            </w:pPr>
          </w:p>
        </w:tc>
      </w:tr>
      <w:tr>
        <w:trPr>
          <w:trHeight w:val="229"/>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Organic revenue*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3,500</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3,422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2,916</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56"/>
        </w:trPr>
        <w:tc>
          <w:tcPr>
            <w:tcW w:w="6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5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4E4E4"/>
          </w:tcPr>
          <w:p>
            <w:pPr>
              <w:spacing w:after="0"/>
              <w:rPr>
                <w:sz w:val="22"/>
                <w:szCs w:val="22"/>
                <w:color w:val="auto"/>
              </w:rPr>
            </w:pPr>
          </w:p>
        </w:tc>
      </w:tr>
      <w:tr>
        <w:trPr>
          <w:trHeight w:val="228"/>
        </w:trPr>
        <w:tc>
          <w:tcPr>
            <w:tcW w:w="6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9"/>
                <w:szCs w:val="19"/>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3,158</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2,916</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29"/>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2,306</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1,958</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r>
      <w:tr>
        <w:trPr>
          <w:trHeight w:val="21"/>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4E4E4"/>
          </w:tcPr>
          <w:p>
            <w:pPr>
              <w:spacing w:after="0"/>
              <w:rPr>
                <w:sz w:val="22"/>
                <w:szCs w:val="22"/>
                <w:color w:val="auto"/>
              </w:rPr>
            </w:pPr>
          </w:p>
        </w:tc>
      </w:tr>
      <w:tr>
        <w:trPr>
          <w:trHeight w:val="257"/>
        </w:trPr>
        <w:tc>
          <w:tcPr>
            <w:tcW w:w="6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61"/>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spacing w:after="0"/>
              <w:rPr>
                <w:sz w:val="22"/>
                <w:szCs w:val="22"/>
                <w:color w:val="auto"/>
              </w:rPr>
            </w:pPr>
          </w:p>
        </w:tc>
      </w:tr>
      <w:tr>
        <w:trPr>
          <w:trHeight w:val="229"/>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2,320</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1,958</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60</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57"/>
        </w:trPr>
        <w:tc>
          <w:tcPr>
            <w:tcW w:w="6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56"/>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4E4E4"/>
          </w:tcPr>
          <w:p>
            <w:pPr>
              <w:spacing w:after="0"/>
              <w:rPr>
                <w:sz w:val="22"/>
                <w:szCs w:val="22"/>
                <w:color w:val="auto"/>
              </w:rPr>
            </w:pPr>
          </w:p>
        </w:tc>
      </w:tr>
      <w:tr>
        <w:trPr>
          <w:trHeight w:val="228"/>
        </w:trPr>
        <w:tc>
          <w:tcPr>
            <w:tcW w:w="6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9"/>
                <w:szCs w:val="19"/>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60</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29"/>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19,552</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18,341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2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E4E4E4"/>
          </w:tcPr>
          <w:p>
            <w:pPr>
              <w:spacing w:after="0"/>
              <w:rPr>
                <w:sz w:val="21"/>
                <w:szCs w:val="21"/>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4E4E4"/>
          </w:tcPr>
          <w:p>
            <w:pPr>
              <w:spacing w:after="0"/>
              <w:rPr>
                <w:sz w:val="21"/>
                <w:szCs w:val="21"/>
                <w:color w:val="auto"/>
              </w:rPr>
            </w:pPr>
          </w:p>
        </w:tc>
      </w:tr>
      <w:tr>
        <w:trPr>
          <w:trHeight w:val="256"/>
        </w:trPr>
        <w:tc>
          <w:tcPr>
            <w:tcW w:w="6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61"/>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w:t>
            </w:r>
          </w:p>
        </w:tc>
        <w:tc>
          <w:tcPr>
            <w:tcW w:w="34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spacing w:after="0"/>
              <w:rPr>
                <w:sz w:val="22"/>
                <w:szCs w:val="22"/>
                <w:color w:val="auto"/>
              </w:rPr>
            </w:pPr>
          </w:p>
        </w:tc>
      </w:tr>
      <w:tr>
        <w:trPr>
          <w:trHeight w:val="229"/>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19,767</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18,341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160" w:hanging="414"/>
        <w:spacing w:after="0" w:line="299"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092"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6"/>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20" w:type="dxa"/>
            <w:vAlign w:val="bottom"/>
          </w:tcPr>
          <w:p>
            <w:pPr>
              <w:spacing w:after="0"/>
              <w:rPr>
                <w:sz w:val="20"/>
                <w:szCs w:val="20"/>
                <w:color w:val="auto"/>
              </w:rPr>
            </w:pPr>
          </w:p>
        </w:tc>
        <w:tc>
          <w:tcPr>
            <w:tcW w:w="39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2022</w:t>
            </w: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9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1,916</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r>
      <w:tr>
        <w:trPr>
          <w:trHeight w:val="228"/>
        </w:trPr>
        <w:tc>
          <w:tcPr>
            <w:tcW w:w="694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300" w:type="dxa"/>
            <w:vAlign w:val="bottom"/>
          </w:tcPr>
          <w:p>
            <w:pPr>
              <w:spacing w:after="0"/>
              <w:rPr>
                <w:sz w:val="19"/>
                <w:szCs w:val="19"/>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w:t>
            </w:r>
          </w:p>
        </w:tc>
        <w:tc>
          <w:tcPr>
            <w:tcW w:w="34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(5)</w:t>
            </w:r>
          </w:p>
        </w:tc>
        <w:tc>
          <w:tcPr>
            <w:tcW w:w="1300" w:type="dxa"/>
            <w:vAlign w:val="bottom"/>
            <w:tcBorders>
              <w:bottom w:val="single" w:sz="8" w:color="E4E4E4"/>
            </w:tcBorders>
            <w:shd w:val="clear" w:color="auto" w:fill="E4E4E4"/>
          </w:tcPr>
          <w:p>
            <w:pPr>
              <w:spacing w:after="0"/>
              <w:rPr>
                <w:sz w:val="20"/>
                <w:szCs w:val="20"/>
                <w:color w:val="auto"/>
              </w:rPr>
            </w:pPr>
          </w:p>
        </w:tc>
      </w:tr>
      <w:tr>
        <w:trPr>
          <w:trHeight w:val="227"/>
        </w:trPr>
        <w:tc>
          <w:tcPr>
            <w:tcW w:w="694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(743)</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(563)</w:t>
            </w:r>
          </w:p>
        </w:tc>
        <w:tc>
          <w:tcPr>
            <w:tcW w:w="1300" w:type="dxa"/>
            <w:vAlign w:val="bottom"/>
          </w:tcPr>
          <w:p>
            <w:pPr>
              <w:spacing w:after="0"/>
              <w:rPr>
                <w:sz w:val="19"/>
                <w:szCs w:val="19"/>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18</w:t>
            </w:r>
          </w:p>
        </w:tc>
        <w:tc>
          <w:tcPr>
            <w:tcW w:w="1300" w:type="dxa"/>
            <w:vAlign w:val="bottom"/>
            <w:tcBorders>
              <w:bottom w:val="single" w:sz="8" w:color="E4E4E4"/>
            </w:tcBorders>
            <w:shd w:val="clear" w:color="auto" w:fill="E4E4E4"/>
          </w:tcPr>
          <w:p>
            <w:pPr>
              <w:spacing w:after="0"/>
              <w:rPr>
                <w:sz w:val="20"/>
                <w:szCs w:val="20"/>
                <w:color w:val="auto"/>
              </w:rPr>
            </w:pPr>
          </w:p>
        </w:tc>
      </w:tr>
      <w:tr>
        <w:trPr>
          <w:trHeight w:val="228"/>
        </w:trPr>
        <w:tc>
          <w:tcPr>
            <w:tcW w:w="694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300" w:type="dxa"/>
            <w:vAlign w:val="bottom"/>
          </w:tcPr>
          <w:p>
            <w:pPr>
              <w:spacing w:after="0"/>
              <w:rPr>
                <w:sz w:val="19"/>
                <w:szCs w:val="19"/>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EBIT*</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2,521</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2,584</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0"/>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146</w:t>
            </w:r>
          </w:p>
        </w:tc>
        <w:tc>
          <w:tcPr>
            <w:tcW w:w="1300" w:type="dxa"/>
            <w:vAlign w:val="bottom"/>
            <w:tcBorders>
              <w:top w:val="single" w:sz="8" w:color="auto"/>
            </w:tcBorders>
          </w:tcPr>
          <w:p>
            <w:pPr>
              <w:spacing w:after="0"/>
              <w:rPr>
                <w:sz w:val="21"/>
                <w:szCs w:val="21"/>
                <w:color w:val="auto"/>
              </w:rPr>
            </w:pPr>
          </w:p>
        </w:tc>
      </w:tr>
      <w:tr>
        <w:trPr>
          <w:trHeight w:val="257"/>
        </w:trPr>
        <w:tc>
          <w:tcPr>
            <w:tcW w:w="69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(34)</w:t>
            </w:r>
          </w:p>
        </w:tc>
        <w:tc>
          <w:tcPr>
            <w:tcW w:w="1300" w:type="dxa"/>
            <w:vAlign w:val="bottom"/>
            <w:shd w:val="clear" w:color="auto" w:fill="E4E4E4"/>
          </w:tcPr>
          <w:p>
            <w:pPr>
              <w:spacing w:after="0"/>
              <w:rPr>
                <w:sz w:val="22"/>
                <w:szCs w:val="22"/>
                <w:color w:val="auto"/>
              </w:rPr>
            </w:pPr>
          </w:p>
        </w:tc>
      </w:tr>
      <w:tr>
        <w:trPr>
          <w:trHeight w:val="256"/>
        </w:trPr>
        <w:tc>
          <w:tcPr>
            <w:tcW w:w="6940" w:type="dxa"/>
            <w:vAlign w:val="bottom"/>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w:t>
            </w:r>
          </w:p>
        </w:tc>
        <w:tc>
          <w:tcPr>
            <w:tcW w:w="340" w:type="dxa"/>
            <w:vAlign w:val="bottom"/>
          </w:tcPr>
          <w:p>
            <w:pPr>
              <w:spacing w:after="0"/>
              <w:rPr>
                <w:sz w:val="22"/>
                <w:szCs w:val="22"/>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300" w:type="dxa"/>
            <w:vAlign w:val="bottom"/>
          </w:tcPr>
          <w:p>
            <w:pPr>
              <w:spacing w:after="0"/>
              <w:rPr>
                <w:sz w:val="22"/>
                <w:szCs w:val="22"/>
                <w:color w:val="auto"/>
              </w:rPr>
            </w:pPr>
          </w:p>
        </w:tc>
      </w:tr>
      <w:tr>
        <w:trPr>
          <w:trHeight w:val="257"/>
        </w:trPr>
        <w:tc>
          <w:tcPr>
            <w:tcW w:w="69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2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spacing w:after="0"/>
              <w:rPr>
                <w:sz w:val="22"/>
                <w:szCs w:val="22"/>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(1)</w:t>
            </w:r>
          </w:p>
        </w:tc>
        <w:tc>
          <w:tcPr>
            <w:tcW w:w="1300" w:type="dxa"/>
            <w:vAlign w:val="bottom"/>
            <w:shd w:val="clear" w:color="auto" w:fill="E4E4E4"/>
          </w:tcPr>
          <w:p>
            <w:pPr>
              <w:spacing w:after="0"/>
              <w:rPr>
                <w:sz w:val="22"/>
                <w:szCs w:val="22"/>
                <w:color w:val="auto"/>
              </w:rPr>
            </w:pPr>
          </w:p>
        </w:tc>
      </w:tr>
      <w:tr>
        <w:trPr>
          <w:trHeight w:val="228"/>
        </w:trPr>
        <w:tc>
          <w:tcPr>
            <w:tcW w:w="694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1300" w:type="dxa"/>
            <w:vAlign w:val="bottom"/>
          </w:tcPr>
          <w:p>
            <w:pPr>
              <w:spacing w:after="0"/>
              <w:rPr>
                <w:sz w:val="19"/>
                <w:szCs w:val="19"/>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9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2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color w:val="auto"/>
              </w:rPr>
              <w:t>31</w:t>
            </w:r>
          </w:p>
        </w:tc>
        <w:tc>
          <w:tcPr>
            <w:tcW w:w="1300" w:type="dxa"/>
            <w:vAlign w:val="bottom"/>
            <w:tcBorders>
              <w:bottom w:val="single" w:sz="8" w:color="auto"/>
            </w:tcBorders>
            <w:shd w:val="clear" w:color="auto" w:fill="E4E4E4"/>
          </w:tcPr>
          <w:p>
            <w:pPr>
              <w:spacing w:after="0"/>
              <w:rPr>
                <w:sz w:val="22"/>
                <w:szCs w:val="22"/>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2,956</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2,861</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w:t>
            </w:r>
          </w:p>
        </w:tc>
        <w:tc>
          <w:tcPr>
            <w:tcW w:w="34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10.4%</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(240) bps</w:t>
            </w:r>
          </w:p>
        </w:tc>
      </w:tr>
      <w:tr>
        <w:trPr>
          <w:trHeight w:val="235"/>
        </w:trPr>
        <w:tc>
          <w:tcPr>
            <w:tcW w:w="6940" w:type="dxa"/>
            <w:vAlign w:val="bottom"/>
          </w:tcPr>
          <w:p>
            <w:pPr>
              <w:ind w:left="20"/>
              <w:spacing w:after="0"/>
              <w:rPr>
                <w:sz w:val="20"/>
                <w:szCs w:val="20"/>
                <w:color w:val="auto"/>
              </w:rPr>
            </w:pPr>
            <w:r>
              <w:rPr>
                <w:rFonts w:ascii="Arial" w:cs="Arial" w:eastAsia="Arial" w:hAnsi="Arial"/>
                <w:sz w:val="16"/>
                <w:szCs w:val="16"/>
                <w:b w:val="1"/>
                <w:bCs w:val="1"/>
                <w:color w:val="231F20"/>
              </w:rPr>
              <w:t>Adjusted EBIT margin*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34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15.6%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 bps</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tcPr>
          <w:p>
            <w:pPr>
              <w:spacing w:after="0"/>
              <w:rPr>
                <w:sz w:val="22"/>
                <w:szCs w:val="22"/>
                <w:color w:val="auto"/>
              </w:rPr>
            </w:pPr>
          </w:p>
        </w:tc>
        <w:tc>
          <w:tcPr>
            <w:tcW w:w="39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2022</w:t>
            </w: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94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240" w:type="dxa"/>
            <w:vAlign w:val="bottom"/>
            <w:tcBorders>
              <w:bottom w:val="single" w:sz="8" w:color="6400A0"/>
            </w:tcBorders>
          </w:tcPr>
          <w:p>
            <w:pPr>
              <w:spacing w:after="0" w:line="20" w:lineRule="exact"/>
              <w:rPr>
                <w:sz w:val="1"/>
                <w:szCs w:val="1"/>
                <w:color w:val="auto"/>
              </w:rPr>
            </w:pPr>
          </w:p>
        </w:tc>
        <w:tc>
          <w:tcPr>
            <w:tcW w:w="1300" w:type="dxa"/>
            <w:vAlign w:val="bottom"/>
            <w:tcBorders>
              <w:bottom w:val="single" w:sz="8" w:color="6400A0"/>
            </w:tcBorders>
          </w:tcPr>
          <w:p>
            <w:pPr>
              <w:spacing w:after="0" w:line="20" w:lineRule="exact"/>
              <w:rPr>
                <w:sz w:val="1"/>
                <w:szCs w:val="1"/>
                <w:color w:val="auto"/>
              </w:rPr>
            </w:pPr>
          </w:p>
        </w:tc>
      </w:tr>
      <w:tr>
        <w:trPr>
          <w:trHeight w:val="27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1,916</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r>
      <w:tr>
        <w:trPr>
          <w:trHeight w:val="268"/>
        </w:trPr>
        <w:tc>
          <w:tcPr>
            <w:tcW w:w="694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w:t>
            </w:r>
          </w:p>
        </w:tc>
        <w:tc>
          <w:tcPr>
            <w:tcW w:w="340" w:type="dxa"/>
            <w:vAlign w:val="bottom"/>
          </w:tcPr>
          <w:p>
            <w:pPr>
              <w:spacing w:after="0"/>
              <w:rPr>
                <w:sz w:val="23"/>
                <w:szCs w:val="23"/>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300" w:type="dxa"/>
            <w:vAlign w:val="bottom"/>
          </w:tcPr>
          <w:p>
            <w:pPr>
              <w:spacing w:after="0"/>
              <w:rPr>
                <w:sz w:val="23"/>
                <w:szCs w:val="23"/>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2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340" w:type="dxa"/>
            <w:vAlign w:val="bottom"/>
            <w:shd w:val="clear" w:color="auto" w:fill="E4E4E4"/>
          </w:tcPr>
          <w:p>
            <w:pPr>
              <w:spacing w:after="0"/>
              <w:rPr>
                <w:sz w:val="24"/>
                <w:szCs w:val="24"/>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146</w:t>
            </w:r>
          </w:p>
        </w:tc>
        <w:tc>
          <w:tcPr>
            <w:tcW w:w="1300" w:type="dxa"/>
            <w:vAlign w:val="bottom"/>
            <w:shd w:val="clear" w:color="auto" w:fill="E4E4E4"/>
          </w:tcPr>
          <w:p>
            <w:pPr>
              <w:spacing w:after="0"/>
              <w:rPr>
                <w:sz w:val="24"/>
                <w:szCs w:val="24"/>
                <w:color w:val="auto"/>
              </w:rPr>
            </w:pPr>
          </w:p>
        </w:tc>
      </w:tr>
      <w:tr>
        <w:trPr>
          <w:trHeight w:val="297"/>
        </w:trPr>
        <w:tc>
          <w:tcPr>
            <w:tcW w:w="694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24"/>
                <w:szCs w:val="24"/>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1300" w:type="dxa"/>
            <w:vAlign w:val="bottom"/>
          </w:tcPr>
          <w:p>
            <w:pPr>
              <w:spacing w:after="0"/>
              <w:rPr>
                <w:sz w:val="24"/>
                <w:szCs w:val="24"/>
                <w:color w:val="auto"/>
              </w:rPr>
            </w:pPr>
          </w:p>
        </w:tc>
      </w:tr>
      <w:tr>
        <w:trPr>
          <w:trHeight w:val="29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2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270</w:t>
            </w:r>
          </w:p>
        </w:tc>
        <w:tc>
          <w:tcPr>
            <w:tcW w:w="340" w:type="dxa"/>
            <w:vAlign w:val="bottom"/>
            <w:shd w:val="clear" w:color="auto" w:fill="E4E4E4"/>
          </w:tcPr>
          <w:p>
            <w:pPr>
              <w:spacing w:after="0"/>
              <w:rPr>
                <w:sz w:val="24"/>
                <w:szCs w:val="24"/>
                <w:color w:val="auto"/>
              </w:rPr>
            </w:pPr>
          </w:p>
        </w:tc>
        <w:tc>
          <w:tcPr>
            <w:tcW w:w="124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14</w:t>
            </w:r>
          </w:p>
        </w:tc>
        <w:tc>
          <w:tcPr>
            <w:tcW w:w="1300" w:type="dxa"/>
            <w:vAlign w:val="bottom"/>
            <w:shd w:val="clear" w:color="auto" w:fill="E4E4E4"/>
          </w:tcPr>
          <w:p>
            <w:pPr>
              <w:spacing w:after="0"/>
              <w:rPr>
                <w:sz w:val="24"/>
                <w:szCs w:val="24"/>
                <w:color w:val="auto"/>
              </w:rPr>
            </w:pPr>
          </w:p>
        </w:tc>
      </w:tr>
      <w:tr>
        <w:trPr>
          <w:trHeight w:val="297"/>
        </w:trPr>
        <w:tc>
          <w:tcPr>
            <w:tcW w:w="694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00" w:type="dxa"/>
            <w:vAlign w:val="bottom"/>
          </w:tcPr>
          <w:p>
            <w:pPr>
              <w:spacing w:after="0"/>
              <w:rPr>
                <w:sz w:val="24"/>
                <w:szCs w:val="24"/>
                <w:color w:val="auto"/>
              </w:rPr>
            </w:pPr>
          </w:p>
        </w:tc>
      </w:tr>
      <w:tr>
        <w:trPr>
          <w:trHeight w:val="277"/>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32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E4E4E4"/>
            </w:tcBorders>
            <w:shd w:val="clear" w:color="auto" w:fill="E4E4E4"/>
          </w:tcPr>
          <w:p>
            <w:pPr>
              <w:spacing w:after="0"/>
              <w:rPr>
                <w:sz w:val="24"/>
                <w:szCs w:val="24"/>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121</w:t>
            </w:r>
          </w:p>
        </w:tc>
        <w:tc>
          <w:tcPr>
            <w:tcW w:w="1300" w:type="dxa"/>
            <w:vAlign w:val="bottom"/>
            <w:tcBorders>
              <w:bottom w:val="single" w:sz="8" w:color="E4E4E4"/>
            </w:tcBorders>
            <w:shd w:val="clear" w:color="auto" w:fill="E4E4E4"/>
          </w:tcPr>
          <w:p>
            <w:pPr>
              <w:spacing w:after="0"/>
              <w:rPr>
                <w:sz w:val="24"/>
                <w:szCs w:val="24"/>
                <w:color w:val="auto"/>
              </w:rPr>
            </w:pPr>
          </w:p>
        </w:tc>
      </w:tr>
      <w:tr>
        <w:trPr>
          <w:trHeight w:val="297"/>
        </w:trPr>
        <w:tc>
          <w:tcPr>
            <w:tcW w:w="694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4"/>
                <w:szCs w:val="24"/>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300" w:type="dxa"/>
            <w:vAlign w:val="bottom"/>
          </w:tcPr>
          <w:p>
            <w:pPr>
              <w:spacing w:after="0"/>
              <w:rPr>
                <w:sz w:val="24"/>
                <w:szCs w:val="24"/>
                <w:color w:val="auto"/>
              </w:rPr>
            </w:pPr>
          </w:p>
        </w:tc>
      </w:tr>
      <w:tr>
        <w:trPr>
          <w:trHeight w:val="237"/>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34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(67)</w:t>
            </w:r>
          </w:p>
        </w:tc>
        <w:tc>
          <w:tcPr>
            <w:tcW w:w="1300" w:type="dxa"/>
            <w:vAlign w:val="bottom"/>
            <w:tcBorders>
              <w:bottom w:val="single" w:sz="8" w:color="E4E4E4"/>
            </w:tcBorders>
            <w:shd w:val="clear" w:color="auto" w:fill="E4E4E4"/>
          </w:tcPr>
          <w:p>
            <w:pPr>
              <w:spacing w:after="0"/>
              <w:rPr>
                <w:sz w:val="20"/>
                <w:szCs w:val="20"/>
                <w:color w:val="auto"/>
              </w:rPr>
            </w:pPr>
          </w:p>
        </w:tc>
      </w:tr>
      <w:tr>
        <w:trPr>
          <w:trHeight w:val="297"/>
        </w:trPr>
        <w:tc>
          <w:tcPr>
            <w:tcW w:w="6940" w:type="dxa"/>
            <w:vAlign w:val="bottom"/>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4"/>
                <w:szCs w:val="24"/>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4"/>
                <w:szCs w:val="24"/>
                <w:color w:val="auto"/>
              </w:rPr>
            </w:pPr>
          </w:p>
        </w:tc>
      </w:tr>
      <w:tr>
        <w:trPr>
          <w:trHeight w:val="302"/>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231F20"/>
              </w:rPr>
              <w:t>Less: Income (loss) from discontinued operations, net of taxes</w:t>
            </w:r>
          </w:p>
        </w:tc>
        <w:tc>
          <w:tcPr>
            <w:tcW w:w="32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E4E4E4"/>
            </w:tcBorders>
            <w:shd w:val="clear" w:color="auto" w:fill="E4E4E4"/>
          </w:tcPr>
          <w:p>
            <w:pPr>
              <w:spacing w:after="0"/>
              <w:rPr>
                <w:sz w:val="24"/>
                <w:szCs w:val="24"/>
                <w:color w:val="auto"/>
              </w:rPr>
            </w:pPr>
          </w:p>
        </w:tc>
        <w:tc>
          <w:tcPr>
            <w:tcW w:w="12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18</w:t>
            </w:r>
          </w:p>
        </w:tc>
        <w:tc>
          <w:tcPr>
            <w:tcW w:w="1300" w:type="dxa"/>
            <w:vAlign w:val="bottom"/>
            <w:tcBorders>
              <w:bottom w:val="single" w:sz="8" w:color="E4E4E4"/>
            </w:tcBorders>
            <w:shd w:val="clear" w:color="auto" w:fill="E4E4E4"/>
          </w:tcPr>
          <w:p>
            <w:pPr>
              <w:spacing w:after="0"/>
              <w:rPr>
                <w:sz w:val="24"/>
                <w:szCs w:val="24"/>
                <w:color w:val="auto"/>
              </w:rPr>
            </w:pPr>
          </w:p>
        </w:tc>
      </w:tr>
      <w:tr>
        <w:trPr>
          <w:trHeight w:val="270"/>
        </w:trPr>
        <w:tc>
          <w:tcPr>
            <w:tcW w:w="6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1,797</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2,103</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360" w:hanging="414"/>
        <w:spacing w:after="0" w:line="275"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2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6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320" w:type="dxa"/>
            <w:vAlign w:val="bottom"/>
          </w:tcPr>
          <w:p>
            <w:pPr>
              <w:spacing w:after="0"/>
              <w:rPr>
                <w:sz w:val="22"/>
                <w:szCs w:val="22"/>
                <w:color w:val="auto"/>
              </w:rPr>
            </w:pPr>
          </w:p>
        </w:tc>
        <w:tc>
          <w:tcPr>
            <w:tcW w:w="3980" w:type="dxa"/>
            <w:vAlign w:val="bottom"/>
            <w:gridSpan w:val="5"/>
          </w:tcPr>
          <w:p>
            <w:pPr>
              <w:jc w:val="right"/>
              <w:ind w:right="77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694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240" w:type="dxa"/>
            <w:vAlign w:val="bottom"/>
          </w:tcPr>
          <w:p>
            <w:pPr>
              <w:spacing w:after="0"/>
              <w:rPr>
                <w:sz w:val="19"/>
                <w:szCs w:val="19"/>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694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0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 – continuing operations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3.04</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27"/>
        </w:trPr>
        <w:tc>
          <w:tcPr>
            <w:tcW w:w="694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 interest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32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(0.83)</w:t>
            </w:r>
          </w:p>
        </w:tc>
        <w:tc>
          <w:tcPr>
            <w:tcW w:w="320" w:type="dxa"/>
            <w:vAlign w:val="bottom"/>
            <w:tcBorders>
              <w:bottom w:val="single" w:sz="8" w:color="E4E4E4"/>
            </w:tcBorders>
            <w:shd w:val="clear" w:color="auto" w:fill="E4E4E4"/>
          </w:tcPr>
          <w:p>
            <w:pPr>
              <w:spacing w:after="0"/>
              <w:rPr>
                <w:sz w:val="24"/>
                <w:szCs w:val="24"/>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Borders>
              <w:bottom w:val="single" w:sz="8" w:color="E4E4E4"/>
            </w:tcBorders>
            <w:shd w:val="clear" w:color="auto" w:fill="E4E4E4"/>
          </w:tcPr>
          <w:p>
            <w:pPr>
              <w:spacing w:after="0"/>
              <w:rPr>
                <w:sz w:val="24"/>
                <w:szCs w:val="24"/>
                <w:color w:val="auto"/>
              </w:rPr>
            </w:pPr>
          </w:p>
        </w:tc>
        <w:tc>
          <w:tcPr>
            <w:tcW w:w="120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4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0.12</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0.32</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2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320" w:type="dxa"/>
            <w:vAlign w:val="bottom"/>
            <w:shd w:val="clear" w:color="auto" w:fill="E4E4E4"/>
          </w:tcPr>
          <w:p>
            <w:pPr>
              <w:spacing w:after="0"/>
              <w:rPr>
                <w:sz w:val="24"/>
                <w:szCs w:val="24"/>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40" w:type="dxa"/>
            <w:vAlign w:val="bottom"/>
            <w:shd w:val="clear" w:color="auto" w:fill="E4E4E4"/>
          </w:tcPr>
          <w:p>
            <w:pPr>
              <w:spacing w:after="0"/>
              <w:rPr>
                <w:sz w:val="24"/>
                <w:szCs w:val="24"/>
                <w:color w:val="auto"/>
              </w:rPr>
            </w:pPr>
          </w:p>
        </w:tc>
        <w:tc>
          <w:tcPr>
            <w:tcW w:w="12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4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0.59</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2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4E4E4"/>
          </w:tcPr>
          <w:p>
            <w:pPr>
              <w:spacing w:after="0"/>
              <w:rPr>
                <w:sz w:val="24"/>
                <w:szCs w:val="24"/>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E4E4E4"/>
          </w:tcPr>
          <w:p>
            <w:pPr>
              <w:spacing w:after="0"/>
              <w:rPr>
                <w:sz w:val="24"/>
                <w:szCs w:val="24"/>
                <w:color w:val="auto"/>
              </w:rPr>
            </w:pPr>
          </w:p>
        </w:tc>
        <w:tc>
          <w:tcPr>
            <w:tcW w:w="12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94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0.28</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0.27</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6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20" w:type="dxa"/>
            <w:vAlign w:val="bottom"/>
            <w:shd w:val="clear" w:color="auto" w:fill="E4E4E4"/>
          </w:tcPr>
          <w:p>
            <w:pPr>
              <w:spacing w:after="0"/>
              <w:rPr>
                <w:sz w:val="24"/>
                <w:szCs w:val="24"/>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320" w:type="dxa"/>
            <w:vAlign w:val="bottom"/>
            <w:shd w:val="clear" w:color="auto" w:fill="E4E4E4"/>
          </w:tcPr>
          <w:p>
            <w:pPr>
              <w:spacing w:after="0"/>
              <w:rPr>
                <w:sz w:val="24"/>
                <w:szCs w:val="24"/>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40" w:type="dxa"/>
            <w:vAlign w:val="bottom"/>
            <w:shd w:val="clear" w:color="auto" w:fill="E4E4E4"/>
          </w:tcPr>
          <w:p>
            <w:pPr>
              <w:spacing w:after="0"/>
              <w:rPr>
                <w:sz w:val="24"/>
                <w:szCs w:val="24"/>
                <w:color w:val="auto"/>
              </w:rPr>
            </w:pPr>
          </w:p>
        </w:tc>
        <w:tc>
          <w:tcPr>
            <w:tcW w:w="12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4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320" w:type="dxa"/>
            <w:vAlign w:val="bottom"/>
            <w:tcBorders>
              <w:bottom w:val="single" w:sz="8" w:color="auto"/>
            </w:tcBorders>
            <w:shd w:val="clear" w:color="auto" w:fill="E4E4E4"/>
          </w:tcPr>
          <w:p>
            <w:pPr>
              <w:spacing w:after="0"/>
              <w:rPr>
                <w:sz w:val="24"/>
                <w:szCs w:val="24"/>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0.17</w:t>
            </w:r>
          </w:p>
        </w:tc>
        <w:tc>
          <w:tcPr>
            <w:tcW w:w="32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4E4E4"/>
          </w:tcPr>
          <w:p>
            <w:pPr>
              <w:spacing w:after="0"/>
              <w:rPr>
                <w:sz w:val="24"/>
                <w:szCs w:val="24"/>
                <w:color w:val="auto"/>
              </w:rPr>
            </w:pPr>
          </w:p>
        </w:tc>
        <w:tc>
          <w:tcPr>
            <w:tcW w:w="120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Adjusted earnings per share*</w:t>
            </w:r>
            <w:r>
              <w:rPr>
                <w:rFonts w:ascii="Arial" w:cs="Arial" w:eastAsia="Arial" w:hAnsi="Arial"/>
                <w:sz w:val="21"/>
                <w:szCs w:val="21"/>
                <w:b w:val="1"/>
                <w:bCs w:val="1"/>
                <w:color w:val="auto"/>
                <w:vertAlign w:val="superscript"/>
              </w:rPr>
              <w:t>(7)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454</w:t>
            </w:r>
          </w:p>
        </w:tc>
        <w:tc>
          <w:tcPr>
            <w:tcW w:w="24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360" w:hanging="414"/>
        <w:spacing w:after="0" w:line="275"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15"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earnings per share* amounts are computed independently, thus, the sum of per-share amounts may not equal the total.</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440" w:type="dxa"/>
            <w:vAlign w:val="bottom"/>
          </w:tcPr>
          <w:p>
            <w:pPr>
              <w:spacing w:after="0"/>
              <w:rPr>
                <w:sz w:val="19"/>
                <w:szCs w:val="19"/>
                <w:color w:val="auto"/>
              </w:rPr>
            </w:pPr>
          </w:p>
        </w:tc>
        <w:tc>
          <w:tcPr>
            <w:tcW w:w="37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7100" w:type="dxa"/>
            <w:vAlign w:val="bottom"/>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jc w:val="right"/>
              <w:ind w:right="739"/>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19"/>
                <w:szCs w:val="19"/>
                <w:color w:val="auto"/>
              </w:rPr>
            </w:pPr>
          </w:p>
        </w:tc>
        <w:tc>
          <w:tcPr>
            <w:tcW w:w="1580" w:type="dxa"/>
            <w:vAlign w:val="bottom"/>
          </w:tcPr>
          <w:p>
            <w:pPr>
              <w:jc w:val="right"/>
              <w:ind w:right="779"/>
              <w:spacing w:after="0"/>
              <w:rPr>
                <w:sz w:val="20"/>
                <w:szCs w:val="20"/>
                <w:color w:val="auto"/>
              </w:rPr>
            </w:pPr>
            <w:r>
              <w:rPr>
                <w:rFonts w:ascii="Arial" w:cs="Arial" w:eastAsia="Arial" w:hAnsi="Arial"/>
                <w:sz w:val="16"/>
                <w:szCs w:val="16"/>
                <w:b w:val="1"/>
                <w:bCs w:val="1"/>
                <w:color w:val="454545"/>
              </w:rPr>
              <w:t>2022</w:t>
            </w:r>
          </w:p>
        </w:tc>
      </w:tr>
      <w:tr>
        <w:trPr>
          <w:trHeight w:val="21"/>
        </w:trPr>
        <w:tc>
          <w:tcPr>
            <w:tcW w:w="71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30"/>
        </w:trPr>
        <w:tc>
          <w:tcPr>
            <w:tcW w:w="71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(743)</w:t>
            </w:r>
          </w:p>
        </w:tc>
        <w:tc>
          <w:tcPr>
            <w:tcW w:w="520" w:type="dxa"/>
            <w:vAlign w:val="bottom"/>
            <w:tcBorders>
              <w:bottom w:val="single" w:sz="8" w:color="E4E4E4"/>
            </w:tcBorders>
            <w:shd w:val="clear" w:color="auto" w:fill="E4E4E4"/>
          </w:tcPr>
          <w:p>
            <w:pPr>
              <w:jc w:val="right"/>
              <w:ind w:right="29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(563)</w:t>
            </w:r>
          </w:p>
        </w:tc>
      </w:tr>
      <w:tr>
        <w:trPr>
          <w:trHeight w:val="228"/>
        </w:trPr>
        <w:tc>
          <w:tcPr>
            <w:tcW w:w="71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w:t>
            </w: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9"/>
        </w:trPr>
        <w:tc>
          <w:tcPr>
            <w:tcW w:w="7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1"/>
        </w:trPr>
        <w:tc>
          <w:tcPr>
            <w:tcW w:w="71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E4E4E4"/>
          </w:tcPr>
          <w:p>
            <w:pPr>
              <w:spacing w:after="0"/>
              <w:rPr>
                <w:sz w:val="24"/>
                <w:szCs w:val="24"/>
                <w:color w:val="auto"/>
              </w:rPr>
            </w:pPr>
          </w:p>
        </w:tc>
        <w:tc>
          <w:tcPr>
            <w:tcW w:w="16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80</w:t>
            </w:r>
          </w:p>
        </w:tc>
        <w:tc>
          <w:tcPr>
            <w:tcW w:w="520" w:type="dxa"/>
            <w:vAlign w:val="bottom"/>
            <w:tcBorders>
              <w:bottom w:val="single" w:sz="8" w:color="auto"/>
            </w:tcBorders>
            <w:shd w:val="clear" w:color="auto" w:fill="E4E4E4"/>
          </w:tcPr>
          <w:p>
            <w:pPr>
              <w:spacing w:after="0"/>
              <w:rPr>
                <w:sz w:val="24"/>
                <w:szCs w:val="24"/>
                <w:color w:val="auto"/>
              </w:rPr>
            </w:pPr>
          </w:p>
        </w:tc>
        <w:tc>
          <w:tcPr>
            <w:tcW w:w="15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1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52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(630)</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44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w:t>
            </w:r>
          </w:p>
        </w:tc>
        <w:tc>
          <w:tcPr>
            <w:tcW w:w="52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22.4%</w:t>
            </w:r>
          </w:p>
        </w:tc>
      </w:tr>
      <w:tr>
        <w:trPr>
          <w:trHeight w:val="235"/>
        </w:trPr>
        <w:tc>
          <w:tcPr>
            <w:tcW w:w="71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4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5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22.6%</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360" w:hanging="414"/>
        <w:spacing w:after="0" w:line="275"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940" w:type="dxa"/>
            <w:vAlign w:val="bottom"/>
          </w:tcPr>
          <w:p>
            <w:pPr>
              <w:spacing w:after="0"/>
              <w:rPr>
                <w:sz w:val="19"/>
                <w:szCs w:val="19"/>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76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680" w:type="dxa"/>
            <w:vAlign w:val="bottom"/>
          </w:tcPr>
          <w:p>
            <w:pPr>
              <w:spacing w:after="0"/>
              <w:rPr>
                <w:sz w:val="19"/>
                <w:szCs w:val="19"/>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6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57"/>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940" w:type="dxa"/>
            <w:vAlign w:val="bottom"/>
            <w:tcBorders>
              <w:bottom w:val="single" w:sz="8" w:color="E4E4E4"/>
            </w:tcBorders>
            <w:shd w:val="clear" w:color="auto" w:fill="E4E4E4"/>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2,101</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2,134</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55"/>
        </w:trPr>
        <w:tc>
          <w:tcPr>
            <w:tcW w:w="676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(387)</w:t>
            </w:r>
          </w:p>
        </w:tc>
        <w:tc>
          <w:tcPr>
            <w:tcW w:w="980" w:type="dxa"/>
            <w:vAlign w:val="bottom"/>
          </w:tcPr>
          <w:p>
            <w:pPr>
              <w:spacing w:after="0"/>
              <w:rPr>
                <w:sz w:val="22"/>
                <w:szCs w:val="22"/>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(310)</w:t>
            </w:r>
          </w:p>
        </w:tc>
        <w:tc>
          <w:tcPr>
            <w:tcW w:w="1320" w:type="dxa"/>
            <w:vAlign w:val="bottom"/>
          </w:tcPr>
          <w:p>
            <w:pPr>
              <w:spacing w:after="0"/>
              <w:rPr>
                <w:sz w:val="22"/>
                <w:szCs w:val="22"/>
                <w:color w:val="auto"/>
              </w:rPr>
            </w:pPr>
          </w:p>
        </w:tc>
      </w:tr>
      <w:tr>
        <w:trPr>
          <w:trHeight w:val="29"/>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9"/>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940" w:type="dxa"/>
            <w:vAlign w:val="bottom"/>
            <w:tcBorders>
              <w:bottom w:val="single" w:sz="8" w:color="E4E4E4"/>
            </w:tcBorders>
            <w:shd w:val="clear" w:color="auto" w:fill="E4E4E4"/>
          </w:tcPr>
          <w:p>
            <w:pPr>
              <w:spacing w:after="0"/>
              <w:rPr>
                <w:sz w:val="24"/>
                <w:szCs w:val="24"/>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E4E4E4"/>
            </w:tcBorders>
            <w:shd w:val="clear" w:color="auto" w:fill="E4E4E4"/>
          </w:tcPr>
          <w:p>
            <w:pPr>
              <w:spacing w:after="0"/>
              <w:rPr>
                <w:sz w:val="24"/>
                <w:szCs w:val="24"/>
                <w:color w:val="auto"/>
              </w:rPr>
            </w:pPr>
          </w:p>
        </w:tc>
        <w:tc>
          <w:tcPr>
            <w:tcW w:w="68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E4E4E4"/>
            </w:tcBorders>
            <w:shd w:val="clear" w:color="auto" w:fill="E4E4E4"/>
          </w:tcPr>
          <w:p>
            <w:pPr>
              <w:spacing w:after="0"/>
              <w:rPr>
                <w:sz w:val="24"/>
                <w:szCs w:val="24"/>
                <w:color w:val="auto"/>
              </w:rPr>
            </w:pPr>
          </w:p>
        </w:tc>
      </w:tr>
      <w:tr>
        <w:trPr>
          <w:trHeight w:val="256"/>
        </w:trPr>
        <w:tc>
          <w:tcPr>
            <w:tcW w:w="6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1,715</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1,828</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As of December 31, 2023, our Cash, cash equivalents, and restricted cash balance was $2,504 million. We have historically generated positive cash flows from operating activities from continuing operations. Additionally, we have access to revolving credit facilities of $3,500 million in aggregate, described in detail in Note 9, “Borrowings” to the consolidated and combined financial statements. Historically, we relied on cash pooling arrangements with GE to manage liquidity and fund our operations. Upon completion of the Spin-Off, we ceased participation in GE cash pooling arrangements and our Cash, cash equivalents, and restricted cash are held and used solely for our own ongoing operations and commitments.</w:t>
      </w:r>
    </w:p>
    <w:p>
      <w:pPr>
        <w:spacing w:after="0" w:line="19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508"/>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420" w:type="dxa"/>
            <w:vAlign w:val="bottom"/>
          </w:tcPr>
          <w:p>
            <w:pPr>
              <w:spacing w:after="0"/>
              <w:rPr>
                <w:sz w:val="24"/>
                <w:szCs w:val="24"/>
                <w:color w:val="auto"/>
              </w:rPr>
            </w:pPr>
          </w:p>
        </w:tc>
        <w:tc>
          <w:tcPr>
            <w:tcW w:w="368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7140" w:type="dxa"/>
            <w:vAlign w:val="bottom"/>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ind w:right="739"/>
              <w:spacing w:after="0"/>
              <w:rPr>
                <w:sz w:val="20"/>
                <w:szCs w:val="20"/>
                <w:color w:val="auto"/>
              </w:rPr>
            </w:pPr>
            <w:r>
              <w:rPr>
                <w:rFonts w:ascii="Arial" w:cs="Arial" w:eastAsia="Arial" w:hAnsi="Arial"/>
                <w:sz w:val="16"/>
                <w:szCs w:val="16"/>
                <w:b w:val="1"/>
                <w:bCs w:val="1"/>
                <w:color w:val="454545"/>
              </w:rPr>
              <w:t>2023</w:t>
            </w:r>
          </w:p>
        </w:tc>
        <w:tc>
          <w:tcPr>
            <w:tcW w:w="500" w:type="dxa"/>
            <w:vAlign w:val="bottom"/>
          </w:tcPr>
          <w:p>
            <w:pPr>
              <w:spacing w:after="0"/>
              <w:rPr>
                <w:sz w:val="19"/>
                <w:szCs w:val="19"/>
                <w:color w:val="auto"/>
              </w:rPr>
            </w:pPr>
          </w:p>
        </w:tc>
        <w:tc>
          <w:tcPr>
            <w:tcW w:w="158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2022</w:t>
            </w:r>
          </w:p>
        </w:tc>
      </w:tr>
      <w:tr>
        <w:trPr>
          <w:trHeight w:val="21"/>
        </w:trPr>
        <w:tc>
          <w:tcPr>
            <w:tcW w:w="71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50"/>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420" w:type="dxa"/>
            <w:vAlign w:val="bottom"/>
            <w:shd w:val="clear" w:color="auto" w:fill="E4E4E4"/>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2,101</w:t>
            </w:r>
          </w:p>
        </w:tc>
        <w:tc>
          <w:tcPr>
            <w:tcW w:w="500" w:type="dxa"/>
            <w:vAlign w:val="bottom"/>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2,134</w:t>
            </w:r>
          </w:p>
        </w:tc>
      </w:tr>
      <w:tr>
        <w:trPr>
          <w:trHeight w:val="255"/>
        </w:trPr>
        <w:tc>
          <w:tcPr>
            <w:tcW w:w="714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4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(558)</w:t>
            </w:r>
          </w:p>
        </w:tc>
        <w:tc>
          <w:tcPr>
            <w:tcW w:w="5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58"/>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420" w:type="dxa"/>
            <w:vAlign w:val="bottom"/>
            <w:shd w:val="clear" w:color="auto" w:fill="E4E4E4"/>
          </w:tcPr>
          <w:p>
            <w:pPr>
              <w:spacing w:after="0"/>
              <w:rPr>
                <w:sz w:val="22"/>
                <w:szCs w:val="22"/>
                <w:color w:val="auto"/>
              </w:rPr>
            </w:pPr>
          </w:p>
        </w:tc>
        <w:tc>
          <w:tcPr>
            <w:tcW w:w="16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(478)</w:t>
            </w:r>
          </w:p>
        </w:tc>
        <w:tc>
          <w:tcPr>
            <w:tcW w:w="500" w:type="dxa"/>
            <w:vAlign w:val="bottom"/>
            <w:shd w:val="clear" w:color="auto" w:fill="E4E4E4"/>
          </w:tcPr>
          <w:p>
            <w:pPr>
              <w:spacing w:after="0"/>
              <w:rPr>
                <w:sz w:val="22"/>
                <w:szCs w:val="22"/>
                <w:color w:val="auto"/>
              </w:rPr>
            </w:pP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(822)</w:t>
            </w:r>
          </w:p>
        </w:tc>
      </w:tr>
      <w:tr>
        <w:trPr>
          <w:trHeight w:val="256"/>
        </w:trPr>
        <w:tc>
          <w:tcPr>
            <w:tcW w:w="7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Free cash flow*</w:t>
            </w: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year ended December 31, 2023 was $2,101 million and included Net income from continuing operations of</w:t>
      </w:r>
    </w:p>
    <w:p>
      <w:pPr>
        <w:spacing w:after="0" w:line="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$1,618 million, non-cash charges for depreciation and amortization of $610 million, and a $127 million outflow from changes in assets and liabilities, primarily driven by company-funded benefit payments for postretirement benefit plans and an increase in receivables, partially offset by lower cash taxes paid and a decrease in inventories.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year ended December 31, 2022 was $2,134 million and included Net income from continuing operations of</w:t>
      </w:r>
    </w:p>
    <w:p>
      <w:pPr>
        <w:spacing w:after="0" w:line="3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$1,949 million, non-cash charges for depreciation and amortization of $633 million, and a $448 million outflow from changes in assets and liabilities, primarily driven by an increase in inventory, higher cash taxes paid, and an increase in receivables, partially offset by an increase in accounts payable.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used for investing activities in the year ended December 31, 2023 was $558 million and primarily included additions to PP&amp;E of $387 million related primarily to manufacturing capacity expansion, new product introductions, and purchases of businesses, net of cash acquired, of $147 million primarily related to Caption Health, Inc. (“Caption Health”). On February 17, 2023, we acquired Caption Health, an AI company whose technology expands access to AI-guided ultrasound screening for novice users.</w:t>
      </w:r>
    </w:p>
    <w:p>
      <w:pPr>
        <w:spacing w:after="0" w:line="20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Cash used for investing activities in the year ended December 31, 2022 was $398 million and primarily included additions to PP&amp;E of $310 million related primarily to manufacturing capacity expansion, and new product introductions.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jc w:val="both"/>
        <w:ind w:right="840"/>
        <w:spacing w:after="0" w:line="258" w:lineRule="auto"/>
        <w:rPr>
          <w:sz w:val="20"/>
          <w:szCs w:val="20"/>
          <w:color w:val="auto"/>
        </w:rPr>
      </w:pPr>
      <w:r>
        <w:rPr>
          <w:rFonts w:ascii="Arial" w:cs="Arial" w:eastAsia="Arial" w:hAnsi="Arial"/>
          <w:sz w:val="16"/>
          <w:szCs w:val="16"/>
          <w:color w:val="auto"/>
        </w:rPr>
        <w:t>Cash used for financing activities in the year ended December 31, 2023 was $478 million and primarily included $1,317 million of transfers to GE, $850 million partial repayment of our outstanding Term Loan Facility, and $211 million of redemption of noncontrolling interests, partially offset by $2,000 million drawdown of the Term Loan Facility.</w:t>
      </w:r>
    </w:p>
    <w:p>
      <w:pPr>
        <w:spacing w:after="0" w:line="21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Cash used for financing activities in the year ended December 31, 2022 was $822 million and primarily included $8,934 million of transfers to GE, partially offset by $8,198 million of newly issued debt.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29"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Free cash flow* was $1,715 million for the year ended December 31, 2023 and primarily included $2,101 million of cash generated from operating activities, partially offset by $387 million of cash used for additions to PP&amp;E.</w:t>
      </w:r>
    </w:p>
    <w:p>
      <w:pPr>
        <w:spacing w:after="0" w:line="20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Free cash flow* was $1,828 million for the year ended December 31, 2022 and primarily included $2,134 million of cash generated from operating activities, partially offset by $310 million of cash used for additions to PP&amp;E.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i w:val="1"/>
          <w:iCs w:val="1"/>
          <w:color w:val="auto"/>
        </w:rPr>
        <w:t>Capital Expenditures</w:t>
      </w:r>
    </w:p>
    <w:p>
      <w:pPr>
        <w:spacing w:after="0" w:line="1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Cash used for capital expenditures was $387 million and $310 million for the </w:t>
      </w:r>
      <w:r>
        <w:rPr>
          <w:rFonts w:ascii="Arial" w:cs="Arial" w:eastAsia="Arial" w:hAnsi="Arial"/>
          <w:sz w:val="16"/>
          <w:szCs w:val="16"/>
          <w:color w:val="0C2340"/>
        </w:rPr>
        <w:t>years ended</w:t>
      </w:r>
      <w:r>
        <w:rPr>
          <w:rFonts w:ascii="Arial" w:cs="Arial" w:eastAsia="Arial" w:hAnsi="Arial"/>
          <w:sz w:val="16"/>
          <w:szCs w:val="16"/>
          <w:color w:val="auto"/>
        </w:rPr>
        <w:t xml:space="preserve"> December 31, 2023 and 2022, respectively. Capital expenditures were primarily for manufacturing capacity expansion, and equipment and tooling for new and existing products including new product introductions.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2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purchase arrangements are provided in Note 7, “Leases,” Note 9, “Borrowings,” and Note 14, “Commitments, Guarantees, Product Warranties, and Other Loss Contingencies,” to the consolidated and combined financial statements contained elsewhere in this Annual Report on Form 10-K. Additionally, we have material cash requirements related to our pension obligations as described in Note 10, “Postretirement Benefit Plans,” to the consolidated and combined financial statements included elsewhere in this Annual Report on Form 10-K.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As part of our capital structure, we have incurred debt. The servicing of this debt will be supported by cash flows from our operations. As of December 31, 2023, we had $9,442 million of total debt compared to $8,249 million as of December 31, 2022. The increase in debt was mainly driven by drawdown of the Term Loan Facility by $2,000 million in connection with our Spin-Off in January 2023, partially offset by $850 million repayment of the outstanding Term Loan Facility in December 2023.</w:t>
      </w:r>
    </w:p>
    <w:p>
      <w:pPr>
        <w:spacing w:after="0" w:line="203"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231F20"/>
        </w:rPr>
        <w:t xml:space="preserve">The weighted average interest rate for the Notes and our Credit Facilities for the </w:t>
      </w:r>
      <w:r>
        <w:rPr>
          <w:rFonts w:ascii="Arial" w:cs="Arial" w:eastAsia="Arial" w:hAnsi="Arial"/>
          <w:sz w:val="16"/>
          <w:szCs w:val="16"/>
          <w:color w:val="000000"/>
        </w:rPr>
        <w:t>year ended</w:t>
      </w:r>
      <w:r>
        <w:rPr>
          <w:rFonts w:ascii="Arial" w:cs="Arial" w:eastAsia="Arial" w:hAnsi="Arial"/>
          <w:sz w:val="16"/>
          <w:szCs w:val="16"/>
          <w:color w:val="231F20"/>
        </w:rPr>
        <w:t xml:space="preserve"> December 31, 2023 was </w:t>
      </w:r>
      <w:r>
        <w:rPr>
          <w:rFonts w:ascii="Arial" w:cs="Arial" w:eastAsia="Arial" w:hAnsi="Arial"/>
          <w:sz w:val="16"/>
          <w:szCs w:val="16"/>
          <w:color w:val="000000"/>
        </w:rPr>
        <w:t>6.03%.</w:t>
      </w:r>
      <w:r>
        <w:rPr>
          <w:rFonts w:ascii="Arial" w:cs="Arial" w:eastAsia="Arial" w:hAnsi="Arial"/>
          <w:sz w:val="16"/>
          <w:szCs w:val="16"/>
          <w:color w:val="231F20"/>
        </w:rPr>
        <w:t xml:space="preserve"> We had no principal debt repayments on the Notes for the </w:t>
      </w:r>
      <w:r>
        <w:rPr>
          <w:rFonts w:ascii="Arial" w:cs="Arial" w:eastAsia="Arial" w:hAnsi="Arial"/>
          <w:sz w:val="16"/>
          <w:szCs w:val="16"/>
          <w:color w:val="000000"/>
        </w:rPr>
        <w:t>year ended</w:t>
      </w:r>
      <w:r>
        <w:rPr>
          <w:rFonts w:ascii="Arial" w:cs="Arial" w:eastAsia="Arial" w:hAnsi="Arial"/>
          <w:sz w:val="16"/>
          <w:szCs w:val="16"/>
          <w:color w:val="231F20"/>
        </w:rPr>
        <w:t xml:space="preserve"> December 31, 2023.</w:t>
      </w:r>
    </w:p>
    <w:p>
      <w:pPr>
        <w:spacing w:after="0" w:line="1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addition to the Term Loan Facility, our credit facilities include a five-year senior unsecured revolving facility that provides borrowings of up to $2,500 million expiring in January 2028, and a 364-day senior unsecured revolving facility that provides borrowings of up to $1,000 million expiring in December 2024. As of December 31, 2023, there were no outstanding borrowings on either of the two revolving facilities.</w:t>
      </w:r>
    </w:p>
    <w:p>
      <w:pPr>
        <w:spacing w:after="0" w:line="17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 xml:space="preserve">The Credit Facilities include various customary covenants that limit, among other things, the incurrence of liens securing debt, the entry into certain fundamental change transactions by GE HealthCare, and the maximum permitted leverage ratio. As of </w:t>
      </w:r>
      <w:r>
        <w:rPr>
          <w:rFonts w:ascii="Arial" w:cs="Arial" w:eastAsia="Arial" w:hAnsi="Arial"/>
          <w:sz w:val="16"/>
          <w:szCs w:val="16"/>
          <w:color w:val="231F20"/>
        </w:rPr>
        <w:t>December 31, 2023</w:t>
      </w:r>
      <w:r>
        <w:rPr>
          <w:rFonts w:ascii="Arial" w:cs="Arial" w:eastAsia="Arial" w:hAnsi="Arial"/>
          <w:sz w:val="16"/>
          <w:szCs w:val="16"/>
          <w:color w:val="auto"/>
        </w:rPr>
        <w:t>, we were in compliance with the covenant requirements, including the maximum consolidated net leverage ratio.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debt and credit facilities, see Note 9, “Borrowings” to the consolidated and combined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historically relied, via GE, on the debt capital markets to fund a significant portion of our operations. Concurrent with our Spin-Off, we accessed the capital markets and raised $10,250 million of debt by issuing $8,250 million of senior unsecured notes in November 2022, and completed a drawdown of the Term Loan Facility of $2,000 million in January 2023. In addition, we were able to arrange revolving credit facilities of $3,500 million to further support our liquidity needs. We plan to continue to rely on capital markets, and we expect to have access to credit facilities to fund our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January 30, 2024 are set forth in the table below. In the fourth quarter of 2023, Fitch affirmed our long term rating, and Moody’s issued their credit opinion consistent with our ratings listed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 xml:space="preserve">For a discussion of recently issued accounting standards, see Note 2, </w:t>
      </w:r>
      <w:r>
        <w:rPr>
          <w:rFonts w:ascii="Arial" w:cs="Arial" w:eastAsia="Arial" w:hAnsi="Arial"/>
          <w:sz w:val="16"/>
          <w:szCs w:val="16"/>
          <w:color w:val="231F20"/>
        </w:rPr>
        <w:t>“</w:t>
      </w:r>
      <w:r>
        <w:rPr>
          <w:rFonts w:ascii="Arial" w:cs="Arial" w:eastAsia="Arial" w:hAnsi="Arial"/>
          <w:sz w:val="16"/>
          <w:szCs w:val="16"/>
          <w:color w:val="auto"/>
        </w:rPr>
        <w:t>Summary of Significant Accounting Policies</w:t>
      </w:r>
      <w:r>
        <w:rPr>
          <w:rFonts w:ascii="Arial" w:cs="Arial" w:eastAsia="Arial" w:hAnsi="Arial"/>
          <w:sz w:val="16"/>
          <w:szCs w:val="16"/>
          <w:color w:val="231F20"/>
        </w:rPr>
        <w:t>”</w:t>
      </w:r>
      <w:r>
        <w:rPr>
          <w:rFonts w:ascii="Arial" w:cs="Arial" w:eastAsia="Arial" w:hAnsi="Arial"/>
          <w:sz w:val="16"/>
          <w:szCs w:val="16"/>
          <w:color w:val="auto"/>
        </w:rPr>
        <w:t xml:space="preserve"> to the consolidated and combined financial statements appearing elsewhere in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financial results are affected by the selection and application of accounting policies and methods. We have adopted accounting policies to prepare our consolidated and combined financial statements in conformity with U.S. GAAP.</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59" w:name="page60"/>
    <w:bookmarkEnd w:id="59"/>
    <w:p>
      <w:pPr>
        <w:ind w:right="240"/>
        <w:spacing w:after="0" w:line="259" w:lineRule="auto"/>
        <w:rPr>
          <w:sz w:val="20"/>
          <w:szCs w:val="20"/>
          <w:color w:val="auto"/>
        </w:rPr>
      </w:pPr>
      <w:r>
        <w:rPr>
          <w:rFonts w:ascii="Arial" w:cs="Arial" w:eastAsia="Arial" w:hAnsi="Arial"/>
          <w:sz w:val="16"/>
          <w:szCs w:val="16"/>
          <w:color w:val="auto"/>
        </w:rPr>
        <w:t>To prepare our consolidated and combined financial statements in accordance with U.S. GAAP, management makes estimates and assumptions that may affect the reported amounts of our assets and liabilities, including our contingent liabilities, as of the date of our consolidated and combined financial statements, and the reported amounts of our revenues and expenses during the reporting periods. Our actual results may differ from these estimates. We consider estimates to be critical (i) if we are required to make assumptions about material matters that are uncertain at the time of estimation or (ii) if materially different estimates could have been made or it is reasonably likely that the accounting estimate will change from period to period. The following are areas considered to be critical and require management’s judgment: Revenue Recognition, Business Combination Related Measurements, Pensions, and Income Taxes.</w:t>
      </w:r>
    </w:p>
    <w:p>
      <w:pPr>
        <w:spacing w:after="0" w:line="2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See Note 2, “Summary of Significant Accounting Policies” to the consolidated and combined financial statements included elsewhere in this Annual Report on Form 10-K for further information on our significant accounting policies.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revenues are recorded based on the consideration specified in customer contracts net of any sales incentives, discounts, returns, chargebacks, group purchasing organization fees, rebates, or credits, which are accounted for as estimated variable consideration. Our estimates for these deductions are based upon historical experience and consider current and forecasted market trends. We record the estimated amounts as a reduction to revenue when we recognize the related product or service sale.</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Chargebacks are a form of variable consideration that occur when a contracted customer purchases through an intermediary wholesaler. The contracted customer generally purchases product from the wholesaler at its contracted price plus a mark-up. The wholesaler, in turn, charges us back for the difference between the price initially paid by the wholesaler and the contract price paid to the wholesaler by the contracted customer. A provision for outstanding chargebacks is recorded at the time we recognize revenue from the sale to the wholesaler and requires certain estimates such as the wholesaler chargeback rates, the expected sell-through levels by our wholesale customers to contracted customers, as well as estimated wholesaler inventory levels.</w:t>
      </w:r>
    </w:p>
    <w:p>
      <w:pPr>
        <w:spacing w:after="0" w:line="199"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The amounts of variable consideration included in the net transaction price for revenue recognition are limited to the amounts that are estimated to be probable of occurrence to avoid a material revenue reversal in a future period.</w:t>
      </w:r>
    </w:p>
    <w:p>
      <w:pPr>
        <w:spacing w:after="0" w:line="168"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See Note 3, “Revenue Recognition” to the consolidated and combined financial statements included elsewhere in this Annual Report on Form 10-K for further information on revenue recognition.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 RELATED MEASUREMENTS.</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consolidated and combined financial statements include the operations of an acquired business starting from the completion of the combination. The assets acquired and liabilities assumed, including any contingent consideration we may be liable to pay in the future, are recorded on the date of the business combination at their respective estimated fair values, with any excess of the purchase price over the estimated fair values of the net assets acquired recorded as goodwill. Our business combinations typically result in the recognition of goodwill, developed technology, and other intangible assets, which affect the amount of future period amortization expense. The fair values of acquired intangible assets and liabilities are determined using information available at the business combination date based on estimates and assumptions that are deemed reasonable. Significant assumptions vary by the class of asset or liability and the valuation technique used and can include the discount rates, timing, and probability of achieving regulatory and commercialization milestones and certain assumptions that form the basis of the forecasted results of the acquired business including revenue; earnings before interest, taxes, depreciation and amortization; growth rates; royalty rates; and technology obsolescence rates. These assumptions are forward-looking and could be affected by future economic and market conditions. We engage third-party valuation specialists who review our critical assumptions and prepare the calculations of the fair value of acquired intangible assets in connection with significant business combinations.</w:t>
      </w:r>
    </w:p>
    <w:p>
      <w:pPr>
        <w:spacing w:after="0" w:line="22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See Note 8, “Acquisitions, Goodwill, and Other Intangible Assets” to the consolidated and combined financial statements included elsewhere in this Annual Report on Form 10-K for further information on our business combinations.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PENSIONS.</w:t>
      </w:r>
    </w:p>
    <w:p>
      <w:pPr>
        <w:spacing w:after="0" w:line="26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Pension benefits are calculated using significant inputs to the actuarial models that measure pension benefit obligations and related effects on operations. Two assumptions, discount rate and expected return on assets, are important elements of plan expense and related asset and liability measurement. The Company evaluates these critical assumptions at least annually on a plan and country-specific basis. The Company periodically evaluates other assumptions involving demographic factors such as retirement age, mortality, and turnover, and updates them to reflect our experience and expectations for the future. Actual results in any given year often will differ from actuarial assumptions because of economic and other factors.</w:t>
      </w:r>
    </w:p>
    <w:p>
      <w:pPr>
        <w:spacing w:after="0" w:line="21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Projected benefit obligations (“PBO”) are measured as the present value of expected payments. We discount those cash payments using the weighted average of market-observed yields for high-quality fixed-income securities with maturities that correspond to the expected timing of benefit payment. Generally, lower discount rates increase present values and increase subsequent-year pension expense; higher discount rates decrease present values and decrease subsequent-year pension expense.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0" w:name="page61"/>
    <w:bookmarkEnd w:id="60"/>
    <w:p>
      <w:pPr>
        <w:ind w:right="140"/>
        <w:spacing w:after="0" w:line="286" w:lineRule="auto"/>
        <w:rPr>
          <w:sz w:val="20"/>
          <w:szCs w:val="20"/>
          <w:color w:val="auto"/>
        </w:rPr>
      </w:pPr>
      <w:r>
        <w:rPr>
          <w:rFonts w:ascii="Arial" w:cs="Arial" w:eastAsia="Arial" w:hAnsi="Arial"/>
          <w:sz w:val="16"/>
          <w:szCs w:val="16"/>
          <w:color w:val="auto"/>
        </w:rPr>
        <w:t>A 50 basis point change in the assumed discount rate would have the following effects on the calculation of net periodic benefit costs in 2024 and PBO and accumulated postretirement benefit obligation (“APBO”) as of December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Discount Rate Sensitivity</w:t>
            </w:r>
          </w:p>
        </w:tc>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3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454545"/>
              </w:rPr>
              <w:t>Principal Pension Plans</w:t>
            </w:r>
          </w:p>
        </w:tc>
        <w:tc>
          <w:tcPr>
            <w:tcW w:w="220" w:type="dxa"/>
            <w:vAlign w:val="bottom"/>
          </w:tcPr>
          <w:p>
            <w:pPr>
              <w:spacing w:after="0"/>
              <w:rPr>
                <w:sz w:val="22"/>
                <w:szCs w:val="22"/>
                <w:color w:val="auto"/>
              </w:rPr>
            </w:pP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454545"/>
              </w:rPr>
              <w:t>Other Pension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r>
      <w:tr>
        <w:trPr>
          <w:trHeight w:val="21"/>
        </w:trPr>
        <w:tc>
          <w:tcPr>
            <w:tcW w:w="392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21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20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39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50 bps increase in discount rate</w:t>
            </w:r>
          </w:p>
        </w:tc>
        <w:tc>
          <w:tcPr>
            <w:tcW w:w="640" w:type="dxa"/>
            <w:vAlign w:val="bottom"/>
            <w:tcBorders>
              <w:bottom w:val="single" w:sz="8" w:color="E4E4E4"/>
            </w:tcBorders>
            <w:shd w:val="clear" w:color="auto" w:fill="E4E4E4"/>
          </w:tcPr>
          <w:p>
            <w:pPr>
              <w:spacing w:after="0"/>
              <w:rPr>
                <w:sz w:val="20"/>
                <w:szCs w:val="20"/>
                <w:color w:val="auto"/>
              </w:rPr>
            </w:pPr>
          </w:p>
        </w:tc>
        <w:tc>
          <w:tcPr>
            <w:tcW w:w="21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6"/>
                <w:szCs w:val="16"/>
                <w:color w:val="auto"/>
              </w:rPr>
              <w:t>Impact on PBO/APBO at December 31, 2023</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(859)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(296)</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
        </w:trPr>
        <w:tc>
          <w:tcPr>
            <w:tcW w:w="3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Impact on service cost and interest cost in 2024</w:t>
            </w:r>
          </w:p>
        </w:tc>
        <w:tc>
          <w:tcPr>
            <w:tcW w:w="640" w:type="dxa"/>
            <w:vAlign w:val="bottom"/>
            <w:tcBorders>
              <w:bottom w:val="single" w:sz="8" w:color="E4E4E4"/>
            </w:tcBorders>
            <w:shd w:val="clear" w:color="auto" w:fill="E4E4E4"/>
          </w:tcPr>
          <w:p>
            <w:pPr>
              <w:spacing w:after="0"/>
              <w:rPr>
                <w:sz w:val="20"/>
                <w:szCs w:val="20"/>
                <w:color w:val="auto"/>
              </w:rPr>
            </w:pPr>
          </w:p>
        </w:tc>
        <w:tc>
          <w:tcPr>
            <w:tcW w:w="2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3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50 bps decrease in discount rate</w:t>
            </w: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
        </w:trPr>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39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Impact on PBO/APBO at December 31, 2023</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r>
      <w:tr>
        <w:trPr>
          <w:trHeight w:val="227"/>
        </w:trPr>
        <w:tc>
          <w:tcPr>
            <w:tcW w:w="3920" w:type="dxa"/>
            <w:vAlign w:val="bottom"/>
          </w:tcPr>
          <w:p>
            <w:pPr>
              <w:ind w:left="20"/>
              <w:spacing w:after="0"/>
              <w:rPr>
                <w:sz w:val="20"/>
                <w:szCs w:val="20"/>
                <w:color w:val="auto"/>
              </w:rPr>
            </w:pPr>
            <w:r>
              <w:rPr>
                <w:rFonts w:ascii="Arial" w:cs="Arial" w:eastAsia="Arial" w:hAnsi="Arial"/>
                <w:sz w:val="16"/>
                <w:szCs w:val="16"/>
                <w:color w:val="auto"/>
              </w:rPr>
              <w:t>Impact on service cost and interest cost in 2024</w:t>
            </w:r>
          </w:p>
        </w:tc>
        <w:tc>
          <w:tcPr>
            <w:tcW w:w="6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w:t>
            </w:r>
          </w:p>
        </w:tc>
        <w:tc>
          <w:tcPr>
            <w:tcW w:w="10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3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deficit sensitivity to the discount rate would be lower than the projected benefit obligation sensitivity as a result of the liability hedging program incorporated in the plan’s asset allocation.</w:t>
      </w:r>
    </w:p>
    <w:p>
      <w:pPr>
        <w:spacing w:after="0" w:line="16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To determine the expected long-term rate of return on pension plan assets, we consider current and target asset allocations, as well as historical and expected returns on various categories of plan assets. In developing future long-term return expectations for our principal benefit plans’ assets, we formulate views on the future economic environment, both in the U.S. and abroad. We evaluate general market trends and historical relationships among a number of key variables that impact asset class returns such as expected earnings growth, inflation, valuations, yields, and spreads, using both internal and external sources. We also consider expected volatility by asset class and diversification across classes to determine expected overall portfolio results given current and target allocations. A 1% change in the assumed expected long-term rate of return on plan assets would increase or decrease the 2024 net periodic benefit costs of these plans by $207 million.</w:t>
      </w: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pension plan assets contain financial instruments that are measured at fair value. While the majority of these assets are valued based on quoted prices for identical or similar instruments in active markets, the fair value of certain assets is estimated using significant unobservable inputs (Level 3). These assets primarily relate to real estate and private equity investments.</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pension benefits and retiree health and life benefits transferred from GE on January 1, 2023, third-party actuaries were engaged to assist in the valuation of transferred pension assets and liabilities using assumptions provided by GE which the Company reviewed prior to recording amounts in our combined financial statements.</w:t>
      </w:r>
    </w:p>
    <w:p>
      <w:pPr>
        <w:spacing w:after="0" w:line="1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See Note 10, “Postretirement Benefit Plans” to the consolidated and combined financial statements included elsewhere in this Annual Report on Form 10-K for further information on our postretirement benefit plans.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For periods prior to the Spin-Off, GE HealthCare is included in the combined U.S. federal, state, and foreign income tax returns of GE, where eligible. However, we have adopted the separate return approach for purposes of our combined financial statements. The income tax provisions and related deferred tax assets and liabilities reflected in our combined financial statements for the periods ended December 31, 2022 and 2021 have been estimated as if we were a separate taxpayer.</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annual tax expense is based on our income, statutory tax rates, and tax incentives available to us in the various jurisdictions in which we operate. Changes in existing tax laws or rates could significantly impact the estimate of our tax liabilities. Deferred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the adequacy of future expected taxable income from all sources, including reversal of taxable temporary differences, forecasted operating earnings, and available tax planning strategies. These sources of income rely heavily on estimates; we use our historical experience as well as our short- and long-range business forecasts to provide insight.</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Significant judgment is required in determining our tax expense and in evaluating our tax positions, including evaluating uncertainties. We recognize tax benefits from uncertain tax positions only if we believe that it is more likely than not that the tax position will be sustained on examination by the relevant taxing authorities based on the technical merits of the position. Our policy is to adjust these reserves when facts and circumstances change, such as the settlement or effective settlement of positions with the relevant taxing authorities. We have provided for the amounts we believe will ultimately result from these changes; however, due to the complexity of some of these uncertainties, the ultimate resolution may result in a payment that is materially different from our current estimate of the tax liabilities. Such differences will be reflected as increases or decreases to income tax expense in the period in which they are determined.</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1" w:name="page62"/>
    <w:bookmarkEnd w:id="61"/>
    <w:p>
      <w:pPr>
        <w:ind w:right="420"/>
        <w:spacing w:after="0" w:line="286" w:lineRule="auto"/>
        <w:rPr>
          <w:sz w:val="20"/>
          <w:szCs w:val="20"/>
          <w:color w:val="auto"/>
        </w:rPr>
      </w:pPr>
      <w:r>
        <w:rPr>
          <w:rFonts w:ascii="Arial" w:cs="Arial" w:eastAsia="Arial" w:hAnsi="Arial"/>
          <w:sz w:val="16"/>
          <w:szCs w:val="16"/>
          <w:color w:val="auto"/>
        </w:rPr>
        <w:t>See Note 11, “Income Taxes” to the consolidated and combined financial statements included elsewhere in this Annual Report on Form 10-K for further information on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are exposed to market risk primarily from changes in interest rates, foreign currency exchange rates, commodity prices, and equity prices, which may impact future income, cash flows, and fair value of our business. In certain situations, we may seek to reduce cash flow volatility associated with changes in foreign currency exchange rates, the foreign currency risk associated with our net investment in foreign operations, or the fair value interest rate risk of our financial instruments bearing fixed interest by entering into financial arrangements intended to provide a hedge against a portion of the risks associated with such risks. We continue to have exposure to such risks to the extent they are not hedged. We enter into derivative contracts to the extent they meet the objectives described above, and not for speculative purposes.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As a result of our global operations, we generate and incur a significant portion of our revenues and expenses, including those arising from intercompany transactions, in currencies other than the functional currency of our foreign operations creating exposure to foreign currency translation risk. Such principal currencies include the Euro, the Chinese Renminbi, the Japanese Yen, the Norwegian Krone, and the British Pound Sterling, among others. Operating entities with functional currencies other than the USD also create exposure to foreign currency risk realized upon their sale or a complete or substantially complete liquidation.</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use a number of techniques to manage the effects of currency exchange, including hedging of significant currency exposures. We use cash flow hedging primarily to reduce or eliminate the effects of foreign currency exchange rate changes on purchase and sale contracts and economic hedges when we have exposures to currency exchange risk for which we are unable to meet the requirements for hedge accounting. We use net investment hedging to hedge the foreign currency risk of our net investment in foreign operations against adverse movements in exchange rates against the USD. As a result of the above mitigating activities, we have been able to significantly reduce the financial impact of volatility from currency fluctuations.</w:t>
      </w:r>
    </w:p>
    <w:p>
      <w:pPr>
        <w:spacing w:after="0" w:line="21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potential decrease in fair value of our foreign currency derivative contracts from a 10% decrease in USD spot rates against other applicable currencies would have been $13 million as of December 31, 2023. This excludes foreign currency derivative contracts designated as net investment hedges as changes in the fair value of those contracts are not expected to impact earnings. The sensitivity analysis assumes a uniform weakening of USD spot rates against the other applicable currencies, compared to the actual exchange rates applied as of December 31, 2023, with all other factors remaining constant. This sensitivity analysis disregards the offsetting change in value of the underlying hedged currency exposures in earnings.</w:t>
      </w:r>
    </w:p>
    <w:p>
      <w:pPr>
        <w:spacing w:after="0" w:line="218"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effect arising from foreign currency transactions, including the remeasurement of derivatives mentioned above, can result in significant fluctuations at points in time, but generally will be offset as the underlying hedged item is recognized in earnings. The global nature of our customer base and manufacturing footprint allows for the natural offset of certain income and costs denominated in foreign currencies. See Note 2, “Summary of Significant Accounting Policies” for net gains (losses) from foreign currency transactions for the years ended December 31, 2023,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are exposed to interest rate risk due to changes in benchmark interest rates, related to the fair value of our borrowings bearing fixed interest rates and variability of cash flows related to our investments and borrowings bearing variable interest rates.</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December 31, 2023, we have $8,250 million of fixed-rate debt and $1,150 million outstanding on the Term Loan Facility which carries a variable interest rate. As of December 31, 2023, we have $2,504 million of Cash, cash equivalents, and restricted cash, which are invested in short-term investments that generate income based on variable interest rates.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 change in interest rates would impact the fair value of our fixed-rate debt and would impact our earnings and cash flows associated with our floating-rate debt. A hypothetical change of interest rates by 100 basis points would increase or decrease our annual interest expense by approximately $22 million, partially offset by the change in interest income from our cash investments.</w:t>
      </w:r>
    </w:p>
    <w:p>
      <w:pPr>
        <w:spacing w:after="0" w:line="20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primarily manage interest rate risk by using a mix of fixed-rate and variable-rate debt that we deem appropriate. We entered into interest-rate swap contracts in the fourth quarter of 2023, to synthetically convert $1,000 million of our senior unsecured notes from fixed rates to variable rates as part of our interest rate risk management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COMMODITY RISK.</w:t>
      </w:r>
    </w:p>
    <w:p>
      <w:pPr>
        <w:spacing w:after="0" w:line="248"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availability and pricing will continue to fluctuate in the future. If supply of these materials is restricted or if prices increase, this could constrain our manufacturing of affected products, reduce our profit margins, or otherwise adversely affect our business, our customers, and patients who may rely on our products.</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Similarly, commodities and energy prices are subject to significant volatility. If the costs of certain commodities or of energy, shipping, or transportation increase and we are unable to pass along these costs to our customers, our profit margins would be adversely affected. Furthermore, increasing our prices to our customers could result in long-term sales declines or loss of market share if our customers find alternative suppliers, which could have a material adverse effect on our results of operations.</w:t>
      </w:r>
    </w:p>
    <w:p>
      <w:pPr>
        <w:spacing w:after="0" w:line="2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Disruptions in deliveries, capacity constraints, production disruptions up- or down-stream, price increases, or decreased availability of raw materials or commodities (including as a result of war, natural disasters, climate change-related physical and transitional risks, actual or threatened public health emergencies, or other business continuity events) adversely affect our operations and, depending on the length and severity of the disruption, can limit our ability to meet our commitments to customers or significantly impact our operating profit or cash flows.</w:t>
      </w:r>
    </w:p>
    <w:p>
      <w:pPr>
        <w:spacing w:after="0" w:line="20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may from time to time engage in hedging transactions to reduce the impact to earnings from commodity price fluctuations. The impact of commodity hedges is recognized in earnings in the applicable current period.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RISK.</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December 31, 2023, we have $269 million of deferred compensation liabilities subject to the risk of changes in equity prices. A change in the U.S equity markets would result in a corresponding change in the fair value of these deferred compensation liabilities, which would impact our earnings and cash flows. We may from time to time engage in hedging transactions to reduce the impact to earnings from equity price fluctuations.</w:t>
      </w:r>
    </w:p>
    <w:p>
      <w:pPr>
        <w:spacing w:after="0" w:line="19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See Note 13, “Financial Instruments and Fair Value Measurements” to the consolidated and combined financial statements for further information about our risk exposures, our use of derivatives, and the effects of this activity on our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00" w:type="dxa"/>
            <w:vAlign w:val="bottom"/>
          </w:tcPr>
          <w:p>
            <w:pPr>
              <w:ind w:left="3760"/>
              <w:spacing w:after="0"/>
              <w:rPr>
                <w:sz w:val="20"/>
                <w:szCs w:val="20"/>
                <w:color w:val="auto"/>
              </w:rPr>
            </w:pPr>
            <w:r>
              <w:rPr>
                <w:rFonts w:ascii="Arial" w:cs="Arial" w:eastAsia="Arial" w:hAnsi="Arial"/>
                <w:sz w:val="16"/>
                <w:szCs w:val="16"/>
                <w:b w:val="1"/>
                <w:bCs w:val="1"/>
                <w:color w:val="auto"/>
              </w:rPr>
              <w:t>Part II. Financial Information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10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2140" w:type="dxa"/>
            <w:vAlign w:val="bottom"/>
            <w:gridSpan w:val="3"/>
          </w:tcPr>
          <w:p>
            <w:pPr>
              <w:ind w:left="174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9100" w:type="dxa"/>
            <w:vAlign w:val="bottom"/>
            <w:tcBorders>
              <w:bottom w:val="single" w:sz="8" w:color="6400A0"/>
            </w:tcBorders>
          </w:tcPr>
          <w:p>
            <w:pPr>
              <w:spacing w:after="0" w:line="20" w:lineRule="exact"/>
              <w:rPr>
                <w:sz w:val="1"/>
                <w:szCs w:val="1"/>
                <w:color w:val="auto"/>
              </w:rPr>
            </w:pPr>
          </w:p>
        </w:tc>
        <w:tc>
          <w:tcPr>
            <w:tcW w:w="19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9100" w:type="dxa"/>
            <w:vAlign w:val="bottom"/>
          </w:tcPr>
          <w:p>
            <w:pPr>
              <w:ind w:left="20"/>
              <w:spacing w:after="0" w:line="183" w:lineRule="exact"/>
              <w:rPr>
                <w:sz w:val="20"/>
                <w:szCs w:val="20"/>
                <w:color w:val="auto"/>
              </w:rPr>
            </w:pPr>
            <w:r>
              <w:rPr>
                <w:rFonts w:ascii="Arial" w:cs="Arial" w:eastAsia="Arial" w:hAnsi="Arial"/>
                <w:sz w:val="16"/>
                <w:szCs w:val="16"/>
                <w:color w:val="auto"/>
              </w:rPr>
              <w:t>Report of Independent Registered Public Accounting Firm - Deloitte &amp; Touche LLP (PCAOB ID No. 34)</w:t>
            </w:r>
          </w:p>
        </w:tc>
        <w:tc>
          <w:tcPr>
            <w:tcW w:w="194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65</w:t>
            </w:r>
          </w:p>
        </w:tc>
        <w:tc>
          <w:tcPr>
            <w:tcW w:w="20" w:type="dxa"/>
            <w:vAlign w:val="bottom"/>
          </w:tcPr>
          <w:p>
            <w:pPr>
              <w:spacing w:after="0"/>
              <w:rPr>
                <w:sz w:val="15"/>
                <w:szCs w:val="15"/>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Income</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68</w:t>
            </w:r>
          </w:p>
        </w:tc>
        <w:tc>
          <w:tcPr>
            <w:tcW w:w="20" w:type="dxa"/>
            <w:vAlign w:val="bottom"/>
          </w:tcPr>
          <w:p>
            <w:pPr>
              <w:spacing w:after="0"/>
              <w:rPr>
                <w:sz w:val="20"/>
                <w:szCs w:val="20"/>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Comprehensive Income (Loss)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69</w:t>
            </w:r>
          </w:p>
        </w:tc>
        <w:tc>
          <w:tcPr>
            <w:tcW w:w="20" w:type="dxa"/>
            <w:vAlign w:val="bottom"/>
          </w:tcPr>
          <w:p>
            <w:pPr>
              <w:spacing w:after="0"/>
              <w:rPr>
                <w:sz w:val="20"/>
                <w:szCs w:val="20"/>
                <w:color w:val="auto"/>
              </w:rPr>
            </w:pPr>
          </w:p>
        </w:tc>
      </w:tr>
      <w:tr>
        <w:trPr>
          <w:trHeight w:val="236"/>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Financial Position</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70</w:t>
            </w:r>
          </w:p>
        </w:tc>
        <w:tc>
          <w:tcPr>
            <w:tcW w:w="20" w:type="dxa"/>
            <w:vAlign w:val="bottom"/>
          </w:tcPr>
          <w:p>
            <w:pPr>
              <w:spacing w:after="0"/>
              <w:rPr>
                <w:sz w:val="20"/>
                <w:szCs w:val="20"/>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Changes in Equity</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71</w:t>
            </w:r>
          </w:p>
        </w:tc>
        <w:tc>
          <w:tcPr>
            <w:tcW w:w="20" w:type="dxa"/>
            <w:vAlign w:val="bottom"/>
          </w:tcPr>
          <w:p>
            <w:pPr>
              <w:spacing w:after="0"/>
              <w:rPr>
                <w:sz w:val="20"/>
                <w:szCs w:val="20"/>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Consolidated and Combined Statements of Cash Flows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72</w:t>
            </w:r>
          </w:p>
        </w:tc>
        <w:tc>
          <w:tcPr>
            <w:tcW w:w="20" w:type="dxa"/>
            <w:vAlign w:val="bottom"/>
          </w:tcPr>
          <w:p>
            <w:pPr>
              <w:spacing w:after="0"/>
              <w:rPr>
                <w:sz w:val="20"/>
                <w:szCs w:val="20"/>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Notes to the Consolidated and Combined Financial Statements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73</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73</w:t>
            </w:r>
          </w:p>
        </w:tc>
        <w:tc>
          <w:tcPr>
            <w:tcW w:w="20" w:type="dxa"/>
            <w:vAlign w:val="bottom"/>
          </w:tcPr>
          <w:p>
            <w:pPr>
              <w:spacing w:after="0"/>
              <w:rPr>
                <w:sz w:val="20"/>
                <w:szCs w:val="20"/>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2. Summary of Significant Accounting Policies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74</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3. Revenue Recognition</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83</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4. Segment and Geographical Information</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84</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5. Receivables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86</w:t>
            </w:r>
          </w:p>
        </w:tc>
        <w:tc>
          <w:tcPr>
            <w:tcW w:w="20" w:type="dxa"/>
            <w:vAlign w:val="bottom"/>
          </w:tcPr>
          <w:p>
            <w:pPr>
              <w:spacing w:after="0"/>
              <w:rPr>
                <w:sz w:val="20"/>
                <w:szCs w:val="20"/>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6. Financing Receivables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87</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7. Leases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87</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8. Acquisitions, Goodwill, and Other Intangible Assets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89</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9. Borrowings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90</w:t>
            </w:r>
          </w:p>
        </w:tc>
        <w:tc>
          <w:tcPr>
            <w:tcW w:w="20" w:type="dxa"/>
            <w:vAlign w:val="bottom"/>
          </w:tcPr>
          <w:p>
            <w:pPr>
              <w:spacing w:after="0"/>
              <w:rPr>
                <w:sz w:val="20"/>
                <w:szCs w:val="20"/>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10. Postretirement Benefit Plans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91</w:t>
            </w:r>
          </w:p>
        </w:tc>
        <w:tc>
          <w:tcPr>
            <w:tcW w:w="20" w:type="dxa"/>
            <w:vAlign w:val="bottom"/>
          </w:tcPr>
          <w:p>
            <w:pPr>
              <w:spacing w:after="0"/>
              <w:rPr>
                <w:sz w:val="20"/>
                <w:szCs w:val="20"/>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11. Income Taxes</w:t>
            </w:r>
          </w:p>
        </w:tc>
        <w:tc>
          <w:tcPr>
            <w:tcW w:w="194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98</w:t>
            </w:r>
          </w:p>
        </w:tc>
        <w:tc>
          <w:tcPr>
            <w:tcW w:w="20" w:type="dxa"/>
            <w:vAlign w:val="bottom"/>
          </w:tcPr>
          <w:p>
            <w:pPr>
              <w:spacing w:after="0"/>
              <w:rPr>
                <w:sz w:val="20"/>
                <w:szCs w:val="20"/>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12. Accumulated Other Comprehensive (Income) Loss – Net</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102</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13. Financial Instruments and Fair Value Measurements</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102</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14. Commitments, Guarantees, Product Warranties, and Other Loss Contingencies</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106</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15. Restructuring and Other Activities – Net</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108</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16. Share-Based Compensation</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109</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17. Earnings Per Share</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111</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18. Supplemental Financial Information</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111</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19. Related Parties</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114</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100" w:type="dxa"/>
            <w:vAlign w:val="bottom"/>
          </w:tcPr>
          <w:p>
            <w:pPr>
              <w:ind w:left="240"/>
              <w:spacing w:after="0"/>
              <w:rPr>
                <w:sz w:val="20"/>
                <w:szCs w:val="20"/>
                <w:color w:val="auto"/>
              </w:rPr>
            </w:pPr>
            <w:r>
              <w:rPr>
                <w:rFonts w:ascii="Arial" w:cs="Arial" w:eastAsia="Arial" w:hAnsi="Arial"/>
                <w:sz w:val="16"/>
                <w:szCs w:val="16"/>
                <w:color w:val="auto"/>
              </w:rPr>
              <w:t>Note 20. Discontinued Operations</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116</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100" w:type="dxa"/>
            <w:vAlign w:val="bottom"/>
          </w:tcPr>
          <w:p>
            <w:pPr>
              <w:ind w:left="240"/>
              <w:spacing w:after="0"/>
              <w:rPr>
                <w:sz w:val="20"/>
                <w:szCs w:val="20"/>
                <w:color w:val="auto"/>
              </w:rPr>
            </w:pPr>
            <w:r>
              <w:rPr>
                <w:rFonts w:ascii="Arial" w:cs="Arial" w:eastAsia="Arial" w:hAnsi="Arial"/>
                <w:sz w:val="16"/>
                <w:szCs w:val="16"/>
                <w:color w:val="auto"/>
              </w:rPr>
              <w:t>Note 21. Subsequent Events</w:t>
            </w:r>
          </w:p>
        </w:tc>
        <w:tc>
          <w:tcPr>
            <w:tcW w:w="2120" w:type="dxa"/>
            <w:vAlign w:val="bottom"/>
            <w:gridSpan w:val="2"/>
          </w:tcPr>
          <w:p>
            <w:pPr>
              <w:jc w:val="right"/>
              <w:spacing w:after="0"/>
              <w:rPr>
                <w:sz w:val="20"/>
                <w:szCs w:val="20"/>
                <w:color w:val="auto"/>
              </w:rPr>
            </w:pPr>
            <w:r>
              <w:rPr>
                <w:rFonts w:ascii="Arial" w:cs="Arial" w:eastAsia="Arial" w:hAnsi="Arial"/>
                <w:sz w:val="16"/>
                <w:szCs w:val="16"/>
                <w:color w:val="0E32E1"/>
              </w:rPr>
              <w:t>116</w:t>
            </w:r>
          </w:p>
        </w:tc>
        <w:tc>
          <w:tcPr>
            <w:tcW w:w="20" w:type="dxa"/>
            <w:vAlign w:val="bottom"/>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194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GE HealthCare Technologies, Inc.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have audited the accompanying consolidated and combined statements of financial position of GE HealthCare Technologies, Inc. (the “Company”) as of December 31, 2023 and 2022, the related consolidated and combined statements of income, comprehensive income (loss),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0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6, 2024, expressed an unqualified opinion on the Company’s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24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Income Taxes – Valuation Allowance on Deferred Tax Assets </w:t>
      </w:r>
      <w:r>
        <w:rPr>
          <w:rFonts w:ascii="Arial" w:cs="Arial" w:eastAsia="Arial" w:hAnsi="Arial"/>
          <w:sz w:val="16"/>
          <w:szCs w:val="16"/>
          <w:b w:val="1"/>
          <w:bCs w:val="1"/>
          <w:i w:val="1"/>
          <w:iCs w:val="1"/>
          <w:color w:val="auto"/>
        </w:rPr>
        <w:t>— Refer to Notes 2 and 11 to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4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Company recognizes deferred income taxes for tax attributes and for differences between the financial statement and tax basis of assets and liabilities at enacted statutory tax rates in effect for the years in which the deferred tax liability or asset is expected to be settled or realized. A valuation allowance is provided to offset deferred tax assets if, based upon the available evidence, it is more likely than not that some or all of the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w:t>
      </w:r>
    </w:p>
    <w:p>
      <w:pPr>
        <w:spacing w:after="0" w:line="20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Company’s determination of the valuation allowance for certain deferred tax assets involves judgments and estimates, including the projected timing and pattern of future reversals of existing taxable temporary differences and the projection of future sources of taxable income. Auditing management’s projected timing and pattern of future reversals of existing taxable temporary differences and the projection of future sources of taxable income, which affect the recorded valuation allowances for certain deferred tax assets, required a high degree of auditor judgment and an increased extent of effort, including the need to involve our income tax specialists.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46" w:lineRule="exact"/>
        <w:rPr>
          <w:sz w:val="20"/>
          <w:szCs w:val="20"/>
          <w:color w:val="auto"/>
        </w:rPr>
      </w:pPr>
    </w:p>
    <w:p>
      <w:pPr>
        <w:ind w:right="540"/>
        <w:spacing w:after="0" w:line="265" w:lineRule="auto"/>
        <w:rPr>
          <w:sz w:val="20"/>
          <w:szCs w:val="20"/>
          <w:color w:val="auto"/>
        </w:rPr>
      </w:pPr>
      <w:r>
        <w:rPr>
          <w:rFonts w:ascii="Arial" w:cs="Arial" w:eastAsia="Arial" w:hAnsi="Arial"/>
          <w:sz w:val="16"/>
          <w:szCs w:val="16"/>
          <w:color w:val="auto"/>
        </w:rPr>
        <w:t>With the assistance of our income tax specialists, our audit procedures related to the determination that it is more likely than not that sufficient taxable income will be generated in the future to realize certain net deferred tax assets included the following, among others:</w:t>
      </w:r>
    </w:p>
    <w:p>
      <w:pPr>
        <w:spacing w:after="0" w:line="1"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considered relevant tax laws and regulations in evaluating the appropriateness of management’s estimates of future sources of taxable income.</w:t>
      </w:r>
    </w:p>
    <w:p>
      <w:pPr>
        <w:spacing w:after="0" w:line="14" w:lineRule="exact"/>
        <w:rPr>
          <w:rFonts w:ascii="Arial" w:cs="Arial" w:eastAsia="Arial" w:hAnsi="Arial"/>
          <w:sz w:val="16"/>
          <w:szCs w:val="16"/>
          <w:color w:val="auto"/>
        </w:rPr>
      </w:pPr>
    </w:p>
    <w:p>
      <w:pPr>
        <w:ind w:left="660" w:right="60" w:hanging="328"/>
        <w:spacing w:after="0" w:line="249"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evaluated the reasonableness of management’s estimates of future sources of taxable income by comparing the estimates to historical sources of taxable income or loss.</w:t>
      </w: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evaluated management’s projected timing and projected pattern of the reversals of existing taxable temporary differences.</w:t>
      </w:r>
    </w:p>
    <w:p>
      <w:pPr>
        <w:spacing w:after="0" w:line="14" w:lineRule="exact"/>
        <w:rPr>
          <w:rFonts w:ascii="Arial" w:cs="Arial" w:eastAsia="Arial" w:hAnsi="Arial"/>
          <w:sz w:val="16"/>
          <w:szCs w:val="16"/>
          <w:color w:val="auto"/>
        </w:rPr>
      </w:pPr>
    </w:p>
    <w:p>
      <w:pPr>
        <w:ind w:left="660" w:right="100" w:hanging="328"/>
        <w:spacing w:after="0" w:line="27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evaluated whether the estimated future sources of taxable income were of the appropriate character to utilize the deferred tax assets under tax law.</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6, 2024</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shareholders and the Board of Directors of GE HealthCare Technologies Inc.</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 xml:space="preserve">We have audited the internal control over financial reporting of GE HealthCare Technologies Inc. (the “Company”)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13"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2023, of the Company and our report dated February 6, 2024, expressed an unqualified opinion on those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66" w:name="page67"/>
    <w:bookmarkEnd w:id="66"/>
    <w:p>
      <w:pPr>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7" w:right="6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2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180" w:type="dxa"/>
            <w:vAlign w:val="bottom"/>
            <w:tcBorders>
              <w:bottom w:val="single" w:sz="8" w:color="6022A6"/>
            </w:tcBorders>
            <w:vMerge w:val="continue"/>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30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2021</w:t>
            </w:r>
          </w:p>
        </w:tc>
        <w:tc>
          <w:tcPr>
            <w:tcW w:w="0" w:type="dxa"/>
            <w:vAlign w:val="bottom"/>
          </w:tcPr>
          <w:p>
            <w:pPr>
              <w:spacing w:after="0"/>
              <w:rPr>
                <w:sz w:val="1"/>
                <w:szCs w:val="1"/>
                <w:color w:val="auto"/>
              </w:rPr>
            </w:pPr>
          </w:p>
        </w:tc>
      </w:tr>
      <w:tr>
        <w:trPr>
          <w:trHeight w:val="233"/>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13,127</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12,044</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11,165</w:t>
            </w:r>
          </w:p>
        </w:tc>
        <w:tc>
          <w:tcPr>
            <w:tcW w:w="0" w:type="dxa"/>
            <w:vAlign w:val="bottom"/>
          </w:tcPr>
          <w:p>
            <w:pPr>
              <w:spacing w:after="0"/>
              <w:rPr>
                <w:sz w:val="1"/>
                <w:szCs w:val="1"/>
                <w:color w:val="auto"/>
              </w:rPr>
            </w:pPr>
          </w:p>
        </w:tc>
      </w:tr>
      <w:tr>
        <w:trPr>
          <w:trHeight w:val="227"/>
        </w:trPr>
        <w:tc>
          <w:tcPr>
            <w:tcW w:w="718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6,425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6,420</w:t>
            </w:r>
          </w:p>
        </w:tc>
        <w:tc>
          <w:tcPr>
            <w:tcW w:w="0" w:type="dxa"/>
            <w:vAlign w:val="bottom"/>
          </w:tcPr>
          <w:p>
            <w:pPr>
              <w:spacing w:after="0"/>
              <w:rPr>
                <w:sz w:val="1"/>
                <w:szCs w:val="1"/>
                <w:color w:val="auto"/>
              </w:rPr>
            </w:pPr>
          </w:p>
        </w:tc>
      </w:tr>
      <w:tr>
        <w:trPr>
          <w:trHeight w:val="29"/>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18,341</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17,585</w:t>
            </w:r>
          </w:p>
        </w:tc>
        <w:tc>
          <w:tcPr>
            <w:tcW w:w="0" w:type="dxa"/>
            <w:vAlign w:val="bottom"/>
          </w:tcPr>
          <w:p>
            <w:pPr>
              <w:spacing w:after="0"/>
              <w:rPr>
                <w:sz w:val="1"/>
                <w:szCs w:val="1"/>
                <w:color w:val="auto"/>
              </w:rPr>
            </w:pPr>
          </w:p>
        </w:tc>
      </w:tr>
      <w:tr>
        <w:trPr>
          <w:trHeight w:val="221"/>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8,465</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7,975</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7,196</w:t>
            </w:r>
          </w:p>
        </w:tc>
        <w:tc>
          <w:tcPr>
            <w:tcW w:w="0" w:type="dxa"/>
            <w:vAlign w:val="bottom"/>
          </w:tcPr>
          <w:p>
            <w:pPr>
              <w:spacing w:after="0"/>
              <w:rPr>
                <w:sz w:val="1"/>
                <w:szCs w:val="1"/>
                <w:color w:val="auto"/>
              </w:rPr>
            </w:pPr>
          </w:p>
        </w:tc>
      </w:tr>
      <w:tr>
        <w:trPr>
          <w:trHeight w:val="29"/>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3,165</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3,187</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3,215</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7,922</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7,174</w:t>
            </w:r>
          </w:p>
        </w:tc>
        <w:tc>
          <w:tcPr>
            <w:tcW w:w="0" w:type="dxa"/>
            <w:vAlign w:val="bottom"/>
          </w:tcPr>
          <w:p>
            <w:pPr>
              <w:spacing w:after="0"/>
              <w:rPr>
                <w:sz w:val="1"/>
                <w:szCs w:val="1"/>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4,282</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3,631</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228"/>
        </w:trPr>
        <w:tc>
          <w:tcPr>
            <w:tcW w:w="71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9"/>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5,487</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4,657</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4,379</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2,435</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2,522</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2,795</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8"/>
        </w:trPr>
        <w:tc>
          <w:tcPr>
            <w:tcW w:w="718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9"/>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2,875</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2,275</w:t>
            </w:r>
          </w:p>
        </w:tc>
        <w:tc>
          <w:tcPr>
            <w:tcW w:w="0" w:type="dxa"/>
            <w:vAlign w:val="bottom"/>
          </w:tcPr>
          <w:p>
            <w:pPr>
              <w:spacing w:after="0"/>
              <w:rPr>
                <w:sz w:val="1"/>
                <w:szCs w:val="1"/>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1,614</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2,293</w:t>
            </w:r>
          </w:p>
        </w:tc>
        <w:tc>
          <w:tcPr>
            <w:tcW w:w="0" w:type="dxa"/>
            <w:vAlign w:val="bottom"/>
          </w:tcPr>
          <w:p>
            <w:pPr>
              <w:spacing w:after="0"/>
              <w:rPr>
                <w:sz w:val="1"/>
                <w:szCs w:val="1"/>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1,568</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c>
          <w:tcPr>
            <w:tcW w:w="0" w:type="dxa"/>
            <w:vAlign w:val="bottom"/>
          </w:tcPr>
          <w:p>
            <w:pPr>
              <w:spacing w:after="0"/>
              <w:rPr>
                <w:sz w:val="1"/>
                <w:szCs w:val="1"/>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1,385</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c>
          <w:tcPr>
            <w:tcW w:w="0" w:type="dxa"/>
            <w:vAlign w:val="bottom"/>
          </w:tcPr>
          <w:p>
            <w:pPr>
              <w:spacing w:after="0"/>
              <w:rPr>
                <w:sz w:val="1"/>
                <w:szCs w:val="1"/>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18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2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02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0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Earnings per share from continuing operations attributable to GE HealthCare common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28"/>
        </w:trPr>
        <w:tc>
          <w:tcPr>
            <w:tcW w:w="718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9"/>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Earnings per share attributable to GE HealthCare common stockholders:</w:t>
            </w:r>
          </w:p>
        </w:tc>
        <w:tc>
          <w:tcPr>
            <w:tcW w:w="30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0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9"/>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8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3.03</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4.22</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26"/>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18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28"/>
        </w:trPr>
        <w:tc>
          <w:tcPr>
            <w:tcW w:w="718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Comprehensive Income (Loss)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940" w:type="dxa"/>
            <w:vAlign w:val="bottom"/>
            <w:gridSpan w:val="5"/>
          </w:tcPr>
          <w:p>
            <w:pPr>
              <w:jc w:val="right"/>
              <w:ind w:right="75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6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940" w:type="dxa"/>
            <w:vAlign w:val="bottom"/>
            <w:tcBorders>
              <w:bottom w:val="single" w:sz="8" w:color="6022A6"/>
            </w:tcBorders>
            <w:vMerge w:val="continue"/>
          </w:tcPr>
          <w:p>
            <w:pPr>
              <w:spacing w:after="0"/>
              <w:rPr>
                <w:sz w:val="19"/>
                <w:szCs w:val="19"/>
                <w:color w:val="auto"/>
              </w:rPr>
            </w:pPr>
          </w:p>
        </w:tc>
        <w:tc>
          <w:tcPr>
            <w:tcW w:w="320" w:type="dxa"/>
            <w:vAlign w:val="bottom"/>
            <w:tcBorders>
              <w:bottom w:val="single" w:sz="8" w:color="6022A6"/>
            </w:tcBorders>
          </w:tcPr>
          <w:p>
            <w:pPr>
              <w:spacing w:after="0"/>
              <w:rPr>
                <w:sz w:val="19"/>
                <w:szCs w:val="19"/>
                <w:color w:val="auto"/>
              </w:rPr>
            </w:pPr>
          </w:p>
        </w:tc>
        <w:tc>
          <w:tcPr>
            <w:tcW w:w="114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2023</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2021</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1,916</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2,247</w:t>
            </w:r>
          </w:p>
        </w:tc>
        <w:tc>
          <w:tcPr>
            <w:tcW w:w="0" w:type="dxa"/>
            <w:vAlign w:val="bottom"/>
          </w:tcPr>
          <w:p>
            <w:pPr>
              <w:spacing w:after="0"/>
              <w:rPr>
                <w:sz w:val="1"/>
                <w:szCs w:val="1"/>
                <w:color w:val="auto"/>
              </w:rPr>
            </w:pPr>
          </w:p>
        </w:tc>
      </w:tr>
      <w:tr>
        <w:trPr>
          <w:trHeight w:val="227"/>
        </w:trPr>
        <w:tc>
          <w:tcPr>
            <w:tcW w:w="694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1,614</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2,293</w:t>
            </w:r>
          </w:p>
        </w:tc>
        <w:tc>
          <w:tcPr>
            <w:tcW w:w="0" w:type="dxa"/>
            <w:vAlign w:val="bottom"/>
          </w:tcPr>
          <w:p>
            <w:pPr>
              <w:spacing w:after="0"/>
              <w:rPr>
                <w:sz w:val="1"/>
                <w:szCs w:val="1"/>
                <w:color w:val="auto"/>
              </w:rPr>
            </w:pPr>
          </w:p>
        </w:tc>
      </w:tr>
      <w:tr>
        <w:trPr>
          <w:trHeight w:val="220"/>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(878)</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27"/>
        </w:trPr>
        <w:tc>
          <w:tcPr>
            <w:tcW w:w="6940" w:type="dxa"/>
            <w:vAlign w:val="bottom"/>
          </w:tcPr>
          <w:p>
            <w:pPr>
              <w:ind w:left="20"/>
              <w:spacing w:after="0"/>
              <w:rPr>
                <w:sz w:val="20"/>
                <w:szCs w:val="20"/>
                <w:color w:val="auto"/>
              </w:rPr>
            </w:pPr>
            <w:r>
              <w:rPr>
                <w:rFonts w:ascii="Arial" w:cs="Arial" w:eastAsia="Arial" w:hAnsi="Arial"/>
                <w:sz w:val="16"/>
                <w:szCs w:val="16"/>
                <w:color w:val="auto"/>
              </w:rPr>
              <w:t>Benefit plans – net of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9"/>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1"/>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1,124</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2,095</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755</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1,073</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2,049</w:t>
            </w:r>
          </w:p>
        </w:tc>
        <w:tc>
          <w:tcPr>
            <w:tcW w:w="0" w:type="dxa"/>
            <w:vAlign w:val="bottom"/>
          </w:tcPr>
          <w:p>
            <w:pPr>
              <w:spacing w:after="0"/>
              <w:rPr>
                <w:sz w:val="1"/>
                <w:szCs w:val="1"/>
                <w:color w:val="auto"/>
              </w:rPr>
            </w:pPr>
          </w:p>
        </w:tc>
      </w:tr>
      <w:tr>
        <w:trPr>
          <w:trHeight w:val="20"/>
        </w:trPr>
        <w:tc>
          <w:tcPr>
            <w:tcW w:w="6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Financial Position</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3"/>
          </w:tcPr>
          <w:p>
            <w:pPr>
              <w:jc w:val="right"/>
              <w:ind w:right="141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0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December 31, 2023</w:t>
            </w: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454545"/>
              </w:rPr>
              <w:t>December 31, 2022</w:t>
            </w:r>
          </w:p>
        </w:tc>
        <w:tc>
          <w:tcPr>
            <w:tcW w:w="0" w:type="dxa"/>
            <w:vAlign w:val="bottom"/>
          </w:tcPr>
          <w:p>
            <w:pPr>
              <w:spacing w:after="0"/>
              <w:rPr>
                <w:sz w:val="1"/>
                <w:szCs w:val="1"/>
                <w:color w:val="auto"/>
              </w:rPr>
            </w:pPr>
          </w:p>
        </w:tc>
      </w:tr>
      <w:tr>
        <w:trPr>
          <w:trHeight w:val="21"/>
        </w:trPr>
        <w:tc>
          <w:tcPr>
            <w:tcW w:w="78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6"/>
                <w:szCs w:val="16"/>
                <w:color w:val="auto"/>
              </w:rPr>
              <w:t>Receivables – net of allowances of $98 and $91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3,525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Due from related parties</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9"/>
        </w:trPr>
        <w:tc>
          <w:tcPr>
            <w:tcW w:w="7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9,410</w:t>
            </w:r>
          </w:p>
        </w:tc>
        <w:tc>
          <w:tcPr>
            <w:tcW w:w="100" w:type="dxa"/>
            <w:vAlign w:val="bottom"/>
            <w:tcBorders>
              <w:bottom w:val="single" w:sz="8" w:color="E4E4E4"/>
            </w:tcBorders>
            <w:shd w:val="clear" w:color="auto" w:fill="E4E4E4"/>
          </w:tcPr>
          <w:p>
            <w:pPr>
              <w:spacing w:after="0"/>
              <w:rPr>
                <w:sz w:val="21"/>
                <w:szCs w:val="21"/>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8,318</w:t>
            </w:r>
          </w:p>
        </w:tc>
        <w:tc>
          <w:tcPr>
            <w:tcW w:w="0" w:type="dxa"/>
            <w:vAlign w:val="bottom"/>
          </w:tcPr>
          <w:p>
            <w:pPr>
              <w:spacing w:after="0"/>
              <w:rPr>
                <w:sz w:val="1"/>
                <w:szCs w:val="1"/>
                <w:color w:val="auto"/>
              </w:rPr>
            </w:pPr>
          </w:p>
        </w:tc>
      </w:tr>
      <w:tr>
        <w:trPr>
          <w:trHeight w:val="221"/>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12,936</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Arial" w:cs="Arial" w:eastAsia="Arial" w:hAnsi="Arial"/>
                <w:sz w:val="16"/>
                <w:szCs w:val="16"/>
                <w:color w:val="auto"/>
              </w:rPr>
              <w:t>All other assets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9"/>
        </w:trPr>
        <w:tc>
          <w:tcPr>
            <w:tcW w:w="7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27,539</w:t>
            </w:r>
          </w:p>
        </w:tc>
        <w:tc>
          <w:tcPr>
            <w:tcW w:w="0" w:type="dxa"/>
            <w:vAlign w:val="bottom"/>
          </w:tcPr>
          <w:p>
            <w:pPr>
              <w:spacing w:after="0"/>
              <w:rPr>
                <w:sz w:val="1"/>
                <w:szCs w:val="1"/>
                <w:color w:val="auto"/>
              </w:rPr>
            </w:pPr>
          </w:p>
        </w:tc>
      </w:tr>
      <w:tr>
        <w:trPr>
          <w:trHeight w:val="221"/>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All other current liabilities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9"/>
        </w:trPr>
        <w:tc>
          <w:tcPr>
            <w:tcW w:w="7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8,981</w:t>
            </w:r>
          </w:p>
        </w:tc>
        <w:tc>
          <w:tcPr>
            <w:tcW w:w="100" w:type="dxa"/>
            <w:vAlign w:val="bottom"/>
            <w:tcBorders>
              <w:bottom w:val="single" w:sz="8" w:color="E4E4E4"/>
            </w:tcBorders>
            <w:shd w:val="clear" w:color="auto" w:fill="E4E4E4"/>
          </w:tcPr>
          <w:p>
            <w:pPr>
              <w:spacing w:after="0"/>
              <w:rPr>
                <w:sz w:val="21"/>
                <w:szCs w:val="21"/>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7,191</w:t>
            </w:r>
          </w:p>
        </w:tc>
        <w:tc>
          <w:tcPr>
            <w:tcW w:w="0" w:type="dxa"/>
            <w:vAlign w:val="bottom"/>
          </w:tcPr>
          <w:p>
            <w:pPr>
              <w:spacing w:after="0"/>
              <w:rPr>
                <w:sz w:val="1"/>
                <w:szCs w:val="1"/>
                <w:color w:val="auto"/>
              </w:rPr>
            </w:pPr>
          </w:p>
        </w:tc>
      </w:tr>
      <w:tr>
        <w:trPr>
          <w:trHeight w:val="221"/>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Long-term borrowings</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8,436</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8,234</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Compensation and benefits</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5,782</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liabilities</w:t>
            </w:r>
          </w:p>
        </w:tc>
        <w:tc>
          <w:tcPr>
            <w:tcW w:w="10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25,144</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17,947</w:t>
            </w:r>
          </w:p>
        </w:tc>
        <w:tc>
          <w:tcPr>
            <w:tcW w:w="0" w:type="dxa"/>
            <w:vAlign w:val="bottom"/>
          </w:tcPr>
          <w:p>
            <w:pPr>
              <w:spacing w:after="0"/>
              <w:rPr>
                <w:sz w:val="1"/>
                <w:szCs w:val="1"/>
                <w:color w:val="auto"/>
              </w:rPr>
            </w:pPr>
          </w:p>
        </w:tc>
      </w:tr>
      <w:tr>
        <w:trPr>
          <w:trHeight w:val="21"/>
        </w:trPr>
        <w:tc>
          <w:tcPr>
            <w:tcW w:w="7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100" w:type="dxa"/>
            <w:vAlign w:val="bottom"/>
            <w:tcBorders>
              <w:bottom w:val="single" w:sz="8" w:color="E4E4E4"/>
            </w:tcBorders>
            <w:shd w:val="clear" w:color="auto" w:fill="E4E4E4"/>
          </w:tcPr>
          <w:p>
            <w:pPr>
              <w:spacing w:after="0"/>
              <w:rPr>
                <w:sz w:val="21"/>
                <w:szCs w:val="21"/>
                <w:color w:val="auto"/>
              </w:rPr>
            </w:pPr>
          </w:p>
        </w:tc>
        <w:tc>
          <w:tcPr>
            <w:tcW w:w="158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160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w:t>
            </w:r>
          </w:p>
        </w:tc>
        <w:tc>
          <w:tcPr>
            <w:tcW w:w="0" w:type="dxa"/>
            <w:vAlign w:val="bottom"/>
          </w:tcPr>
          <w:p>
            <w:pPr>
              <w:spacing w:after="0"/>
              <w:rPr>
                <w:sz w:val="1"/>
                <w:szCs w:val="1"/>
                <w:color w:val="auto"/>
              </w:rPr>
            </w:pPr>
          </w:p>
        </w:tc>
      </w:tr>
      <w:tr>
        <w:trPr>
          <w:trHeight w:val="21"/>
        </w:trPr>
        <w:tc>
          <w:tcPr>
            <w:tcW w:w="7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E4E4E4"/>
          </w:tcPr>
          <w:p>
            <w:pPr>
              <w:ind w:left="20"/>
              <w:spacing w:after="0"/>
              <w:rPr>
                <w:sz w:val="20"/>
                <w:szCs w:val="20"/>
                <w:color w:val="auto"/>
              </w:rPr>
            </w:pPr>
            <w:r>
              <w:rPr>
                <w:rFonts w:ascii="Arial" w:cs="Arial" w:eastAsia="Arial" w:hAnsi="Arial"/>
                <w:sz w:val="16"/>
                <w:szCs w:val="16"/>
                <w:color w:val="auto"/>
              </w:rPr>
              <w:t>Common stock, par value $0.01 per share, 1,000,000,000 shares authorized, 455,342,290 shares issued</w:t>
            </w:r>
          </w:p>
        </w:tc>
        <w:tc>
          <w:tcPr>
            <w:tcW w:w="100" w:type="dxa"/>
            <w:vAlign w:val="bottom"/>
            <w:shd w:val="clear" w:color="auto" w:fill="E4E4E4"/>
          </w:tcPr>
          <w:p>
            <w:pPr>
              <w:spacing w:after="0"/>
              <w:rPr>
                <w:sz w:val="18"/>
                <w:szCs w:val="18"/>
                <w:color w:val="auto"/>
              </w:rPr>
            </w:pPr>
          </w:p>
        </w:tc>
        <w:tc>
          <w:tcPr>
            <w:tcW w:w="15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6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and outstanding as of December 31, 2023; 100 shares issued and outstanding as of December 31, 2022</w:t>
            </w:r>
          </w:p>
        </w:tc>
        <w:tc>
          <w:tcPr>
            <w:tcW w:w="100" w:type="dxa"/>
            <w:vAlign w:val="bottom"/>
            <w:tcBorders>
              <w:bottom w:val="single" w:sz="8" w:color="E4E4E4"/>
            </w:tcBorders>
            <w:shd w:val="clear" w:color="auto" w:fill="E4E4E4"/>
          </w:tcPr>
          <w:p>
            <w:pPr>
              <w:spacing w:after="0"/>
              <w:rPr>
                <w:sz w:val="19"/>
                <w:szCs w:val="19"/>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E4E4E4"/>
            </w:tcBorders>
            <w:shd w:val="clear" w:color="auto" w:fill="E4E4E4"/>
          </w:tcPr>
          <w:p>
            <w:pPr>
              <w:spacing w:after="0"/>
              <w:rPr>
                <w:sz w:val="19"/>
                <w:szCs w:val="19"/>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800" w:type="dxa"/>
            <w:vAlign w:val="bottom"/>
          </w:tcPr>
          <w:p>
            <w:pPr>
              <w:ind w:left="20"/>
              <w:spacing w:after="0"/>
              <w:rPr>
                <w:sz w:val="20"/>
                <w:szCs w:val="20"/>
                <w:color w:val="auto"/>
              </w:rPr>
            </w:pPr>
            <w:r>
              <w:rPr>
                <w:rFonts w:ascii="Arial" w:cs="Arial" w:eastAsia="Arial" w:hAnsi="Arial"/>
                <w:sz w:val="16"/>
                <w:szCs w:val="16"/>
                <w:color w:val="auto"/>
              </w:rPr>
              <w:t>Net parent investment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11,235</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other comprehensive income (loss) – net</w:t>
            </w:r>
          </w:p>
        </w:tc>
        <w:tc>
          <w:tcPr>
            <w:tcW w:w="10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7,133</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9,357</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Noncontrolling interests</w:t>
            </w:r>
          </w:p>
        </w:tc>
        <w:tc>
          <w:tcPr>
            <w:tcW w:w="100" w:type="dxa"/>
            <w:vAlign w:val="bottom"/>
            <w:tcBorders>
              <w:bottom w:val="single" w:sz="8" w:color="E4E4E4"/>
            </w:tcBorders>
            <w:shd w:val="clear" w:color="auto" w:fill="E4E4E4"/>
          </w:tcPr>
          <w:p>
            <w:pPr>
              <w:spacing w:after="0"/>
              <w:rPr>
                <w:sz w:val="22"/>
                <w:szCs w:val="22"/>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7,145</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7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27,539</w:t>
            </w:r>
          </w:p>
        </w:tc>
        <w:tc>
          <w:tcPr>
            <w:tcW w:w="0" w:type="dxa"/>
            <w:vAlign w:val="bottom"/>
          </w:tcPr>
          <w:p>
            <w:pPr>
              <w:spacing w:after="0"/>
              <w:rPr>
                <w:sz w:val="1"/>
                <w:szCs w:val="1"/>
                <w:color w:val="auto"/>
              </w:rPr>
            </w:pPr>
          </w:p>
        </w:tc>
      </w:tr>
      <w:tr>
        <w:trPr>
          <w:trHeight w:val="20"/>
        </w:trPr>
        <w:tc>
          <w:tcPr>
            <w:tcW w:w="7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ectPr>
          <w:pgSz w:w="11900" w:h="16838" w:orient="portrait"/>
          <w:cols w:equalWidth="0" w:num="1">
            <w:col w:w="11180"/>
          </w:cols>
          <w:pgMar w:left="360" w:top="11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92" w:right="3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23"/>
        </w:trPr>
        <w:tc>
          <w:tcPr>
            <w:tcW w:w="5200" w:type="dxa"/>
            <w:vAlign w:val="bottom"/>
            <w:gridSpan w:val="4"/>
          </w:tcPr>
          <w:p>
            <w:pPr>
              <w:ind w:left="20"/>
              <w:spacing w:after="0"/>
              <w:rPr>
                <w:sz w:val="20"/>
                <w:szCs w:val="20"/>
                <w:color w:val="auto"/>
              </w:rPr>
            </w:pPr>
            <w:r>
              <w:rPr>
                <w:rFonts w:ascii="Arial" w:cs="Arial" w:eastAsia="Arial" w:hAnsi="Arial"/>
                <w:sz w:val="16"/>
                <w:szCs w:val="16"/>
                <w:b w:val="1"/>
                <w:bCs w:val="1"/>
                <w:color w:val="auto"/>
              </w:rPr>
              <w:t>Consolidated and Combined Statements of Changes in Equity</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4"/>
                <w:szCs w:val="24"/>
                <w:color w:val="auto"/>
              </w:rPr>
            </w:pPr>
          </w:p>
        </w:tc>
        <w:tc>
          <w:tcPr>
            <w:tcW w:w="2140" w:type="dxa"/>
            <w:vAlign w:val="bottom"/>
            <w:gridSpan w:val="3"/>
          </w:tcPr>
          <w:p>
            <w:pPr>
              <w:ind w:left="400"/>
              <w:spacing w:after="0"/>
              <w:rPr>
                <w:sz w:val="20"/>
                <w:szCs w:val="20"/>
                <w:color w:val="auto"/>
              </w:rPr>
            </w:pPr>
            <w:r>
              <w:rPr>
                <w:rFonts w:ascii="Arial" w:cs="Arial" w:eastAsia="Arial" w:hAnsi="Arial"/>
                <w:sz w:val="16"/>
                <w:szCs w:val="16"/>
                <w:b w:val="1"/>
                <w:bCs w:val="1"/>
                <w:color w:val="454545"/>
              </w:rPr>
              <w:t>Common stock</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220" w:type="dxa"/>
            <w:vAlign w:val="bottom"/>
          </w:tcPr>
          <w:p>
            <w:pPr>
              <w:spacing w:after="0" w:line="20" w:lineRule="exact"/>
              <w:rPr>
                <w:sz w:val="1"/>
                <w:szCs w:val="1"/>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454545"/>
              </w:rPr>
              <w:t>Common</w:t>
            </w:r>
          </w:p>
        </w:tc>
        <w:tc>
          <w:tcPr>
            <w:tcW w:w="8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454545"/>
              </w:rPr>
              <w:t>Retained</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Net parent</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80" w:type="dxa"/>
            <w:vAlign w:val="bottom"/>
          </w:tcPr>
          <w:p>
            <w:pPr>
              <w:spacing w:after="0"/>
              <w:rPr>
                <w:sz w:val="16"/>
                <w:szCs w:val="16"/>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12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shares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454545"/>
                <w:w w:val="99"/>
              </w:rPr>
              <w:t>paid-in</w:t>
            </w:r>
          </w:p>
        </w:tc>
        <w:tc>
          <w:tcPr>
            <w:tcW w:w="8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6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12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rPr>
              <w:t>outstanding</w:t>
            </w:r>
          </w:p>
        </w:tc>
        <w:tc>
          <w:tcPr>
            <w:tcW w:w="1020" w:type="dxa"/>
            <w:vAlign w:val="bottom"/>
            <w:tcBorders>
              <w:bottom w:val="single" w:sz="8" w:color="6400A0"/>
            </w:tcBorders>
            <w:gridSpan w:val="2"/>
          </w:tcPr>
          <w:p>
            <w:pPr>
              <w:ind w:left="20"/>
              <w:spacing w:after="0"/>
              <w:rPr>
                <w:sz w:val="20"/>
                <w:szCs w:val="20"/>
                <w:color w:val="auto"/>
              </w:rPr>
            </w:pPr>
            <w:r>
              <w:rPr>
                <w:rFonts w:ascii="Arial" w:cs="Arial" w:eastAsia="Arial" w:hAnsi="Arial"/>
                <w:sz w:val="16"/>
                <w:szCs w:val="16"/>
                <w:b w:val="1"/>
                <w:bCs w:val="1"/>
                <w:color w:val="454545"/>
              </w:rPr>
              <w:t>Par value</w:t>
            </w:r>
          </w:p>
        </w:tc>
        <w:tc>
          <w:tcPr>
            <w:tcW w:w="78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rPr>
              <w:t>capital</w:t>
            </w:r>
          </w:p>
        </w:tc>
        <w:tc>
          <w:tcPr>
            <w:tcW w:w="820" w:type="dxa"/>
            <w:vAlign w:val="bottom"/>
            <w:tcBorders>
              <w:bottom w:val="single" w:sz="8" w:color="6400A0"/>
            </w:tcBorders>
            <w:gridSpan w:val="2"/>
          </w:tcPr>
          <w:p>
            <w:pPr>
              <w:ind w:left="80"/>
              <w:spacing w:after="0"/>
              <w:rPr>
                <w:sz w:val="20"/>
                <w:szCs w:val="20"/>
                <w:color w:val="auto"/>
              </w:rPr>
            </w:pPr>
            <w:r>
              <w:rPr>
                <w:rFonts w:ascii="Arial" w:cs="Arial" w:eastAsia="Arial" w:hAnsi="Arial"/>
                <w:sz w:val="16"/>
                <w:szCs w:val="16"/>
                <w:b w:val="1"/>
                <w:bCs w:val="1"/>
                <w:color w:val="454545"/>
              </w:rPr>
              <w:t>earnings</w:t>
            </w:r>
          </w:p>
        </w:tc>
        <w:tc>
          <w:tcPr>
            <w:tcW w:w="96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Borders>
              <w:bottom w:val="single" w:sz="8" w:color="6400A0"/>
            </w:tcBorders>
          </w:tcPr>
          <w:p>
            <w:pPr>
              <w:spacing w:after="0"/>
              <w:rPr>
                <w:sz w:val="20"/>
                <w:szCs w:val="20"/>
                <w:color w:val="auto"/>
              </w:rPr>
            </w:pPr>
          </w:p>
        </w:tc>
        <w:tc>
          <w:tcPr>
            <w:tcW w:w="116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220" w:type="dxa"/>
            <w:vAlign w:val="bottom"/>
            <w:tcBorders>
              <w:bottom w:val="single" w:sz="8" w:color="6400A0"/>
            </w:tcBorders>
          </w:tcPr>
          <w:p>
            <w:pPr>
              <w:spacing w:after="0"/>
              <w:rPr>
                <w:sz w:val="20"/>
                <w:szCs w:val="20"/>
                <w:color w:val="auto"/>
              </w:rPr>
            </w:pPr>
          </w:p>
        </w:tc>
        <w:tc>
          <w:tcPr>
            <w:tcW w:w="102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80" w:type="dxa"/>
            <w:vAlign w:val="bottom"/>
            <w:tcBorders>
              <w:bottom w:val="single" w:sz="8" w:color="6400A0"/>
            </w:tcBorders>
          </w:tcPr>
          <w:p>
            <w:pPr>
              <w:spacing w:after="0"/>
              <w:rPr>
                <w:sz w:val="20"/>
                <w:szCs w:val="20"/>
                <w:color w:val="auto"/>
              </w:rPr>
            </w:pPr>
          </w:p>
        </w:tc>
        <w:tc>
          <w:tcPr>
            <w:tcW w:w="720" w:type="dxa"/>
            <w:vAlign w:val="bottom"/>
            <w:tcBorders>
              <w:bottom w:val="single" w:sz="8" w:color="6400A0"/>
            </w:tcBorders>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0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2020</w:t>
            </w:r>
          </w:p>
        </w:tc>
        <w:tc>
          <w:tcPr>
            <w:tcW w:w="1120" w:type="dxa"/>
            <w:vAlign w:val="bottom"/>
            <w:shd w:val="clear" w:color="auto" w:fill="E4E4E4"/>
          </w:tcPr>
          <w:p>
            <w:pPr>
              <w:ind w:left="760"/>
              <w:spacing w:after="0"/>
              <w:rPr>
                <w:sz w:val="20"/>
                <w:szCs w:val="20"/>
                <w:color w:val="auto"/>
              </w:rPr>
            </w:pPr>
            <w:r>
              <w:rPr>
                <w:rFonts w:ascii="Arial" w:cs="Arial" w:eastAsia="Arial" w:hAnsi="Arial"/>
                <w:sz w:val="16"/>
                <w:szCs w:val="16"/>
                <w:b w:val="1"/>
                <w:bCs w:val="1"/>
                <w:color w:val="auto"/>
              </w:rPr>
              <w:t>— $</w:t>
            </w:r>
          </w:p>
        </w:tc>
        <w:tc>
          <w:tcPr>
            <w:tcW w:w="1020" w:type="dxa"/>
            <w:vAlign w:val="bottom"/>
            <w:gridSpan w:val="2"/>
            <w:shd w:val="clear" w:color="auto" w:fill="E4E4E4"/>
          </w:tcPr>
          <w:p>
            <w:pPr>
              <w:ind w:left="640"/>
              <w:spacing w:after="0"/>
              <w:rPr>
                <w:sz w:val="20"/>
                <w:szCs w:val="20"/>
                <w:color w:val="auto"/>
              </w:rPr>
            </w:pPr>
            <w:r>
              <w:rPr>
                <w:rFonts w:ascii="Arial" w:cs="Arial" w:eastAsia="Arial" w:hAnsi="Arial"/>
                <w:sz w:val="16"/>
                <w:szCs w:val="16"/>
                <w:b w:val="1"/>
                <w:bCs w:val="1"/>
                <w:color w:val="auto"/>
              </w:rPr>
              <w:t>— $</w:t>
            </w:r>
          </w:p>
        </w:tc>
        <w:tc>
          <w:tcPr>
            <w:tcW w:w="1140" w:type="dxa"/>
            <w:vAlign w:val="bottom"/>
            <w:gridSpan w:val="2"/>
            <w:shd w:val="clear" w:color="auto" w:fill="E4E4E4"/>
          </w:tcPr>
          <w:p>
            <w:pPr>
              <w:ind w:left="520"/>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   15,566</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(839)</w:t>
            </w:r>
          </w:p>
        </w:tc>
        <w:tc>
          <w:tcPr>
            <w:tcW w:w="22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14,751</w:t>
            </w:r>
          </w:p>
        </w:tc>
        <w:tc>
          <w:tcPr>
            <w:tcW w:w="0" w:type="dxa"/>
            <w:vAlign w:val="bottom"/>
          </w:tcPr>
          <w:p>
            <w:pPr>
              <w:spacing w:after="0"/>
              <w:rPr>
                <w:sz w:val="1"/>
                <w:szCs w:val="1"/>
                <w:color w:val="auto"/>
              </w:rPr>
            </w:pPr>
          </w:p>
        </w:tc>
      </w:tr>
      <w:tr>
        <w:trPr>
          <w:trHeight w:val="21"/>
        </w:trPr>
        <w:tc>
          <w:tcPr>
            <w:tcW w:w="3060" w:type="dxa"/>
            <w:vAlign w:val="bottom"/>
            <w:shd w:val="clear" w:color="auto" w:fill="E4E4E4"/>
          </w:tcPr>
          <w:p>
            <w:pPr>
              <w:spacing w:after="0" w:line="20" w:lineRule="exact"/>
              <w:rPr>
                <w:sz w:val="1"/>
                <w:szCs w:val="1"/>
                <w:color w:val="auto"/>
              </w:rPr>
            </w:pPr>
          </w:p>
        </w:tc>
        <w:tc>
          <w:tcPr>
            <w:tcW w:w="1120" w:type="dxa"/>
            <w:vAlign w:val="bottom"/>
            <w:shd w:val="clear" w:color="auto" w:fill="E4E4E4"/>
          </w:tcPr>
          <w:p>
            <w:pPr>
              <w:spacing w:after="0" w:line="20" w:lineRule="exact"/>
              <w:rPr>
                <w:sz w:val="1"/>
                <w:szCs w:val="1"/>
                <w:color w:val="auto"/>
              </w:rPr>
            </w:pPr>
          </w:p>
        </w:tc>
        <w:tc>
          <w:tcPr>
            <w:tcW w:w="8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80" w:type="dxa"/>
            <w:vAlign w:val="bottom"/>
            <w:shd w:val="clear" w:color="auto" w:fill="E4E4E4"/>
          </w:tcPr>
          <w:p>
            <w:pPr>
              <w:spacing w:after="0" w:line="20" w:lineRule="exact"/>
              <w:rPr>
                <w:sz w:val="1"/>
                <w:szCs w:val="1"/>
                <w:color w:val="auto"/>
              </w:rPr>
            </w:pPr>
          </w:p>
        </w:tc>
        <w:tc>
          <w:tcPr>
            <w:tcW w:w="360" w:type="dxa"/>
            <w:vAlign w:val="bottom"/>
            <w:shd w:val="clear" w:color="auto" w:fill="E4E4E4"/>
          </w:tcPr>
          <w:p>
            <w:pPr>
              <w:spacing w:after="0" w:line="20" w:lineRule="exact"/>
              <w:rPr>
                <w:sz w:val="1"/>
                <w:szCs w:val="1"/>
                <w:color w:val="auto"/>
              </w:rPr>
            </w:pPr>
          </w:p>
        </w:tc>
        <w:tc>
          <w:tcPr>
            <w:tcW w:w="460" w:type="dxa"/>
            <w:vAlign w:val="bottom"/>
            <w:shd w:val="clear" w:color="auto" w:fill="E4E4E4"/>
          </w:tcPr>
          <w:p>
            <w:pPr>
              <w:spacing w:after="0" w:line="20" w:lineRule="exact"/>
              <w:rPr>
                <w:sz w:val="1"/>
                <w:szCs w:val="1"/>
                <w:color w:val="auto"/>
              </w:rPr>
            </w:pPr>
          </w:p>
        </w:tc>
        <w:tc>
          <w:tcPr>
            <w:tcW w:w="9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00"/>
          </w:cols>
          <w:pgMar w:left="340" w:top="1192" w:right="359" w:bottom="1440" w:gutter="0" w:footer="0" w:header="0"/>
        </w:sect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(to) from GE</w:t>
      </w:r>
    </w:p>
    <w:p>
      <w:pPr>
        <w:spacing w:after="0" w:line="73" w:lineRule="exact"/>
        <w:rPr>
          <w:sz w:val="20"/>
          <w:szCs w:val="20"/>
          <w:color w:val="auto"/>
        </w:rPr>
      </w:pPr>
    </w:p>
    <w:p>
      <w:pPr>
        <w:ind w:left="20" w:right="760"/>
        <w:spacing w:after="0" w:line="304" w:lineRule="auto"/>
        <w:rPr>
          <w:sz w:val="20"/>
          <w:szCs w:val="20"/>
          <w:color w:val="auto"/>
        </w:rPr>
      </w:pPr>
      <w:r>
        <w:rPr>
          <w:rFonts w:ascii="Arial" w:cs="Arial" w:eastAsia="Arial" w:hAnsi="Arial"/>
          <w:sz w:val="16"/>
          <w:szCs w:val="16"/>
          <w:color w:val="auto"/>
        </w:rPr>
        <w:t>Changes in equity attributable to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2,247</w:t>
            </w:r>
          </w:p>
        </w:tc>
        <w:tc>
          <w:tcPr>
            <w:tcW w:w="1380" w:type="dxa"/>
            <w:vAlign w:val="bottom"/>
          </w:tcPr>
          <w:p>
            <w:pPr>
              <w:ind w:left="640"/>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2,247</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(198)</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(121)</w:t>
            </w:r>
          </w:p>
        </w:tc>
        <w:tc>
          <w:tcPr>
            <w:tcW w:w="1380" w:type="dxa"/>
            <w:vAlign w:val="bottom"/>
          </w:tcPr>
          <w:p>
            <w:pPr>
              <w:ind w:left="640"/>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80" w:type="dxa"/>
            <w:vAlign w:val="bottom"/>
          </w:tcPr>
          <w:p>
            <w:pPr>
              <w:ind w:left="640"/>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(3)</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-658495</wp:posOffset>
            </wp:positionV>
            <wp:extent cx="7115175"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-203835</wp:posOffset>
            </wp:positionV>
            <wp:extent cx="7115175"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Balances as of December 31, 2021</w:t>
            </w:r>
          </w:p>
        </w:tc>
        <w:tc>
          <w:tcPr>
            <w:tcW w:w="98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ind w:left="4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17,692</w:t>
            </w:r>
          </w:p>
        </w:tc>
        <w:tc>
          <w:tcPr>
            <w:tcW w:w="1440" w:type="dxa"/>
            <w:vAlign w:val="bottom"/>
          </w:tcPr>
          <w:p>
            <w:pPr>
              <w:jc w:val="right"/>
              <w:ind w:right="439"/>
              <w:spacing w:after="0"/>
              <w:rPr>
                <w:sz w:val="20"/>
                <w:szCs w:val="20"/>
                <w:color w:val="auto"/>
              </w:rPr>
            </w:pPr>
            <w:r>
              <w:rPr>
                <w:rFonts w:ascii="Arial" w:cs="Arial" w:eastAsia="Arial" w:hAnsi="Arial"/>
                <w:sz w:val="16"/>
                <w:szCs w:val="16"/>
                <w:b w:val="1"/>
                <w:bCs w:val="1"/>
                <w:color w:val="auto"/>
              </w:rPr>
              <w:t>(1,037)</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21</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16,676</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1"/>
        </w:trPr>
        <w:tc>
          <w:tcPr>
            <w:tcW w:w="3420" w:type="dxa"/>
            <w:vAlign w:val="bottom"/>
            <w:shd w:val="clear" w:color="auto" w:fill="E4E4E4"/>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980" w:type="dxa"/>
            <w:vAlign w:val="bottom"/>
            <w:shd w:val="clear" w:color="auto" w:fill="E4E4E4"/>
          </w:tcPr>
          <w:p>
            <w:pPr>
              <w:ind w:left="4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4E4E4"/>
          </w:tcPr>
          <w:p>
            <w:pPr>
              <w:ind w:left="420"/>
              <w:spacing w:after="0"/>
              <w:rPr>
                <w:sz w:val="20"/>
                <w:szCs w:val="20"/>
                <w:color w:val="auto"/>
              </w:rPr>
            </w:pPr>
            <w:r>
              <w:rPr>
                <w:rFonts w:ascii="Arial" w:cs="Arial" w:eastAsia="Arial" w:hAnsi="Arial"/>
                <w:sz w:val="16"/>
                <w:szCs w:val="16"/>
                <w:color w:val="auto"/>
              </w:rPr>
              <w:t>—</w:t>
            </w:r>
          </w:p>
        </w:tc>
        <w:tc>
          <w:tcPr>
            <w:tcW w:w="900" w:type="dxa"/>
            <w:vAlign w:val="bottom"/>
            <w:shd w:val="clear" w:color="auto" w:fill="E4E4E4"/>
          </w:tcPr>
          <w:p>
            <w:pPr>
              <w:ind w:lef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E4E4E4"/>
          </w:tcPr>
          <w:p>
            <w:pPr>
              <w:ind w:left="3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4E4E4"/>
          </w:tcPr>
          <w:p>
            <w:pPr>
              <w:jc w:val="right"/>
              <w:ind w:right="339"/>
              <w:spacing w:after="0"/>
              <w:rPr>
                <w:sz w:val="20"/>
                <w:szCs w:val="20"/>
                <w:color w:val="auto"/>
              </w:rPr>
            </w:pPr>
            <w:r>
              <w:rPr>
                <w:rFonts w:ascii="Arial" w:cs="Arial" w:eastAsia="Arial" w:hAnsi="Arial"/>
                <w:sz w:val="16"/>
                <w:szCs w:val="16"/>
                <w:color w:val="auto"/>
              </w:rPr>
              <w:t>1,916</w:t>
            </w:r>
          </w:p>
        </w:tc>
        <w:tc>
          <w:tcPr>
            <w:tcW w:w="1440" w:type="dxa"/>
            <w:vAlign w:val="bottom"/>
            <w:shd w:val="clear" w:color="auto" w:fill="E4E4E4"/>
          </w:tcPr>
          <w:p>
            <w:pPr>
              <w:jc w:val="right"/>
              <w:ind w:right="479"/>
              <w:spacing w:after="0"/>
              <w:rPr>
                <w:sz w:val="20"/>
                <w:szCs w:val="20"/>
                <w:color w:val="auto"/>
              </w:rPr>
            </w:pPr>
            <w:r>
              <w:rPr>
                <w:rFonts w:ascii="Arial" w:cs="Arial" w:eastAsia="Arial" w:hAnsi="Arial"/>
                <w:sz w:val="16"/>
                <w:szCs w:val="16"/>
                <w:color w:val="auto"/>
              </w:rPr>
              <w:t>—</w:t>
            </w:r>
          </w:p>
        </w:tc>
        <w:tc>
          <w:tcPr>
            <w:tcW w:w="88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1,916</w:t>
            </w:r>
          </w:p>
        </w:tc>
      </w:tr>
      <w:tr>
        <w:trPr>
          <w:trHeight w:val="29"/>
        </w:trPr>
        <w:tc>
          <w:tcPr>
            <w:tcW w:w="3420" w:type="dxa"/>
            <w:vAlign w:val="bottom"/>
            <w:shd w:val="clear" w:color="auto" w:fill="E4E4E4"/>
          </w:tcPr>
          <w:p>
            <w:pPr>
              <w:spacing w:after="0"/>
              <w:rPr>
                <w:sz w:val="2"/>
                <w:szCs w:val="2"/>
                <w:color w:val="auto"/>
              </w:rPr>
            </w:pPr>
          </w:p>
        </w:tc>
        <w:tc>
          <w:tcPr>
            <w:tcW w:w="980" w:type="dxa"/>
            <w:vAlign w:val="bottom"/>
            <w:shd w:val="clear" w:color="auto" w:fill="E4E4E4"/>
          </w:tcPr>
          <w:p>
            <w:pPr>
              <w:spacing w:after="0"/>
              <w:rPr>
                <w:sz w:val="2"/>
                <w:szCs w:val="2"/>
                <w:color w:val="auto"/>
              </w:rPr>
            </w:pPr>
          </w:p>
        </w:tc>
        <w:tc>
          <w:tcPr>
            <w:tcW w:w="940" w:type="dxa"/>
            <w:vAlign w:val="bottom"/>
            <w:shd w:val="clear" w:color="auto" w:fill="E4E4E4"/>
          </w:tcPr>
          <w:p>
            <w:pPr>
              <w:spacing w:after="0"/>
              <w:rPr>
                <w:sz w:val="2"/>
                <w:szCs w:val="2"/>
                <w:color w:val="auto"/>
              </w:rPr>
            </w:pPr>
          </w:p>
        </w:tc>
        <w:tc>
          <w:tcPr>
            <w:tcW w:w="900" w:type="dxa"/>
            <w:vAlign w:val="bottom"/>
            <w:shd w:val="clear" w:color="auto" w:fill="E4E4E4"/>
          </w:tcPr>
          <w:p>
            <w:pPr>
              <w:spacing w:after="0"/>
              <w:rPr>
                <w:sz w:val="2"/>
                <w:szCs w:val="2"/>
                <w:color w:val="auto"/>
              </w:rPr>
            </w:pPr>
          </w:p>
        </w:tc>
        <w:tc>
          <w:tcPr>
            <w:tcW w:w="740" w:type="dxa"/>
            <w:vAlign w:val="bottom"/>
            <w:shd w:val="clear" w:color="auto" w:fill="E4E4E4"/>
          </w:tcPr>
          <w:p>
            <w:pPr>
              <w:spacing w:after="0"/>
              <w:rPr>
                <w:sz w:val="2"/>
                <w:szCs w:val="2"/>
                <w:color w:val="auto"/>
              </w:rPr>
            </w:pPr>
          </w:p>
        </w:tc>
        <w:tc>
          <w:tcPr>
            <w:tcW w:w="1140" w:type="dxa"/>
            <w:vAlign w:val="bottom"/>
            <w:shd w:val="clear" w:color="auto" w:fill="E4E4E4"/>
          </w:tcPr>
          <w:p>
            <w:pPr>
              <w:spacing w:after="0"/>
              <w:rPr>
                <w:sz w:val="2"/>
                <w:szCs w:val="2"/>
                <w:color w:val="auto"/>
              </w:rPr>
            </w:pPr>
          </w:p>
        </w:tc>
        <w:tc>
          <w:tcPr>
            <w:tcW w:w="1440" w:type="dxa"/>
            <w:vAlign w:val="bottom"/>
            <w:shd w:val="clear" w:color="auto" w:fill="E4E4E4"/>
          </w:tcPr>
          <w:p>
            <w:pPr>
              <w:spacing w:after="0"/>
              <w:rPr>
                <w:sz w:val="2"/>
                <w:szCs w:val="2"/>
                <w:color w:val="auto"/>
              </w:rPr>
            </w:pPr>
          </w:p>
        </w:tc>
        <w:tc>
          <w:tcPr>
            <w:tcW w:w="880" w:type="dxa"/>
            <w:vAlign w:val="bottom"/>
            <w:shd w:val="clear" w:color="auto" w:fill="E4E4E4"/>
          </w:tcPr>
          <w:p>
            <w:pPr>
              <w:spacing w:after="0"/>
              <w:rPr>
                <w:sz w:val="2"/>
                <w:szCs w:val="2"/>
                <w:color w:val="auto"/>
              </w:rPr>
            </w:pPr>
          </w:p>
        </w:tc>
        <w:tc>
          <w:tcPr>
            <w:tcW w:w="760" w:type="dxa"/>
            <w:vAlign w:val="bottom"/>
            <w:shd w:val="clear" w:color="auto" w:fill="E4E4E4"/>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00"/>
          </w:cols>
          <w:pgMar w:left="340" w:top="1192"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Transfers (to) from GE</w:t>
      </w:r>
    </w:p>
    <w:p>
      <w:pPr>
        <w:spacing w:after="0" w:line="73" w:lineRule="exact"/>
        <w:rPr>
          <w:sz w:val="20"/>
          <w:szCs w:val="20"/>
          <w:color w:val="auto"/>
        </w:rPr>
      </w:pPr>
    </w:p>
    <w:p>
      <w:pPr>
        <w:ind w:left="20" w:right="760"/>
        <w:spacing w:after="0" w:line="304" w:lineRule="auto"/>
        <w:rPr>
          <w:sz w:val="20"/>
          <w:szCs w:val="20"/>
          <w:color w:val="auto"/>
        </w:rPr>
      </w:pPr>
      <w:r>
        <w:rPr>
          <w:rFonts w:ascii="Arial" w:cs="Arial" w:eastAsia="Arial" w:hAnsi="Arial"/>
          <w:sz w:val="16"/>
          <w:szCs w:val="16"/>
          <w:color w:val="auto"/>
        </w:rPr>
        <w:t>Changes in equity attributable to noncontrolling interests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(841)</w:t>
            </w:r>
          </w:p>
        </w:tc>
        <w:tc>
          <w:tcPr>
            <w:tcW w:w="940" w:type="dxa"/>
            <w:vAlign w:val="bottom"/>
          </w:tcPr>
          <w:p>
            <w:pPr>
              <w:jc w:val="center"/>
              <w:ind w:left="259"/>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364"/>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(8,373)</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259"/>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(8,373)</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1340" w:type="dxa"/>
            <w:vAlign w:val="bottom"/>
          </w:tcPr>
          <w:p>
            <w:pPr>
              <w:ind w:left="640"/>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219"/>
              <w:spacing w:after="0"/>
              <w:rPr>
                <w:sz w:val="20"/>
                <w:szCs w:val="20"/>
                <w:color w:val="auto"/>
              </w:rPr>
            </w:pPr>
            <w:r>
              <w:rPr>
                <w:rFonts w:ascii="Arial" w:cs="Arial" w:eastAsia="Arial" w:hAnsi="Arial"/>
                <w:sz w:val="16"/>
                <w:szCs w:val="16"/>
                <w:color w:val="auto"/>
                <w:w w:val="98"/>
              </w:rPr>
              <w:t>(16)</w:t>
            </w: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-366395</wp:posOffset>
            </wp:positionV>
            <wp:extent cx="711517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86995</wp:posOffset>
            </wp:positionV>
            <wp:extent cx="71151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p>
      <w:pPr>
        <w:ind w:left="20"/>
        <w:spacing w:after="0"/>
        <w:tabs>
          <w:tab w:leader="none" w:pos="3800" w:val="left"/>
          <w:tab w:leader="none" w:pos="4800" w:val="left"/>
          <w:tab w:leader="none" w:pos="5700" w:val="left"/>
          <w:tab w:leader="none" w:pos="6580" w:val="left"/>
          <w:tab w:leader="none" w:pos="7180" w:val="left"/>
          <w:tab w:leader="none" w:pos="8520" w:val="left"/>
          <w:tab w:leader="none" w:pos="10140" w:val="left"/>
          <w:tab w:leader="none" w:pos="10700" w:val="left"/>
        </w:tabs>
        <w:rPr>
          <w:sz w:val="20"/>
          <w:szCs w:val="20"/>
          <w:color w:val="auto"/>
        </w:rPr>
      </w:pPr>
      <w:r>
        <w:rPr>
          <w:rFonts w:ascii="Arial" w:cs="Arial" w:eastAsia="Arial" w:hAnsi="Arial"/>
          <w:sz w:val="16"/>
          <w:szCs w:val="16"/>
          <w:b w:val="1"/>
          <w:bCs w:val="1"/>
          <w:color w:val="auto"/>
        </w:rPr>
        <w:t>Balances as of December 31, 2022</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11,235</w:t>
      </w:r>
      <w:r>
        <w:rPr>
          <w:sz w:val="20"/>
          <w:szCs w:val="20"/>
          <w:color w:val="auto"/>
        </w:rPr>
        <w:tab/>
      </w:r>
      <w:r>
        <w:rPr>
          <w:rFonts w:ascii="Arial" w:cs="Arial" w:eastAsia="Arial" w:hAnsi="Arial"/>
          <w:sz w:val="16"/>
          <w:szCs w:val="16"/>
          <w:b w:val="1"/>
          <w:bCs w:val="1"/>
          <w:color w:val="auto"/>
        </w:rPr>
        <w:t>(1,878)</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9,362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p>
      <w:pPr>
        <w:spacing w:after="0" w:line="86"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Net transfers from GE, including Spin-Off-related adjustments</w:t>
      </w:r>
    </w:p>
    <w:p>
      <w:pPr>
        <w:spacing w:after="0" w:line="1" w:lineRule="exact"/>
        <w:rPr>
          <w:sz w:val="20"/>
          <w:szCs w:val="20"/>
          <w:color w:val="auto"/>
        </w:rPr>
      </w:pPr>
    </w:p>
    <w:p>
      <w:pPr>
        <w:ind w:left="20" w:right="80"/>
        <w:spacing w:after="0" w:line="28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8" w:lineRule="exact"/>
        <w:rPr>
          <w:sz w:val="20"/>
          <w:szCs w:val="20"/>
          <w:color w:val="auto"/>
        </w:rPr>
      </w:pPr>
    </w:p>
    <w:p>
      <w:pPr>
        <w:jc w:val="both"/>
        <w:ind w:left="20" w:right="80"/>
        <w:spacing w:after="0" w:line="284" w:lineRule="auto"/>
        <w:rPr>
          <w:sz w:val="20"/>
          <w:szCs w:val="20"/>
          <w:color w:val="auto"/>
        </w:rPr>
      </w:pPr>
      <w:r>
        <w:rPr>
          <w:rFonts w:ascii="Arial" w:cs="Arial" w:eastAsia="Arial" w:hAnsi="Arial"/>
          <w:sz w:val="16"/>
          <w:szCs w:val="16"/>
          <w:color w:val="auto"/>
        </w:rPr>
        <w:t>Issuance of common stock in connection with employee stock plans, net of shares withheld for employee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(4,851)</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2,000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567"/>
        </w:trPr>
        <w:tc>
          <w:tcPr>
            <w:tcW w:w="700" w:type="dxa"/>
            <w:vAlign w:val="bottom"/>
          </w:tcPr>
          <w:p>
            <w:pPr>
              <w:jc w:val="right"/>
              <w:ind w:right="339"/>
              <w:spacing w:after="0"/>
              <w:rPr>
                <w:sz w:val="20"/>
                <w:szCs w:val="20"/>
                <w:color w:val="auto"/>
              </w:rPr>
            </w:pPr>
            <w:r>
              <w:rPr>
                <w:rFonts w:ascii="Arial" w:cs="Arial" w:eastAsia="Arial" w:hAnsi="Arial"/>
                <w:sz w:val="16"/>
                <w:szCs w:val="16"/>
                <w:color w:val="auto"/>
                <w:w w:val="97"/>
              </w:rPr>
              <w:t>454</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6,379</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(6,384)</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ind w:left="520"/>
              <w:spacing w:after="0"/>
              <w:rPr>
                <w:sz w:val="20"/>
                <w:szCs w:val="20"/>
                <w:color w:val="auto"/>
              </w:rPr>
            </w:pPr>
            <w:r>
              <w:rPr>
                <w:rFonts w:ascii="Arial" w:cs="Arial" w:eastAsia="Arial" w:hAnsi="Arial"/>
                <w:sz w:val="16"/>
                <w:szCs w:val="16"/>
                <w:color w:val="auto"/>
              </w:rPr>
              <w:t>—</w:t>
            </w:r>
          </w:p>
        </w:tc>
      </w:tr>
      <w:tr>
        <w:trPr>
          <w:trHeight w:val="661"/>
        </w:trPr>
        <w:tc>
          <w:tcPr>
            <w:tcW w:w="70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ind w:left="5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-692150</wp:posOffset>
            </wp:positionV>
            <wp:extent cx="7115175" cy="419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41973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147320</wp:posOffset>
            </wp:positionV>
            <wp:extent cx="711517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020" w:space="680"/>
            <w:col w:w="7500"/>
          </w:cols>
          <w:pgMar w:left="340" w:top="1192"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260"/>
        <w:spacing w:after="0" w:line="299" w:lineRule="auto"/>
        <w:rPr>
          <w:sz w:val="20"/>
          <w:szCs w:val="20"/>
          <w:color w:val="auto"/>
        </w:rPr>
      </w:pPr>
      <w:r>
        <w:rPr>
          <w:rFonts w:ascii="Arial" w:cs="Arial" w:eastAsia="Arial" w:hAnsi="Arial"/>
          <w:sz w:val="16"/>
          <w:szCs w:val="16"/>
          <w:color w:val="auto"/>
        </w:rPr>
        <w:t>Dividends declared ($0.12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7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20" w:right="440"/>
        <w:spacing w:after="0" w:line="284"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1,568</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(55)</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480"/>
              <w:spacing w:after="0"/>
              <w:rPr>
                <w:sz w:val="20"/>
                <w:szCs w:val="20"/>
                <w:color w:val="auto"/>
              </w:rPr>
            </w:pPr>
            <w:r>
              <w:rPr>
                <w:rFonts w:ascii="Arial" w:cs="Arial" w:eastAsia="Arial" w:hAnsi="Arial"/>
                <w:sz w:val="16"/>
                <w:szCs w:val="16"/>
                <w:color w:val="auto"/>
              </w:rPr>
              <w:t>(813)</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114</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(187)</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-1017905</wp:posOffset>
            </wp:positionV>
            <wp:extent cx="711517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-434975</wp:posOffset>
            </wp:positionV>
            <wp:extent cx="711517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147320</wp:posOffset>
            </wp:positionV>
            <wp:extent cx="71151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p>
      <w:pPr>
        <w:ind w:left="20"/>
        <w:spacing w:after="0"/>
        <w:tabs>
          <w:tab w:leader="none" w:pos="3680" w:val="left"/>
          <w:tab w:leader="none" w:pos="4860" w:val="left"/>
          <w:tab w:leader="none" w:pos="5460" w:val="left"/>
          <w:tab w:leader="none" w:pos="6340" w:val="left"/>
          <w:tab w:leader="none" w:pos="7520" w:val="left"/>
          <w:tab w:leader="none" w:pos="8640" w:val="left"/>
          <w:tab w:leader="none" w:pos="10060" w:val="left"/>
          <w:tab w:leader="none" w:pos="10700" w:val="left"/>
        </w:tabs>
        <w:rPr>
          <w:sz w:val="20"/>
          <w:szCs w:val="20"/>
          <w:color w:val="auto"/>
        </w:rPr>
      </w:pPr>
      <w:r>
        <w:rPr>
          <w:rFonts w:ascii="Arial" w:cs="Arial" w:eastAsia="Arial" w:hAnsi="Arial"/>
          <w:sz w:val="16"/>
          <w:szCs w:val="16"/>
          <w:b w:val="1"/>
          <w:bCs w:val="1"/>
          <w:color w:val="auto"/>
        </w:rPr>
        <w:t>Balances as of December 31, 2023</w:t>
      </w:r>
      <w:r>
        <w:rPr>
          <w:sz w:val="20"/>
          <w:szCs w:val="20"/>
          <w:color w:val="auto"/>
        </w:rPr>
        <w:tab/>
      </w:r>
      <w:r>
        <w:rPr>
          <w:rFonts w:ascii="Arial" w:cs="Arial" w:eastAsia="Arial" w:hAnsi="Arial"/>
          <w:sz w:val="16"/>
          <w:szCs w:val="16"/>
          <w:b w:val="1"/>
          <w:bCs w:val="1"/>
          <w:color w:val="auto"/>
        </w:rPr>
        <w:t>455 $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6,493 $</w:t>
      </w:r>
      <w:r>
        <w:rPr>
          <w:sz w:val="20"/>
          <w:szCs w:val="20"/>
          <w:color w:val="auto"/>
        </w:rPr>
        <w:tab/>
      </w:r>
      <w:r>
        <w:rPr>
          <w:rFonts w:ascii="Arial" w:cs="Arial" w:eastAsia="Arial" w:hAnsi="Arial"/>
          <w:sz w:val="16"/>
          <w:szCs w:val="16"/>
          <w:b w:val="1"/>
          <w:bCs w:val="1"/>
          <w:color w:val="auto"/>
        </w:rPr>
        <w:t>1,326 $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(691) $</w:t>
      </w:r>
      <w:r>
        <w:rPr>
          <w:sz w:val="20"/>
          <w:szCs w:val="20"/>
          <w:color w:val="auto"/>
        </w:rPr>
        <w:tab/>
      </w:r>
      <w:r>
        <w:rPr>
          <w:rFonts w:ascii="Arial" w:cs="Arial" w:eastAsia="Arial" w:hAnsi="Arial"/>
          <w:sz w:val="16"/>
          <w:szCs w:val="16"/>
          <w:b w:val="1"/>
          <w:bCs w:val="1"/>
          <w:color w:val="auto"/>
        </w:rPr>
        <w:t>12 $</w:t>
      </w:r>
      <w:r>
        <w:rPr>
          <w:sz w:val="20"/>
          <w:szCs w:val="20"/>
          <w:color w:val="auto"/>
        </w:rPr>
        <w:tab/>
      </w:r>
      <w:r>
        <w:rPr>
          <w:rFonts w:ascii="Arial" w:cs="Arial" w:eastAsia="Arial" w:hAnsi="Arial"/>
          <w:sz w:val="16"/>
          <w:szCs w:val="16"/>
          <w:b w:val="1"/>
          <w:bCs w:val="1"/>
          <w:color w:val="auto"/>
        </w:rPr>
        <w:t>7,145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2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Consolidated and Combined Statements of Cash Flows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3"/>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50"/>
        </w:trPr>
        <w:tc>
          <w:tcPr>
            <w:tcW w:w="74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28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2022</w:t>
            </w:r>
          </w:p>
        </w:tc>
        <w:tc>
          <w:tcPr>
            <w:tcW w:w="2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2021</w:t>
            </w: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2,293</w:t>
            </w: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1,618</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1,949</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2,275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Adjustments to reconcile Net income from continuing operations to Cash from (used for) operating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w:t>
            </w:r>
          </w:p>
        </w:tc>
      </w:tr>
      <w:tr>
        <w:trPr>
          <w:trHeight w:val="227"/>
        </w:trPr>
        <w:tc>
          <w:tcPr>
            <w:tcW w:w="740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Gain on fair value remeasurement of contingent consideration</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400" w:type="dxa"/>
            <w:vAlign w:val="bottom"/>
          </w:tcPr>
          <w:p>
            <w:pPr>
              <w:ind w:left="120"/>
              <w:spacing w:after="0"/>
              <w:rPr>
                <w:sz w:val="20"/>
                <w:szCs w:val="20"/>
                <w:color w:val="auto"/>
              </w:rPr>
            </w:pPr>
            <w:r>
              <w:rPr>
                <w:rFonts w:ascii="Arial" w:cs="Arial" w:eastAsia="Arial" w:hAnsi="Arial"/>
                <w:sz w:val="16"/>
                <w:szCs w:val="16"/>
                <w:color w:val="auto"/>
              </w:rPr>
              <w:t>Net periodic postretirement benefit plan (income)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Postretirement plan contributions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r>
      <w:tr>
        <w:trPr>
          <w:trHeight w:val="227"/>
        </w:trPr>
        <w:tc>
          <w:tcPr>
            <w:tcW w:w="740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r>
      <w:tr>
        <w:trPr>
          <w:trHeight w:val="228"/>
        </w:trPr>
        <w:tc>
          <w:tcPr>
            <w:tcW w:w="740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0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 and dispositions: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(1,336)</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from related parties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w:t>
            </w: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Contract and other deferred assets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(222)</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to related parties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operating activities</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2,101</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2,134</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1,607</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(1,481)</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investing activities</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(558)</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(398)</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(1,761)</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2,006</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8,198</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Dividends paid to stockholders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Redemption of noncontrolling interests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transfers (to) from GE</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(8,934)</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All other financing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(822)</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(263)</w:t>
            </w: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Cash from (used for) operating activities – discontinued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890</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r>
      <w:tr>
        <w:trPr>
          <w:trHeight w:val="21"/>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1,451</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561</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1,012</w:t>
            </w:r>
          </w:p>
        </w:tc>
      </w:tr>
      <w:tr>
        <w:trPr>
          <w:trHeight w:val="221"/>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as of December 31</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42"/>
        </w:trPr>
        <w:tc>
          <w:tcPr>
            <w:tcW w:w="7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and combined financial statements.</w:t>
      </w:r>
    </w:p>
    <w:p>
      <w:pPr>
        <w:sectPr>
          <w:pgSz w:w="11900" w:h="16838" w:orient="portrait"/>
          <w:cols w:equalWidth="0" w:num="1">
            <w:col w:w="11200"/>
          </w:cols>
          <w:pgMar w:left="340" w:top="1192" w:right="35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754"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w:t>
      </w:r>
    </w:p>
    <w:p>
      <w:pPr>
        <w:spacing w:after="0" w:line="2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GE HealthCare Technologies Inc. (“GE HealthCare,” the “Company,” “our,” or “we”) is a leading global medical technology, pharmaceutical diagnostics, and digital solutions innovator.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January 3, 2023 (the “Distribution Date”), the General Electric Company (“GE”) completed the previously announced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As of December 31, 2023, GE’s beneficial ownership was approximately 13.5% of the Company’s outstanding common stock.</w:t>
      </w:r>
    </w:p>
    <w:p>
      <w:pPr>
        <w:spacing w:after="0" w:line="21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$2,849 million. These items substantially consisted of the transfer of: (1) certain pension plan liabilities and assets as described in Note 10, “Postretirement Benefit Plans,” (2) certain deferred income taxes as described in Note 11, “Income Taxes,” (3) deferred compensation liabilities of $548 million, and (4) employee termination obligations as described in Note 15, “Restructuring and Other Activities – Net.”</w:t>
      </w:r>
    </w:p>
    <w:p>
      <w:pPr>
        <w:spacing w:after="0" w:line="218"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19, “Related Parties” for more information on these agreements.</w:t>
      </w:r>
    </w:p>
    <w:p>
      <w:pPr>
        <w:spacing w:after="0" w:line="18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(1) GE’s healthcare business prior to the Spin-Off as a carve-out business of GE with related combined financial statements and (2) GE HealthCare Technologies Inc. and its subsidiaries following the Spin-Off with related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consolidated and combined financial statements have been prepared in accordance with United States (“U.S.”) generally accepted accounting principles (“U.S. GAAP”) and present the historical results of operations, comprehensive income (loss), and cash flows for the years ended December 31, 2023, 2022, and 2021, and the financial position as of December 31, 2023 and 2022. All intercompany balances and transactions within the Company have been eliminated in the consolidated and combined financial statements. It is management’s opinion that these financial statements include all normal and recurring adjustments necessary for a fair presentation of the Company’s financial position and operating results. The following tables are presented in millions of U.S. dollars (“USD”) unless otherwise stated.</w:t>
      </w:r>
    </w:p>
    <w:p>
      <w:pPr>
        <w:spacing w:after="0" w:line="20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Prior to the Spin-Off, the combined financial statements were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 combined financial statements do not purport to reflect what the results of operations, comprehensive income (loss), financial position, or cash flows would have been had the Company operated as a separate, stand-alone entity prior to the Spin-Off.</w:t>
      </w:r>
    </w:p>
    <w:p>
      <w:pPr>
        <w:spacing w:after="0" w:line="19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financial statements include certain transactions with GE, which are disclosed as related party transactions. See Note 19, “Related Parties” for further information.</w:t>
      </w:r>
    </w:p>
    <w:p>
      <w:pPr>
        <w:spacing w:after="0" w:line="16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Following the Spin-Off, certain prior year amounts in the financial statements and notes thereto have been reclassified to conform to the current year presentation, which provides additional detail to readers of our financial statements. Amounts in the Consolidated and Combined Statements of Cash Flows that were previously included within the All other operating activities line have been reclassified to separate lines including Net periodic postretirement benefit plan (income) expense, Postretirement plan contributions, and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preparation of the consolidated and combined financial statements in conformity with U.S. GAAP requires management to make estimates based on assumptions about current, and for some estimates, future, economic and market conditions, which affect the reported amounts and related disclosures in the consolidated and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1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Estimates are used for, but are not limited to, determining the following: revenue from contracts with customers, recoverability of long-lived assets and inventory, valuation of goodwill and intangible assets, useful lives used in depreciation and amortization, asset retirement obligations, income taxes and related valuation allowances, accruals for contingencies including legal and product warranties, actuarial assumptions used to determine costs of pension and other postretirement benefits, valuation of pension assets, valuation and recoverability of receivables, valuation of derivatives, and valuation of assets acquired, liabilities assumed, and contingent consideration as a result of acquisitions.</w:t>
      </w:r>
    </w:p>
    <w:p>
      <w:pPr>
        <w:spacing w:after="0" w:line="218"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There have been no material impacts to our accounting estimates as of December 31, 2023 and 2022, or the results for the years ended December 31, 2023, 2022, and 2021, from the COVID-19 pandemic. The federal COVID-19 Public Health Emergency declaration in the U.S. ended in May 2023, and COVID-19 restrictions have been lifted in many locations globally.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recognizes a contract with a customer when there is a legally enforceable agreement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discounts, returns, chargebacks, group purchasing organization fees, rebates, or credits, as well as taxes collected from customers that are remitted to government authorities. Our estimates for these deductions, which are accounted for as variable consideration, are based on historical experience and consider current and forecasted market trends. We record these estimated amounts as a reduction to revenue when we recognize the related product or service sales. Payment terms are generally within 12 months. Payment terms within 12 months are not treated as significant financing components.</w:t>
      </w:r>
    </w:p>
    <w:p>
      <w:pPr>
        <w:spacing w:after="0" w:line="21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we use our best estimate of selling price, which is established consistent with the pricing strategy of the Company and considers product configuration, geography, customer type, and other market-specific factors.</w:t>
      </w:r>
    </w:p>
    <w:p>
      <w:pPr>
        <w:spacing w:after="0" w:line="20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Revenue is recognized in the period in which the customer obtains control of the underlying products or services, allowing them the ability to direct the use of, and obtain substantially all of, the remaining benefits of such product or service. This may occur at a point in time or over time. Shipping and handling costs to deliver products to customers are expensed as incurred and recognized within Cost of products or Cost of services in our Consolidated and Combined Statements of Income.</w:t>
      </w:r>
    </w:p>
    <w:p>
      <w:pPr>
        <w:spacing w:after="0" w:line="2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For standard, assurance-type warranties that are provided with products, we estimate the cost that may be incurred during the warranty period and record a liability at the time the revenue is recognized. The provision recorded reflects the estimated costs of replacement and free-of-charge services that will be incurred related to the products sold. Service-type warranties or extended warranties sold with products are considered separate performance obligations. As such, a portion of the overall transaction price is allocated to these performance obligations and recognized in revenue over time, as the performance obligations are satisfied.</w:t>
      </w:r>
    </w:p>
    <w:p>
      <w:pPr>
        <w:spacing w:after="0" w:line="21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capitalizes certain direct incremental costs incurred to obtain a contract, primarily commissions. Costs to obtain a contract are classified within Contract and other deferred assets or All other assets in the Consolidated and Combined Statements of Financial Position and are recognized based on the timing of when the Company expects to earn related revenues. Management assesses these costs for impairment based on periodic assessments of recoverability.</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i w:val="1"/>
          <w:iCs w:val="1"/>
          <w:color w:val="auto"/>
        </w:rPr>
        <w:t>Performance Obligations Satisfied at a Point in Time</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primarily recognize revenue from sales of products at the point in time that the customer obtains control, which is generally no earlier than when the customer has physical possession. Where arrangements include customer acceptance provisions based on seller- or customer-specified criteria, we recognize revenue when we have concluded that the customer has control of the products, which is typically at the point of acceptance. Our billing terms for these point-in-time product contracts generally coincide with delivery to the customer and customer acceptance; however, periodically, we receive customer advances and deposits from customers. These are recognized as contract liabilities in the Consolidated and Combined Statements of Financial Position. Any differences between the timing of our revenue recognition and customer billings (based on contractual terms) result in changes to our contract asset or contract liability positions.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Obligations Satisfied Over Time</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recognize revenue from the sale of certain service contracts, including preventative maintenance, corrective services, and extended warranties over time on a ratable basis consistent with the nature, timing, and extent of our services, which primarily relate to routine maintenance and as-needed product repairs. Our billing terms for these contracts vary and can occur in advance of or following the period of service; however, we generally invoice periodically as services are provided. The differences between the timing of our revenue recognized and customer billings (based on contractual terms) result in changes to our contract asset or contract liability positions.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3, “Revenue Recognition”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Cash deposits, short-term investments, and high-liquidity mutual funds with original maturities of three months or less are included in Cash, cash equivalents, and restricted cash. Restricted cash primarily relates to funds restricted in connection with escrow accounts and other contractual and legal restrictions. For the period prior to the Spin-Off, the cash presented in the Combined Statement of Financial Position represents cash not subject to the GE centralized cash management process. Cash held in commingled accounts with GE, or its affiliates, is presented within Net parent investment in the Combined Statement of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SECURITIES.</w:t>
      </w:r>
    </w:p>
    <w:p>
      <w:pPr>
        <w:spacing w:after="0" w:line="2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Publicly traded equity securities for which we do not have the ability to exercise significant influence are recorded at fair value with changes in fair value recognized in Other (income) expense – net in the Consolidated and Combined Statements of Income. Privately held equity securities for which we do not have the ability to exercise significant influence are accounted for using the measurement alternative approach and are recorded at cost less impairment, if any, adjusted to fair value for any observable price changes in orderly transactions for the identical or a similar investment of the same issuer, with changes in the measurement recognized through Other (income) expense – net in the Consolidated and Combined Statements of Income. Equity investments without readily determinable fair value as of December 31, 2023 and 2022 were $156 million and $117 million, respectively. Investment securities are recognized within All other assets in the Consolidated and Combined Statements of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Equity method investments are investments in entities in which we do not have a controlling financial interest, but over which we have significant influence. Equity method investments are assessed for other-than-temporary impairment when events occur or circumstances change that indicate it is more likely than not the fair value of the asset is below its carrying value. Equity method investments are recognized within All other assets in the Consolidated and Combined Statements of Financial Position. Our share of the results of equity method investments is recognized within Other (income) expense – net in the Consolidated and Combined Statements of Income.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48"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Amounts due from customers arising from the sales of products and services are recorded at the outstanding amount, less allowances for credit losses, chargebacks, and other credits. We regularly monitor the recoverability of our receivables.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Note 5, “Receivables”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RECEIVABLES.</w:t>
      </w: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financing receivables portfolio consists of a variety of loans and leases, including both larger-balance, non-homogeneous loans and leases, and smaller-balance homogeneous loans and leases.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i w:val="1"/>
          <w:iCs w:val="1"/>
          <w:color w:val="auto"/>
        </w:rPr>
        <w:t>Loans</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Loans represent term loans that are collateralized by equipment and other assets. Loans are classified as either held for sale or held for investment (“HFI”) based on management’s intent and ability to hold the loans for the foreseeable future. Loans which the Company does not have the ability and intent to hold for investment purposes and those which the Company intends to hold for sale in the foreseeable future are accounted for as loans held for sale. Loans held for sale are recorded at the lower of historical cost or current fair value with any fair value write-down (or change to the write-down) recorded as a valuation allowance through current period earnings in the period in which the change occurs. Loans classified as HFI are recorded at amortized cost.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 Finance Leases</w:t>
      </w:r>
    </w:p>
    <w:p>
      <w:pPr>
        <w:spacing w:after="0" w:line="29"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color w:val="auto"/>
        </w:rPr>
        <w:t>Finance leases include mostly sales-type leases of equipment and represent net unpaid rentals and estimated unguaranteed residual values of leased equipment, less related deferred income and less the allowance for credit losses. See Note 7, “Leases” for further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See “Allowance for credit losses” below for the Company’s policy regarding allowances on financing receivables.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Quality Indicators</w:t>
      </w:r>
    </w:p>
    <w:p>
      <w:pPr>
        <w:spacing w:after="0" w:line="19"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We manage our financing receivables portfolio using delinquency and nonaccrual data as key performance indicators. We assess the overall quality of the portfolio based on a potential risk of loss measure. The metric incorporates both the borrower’s credit quality along with any related collateral protection. Financing receivables are considered past due if default on a contractual principal or interest payment exists for a period of 30 days or more. We stop accruing interest on financing receivables at the earlier of when collection of an account becomes doubtful or the account becomes 90 days past due. Although we stop accruing interest in advance of payments, we recognize income within Other (income) expense – net in the Consolidated and Combined Statements of Income when we determine that the account is returned to accrual status, provided that the amount does not exceed that which would have been earned at the historical effective interest rate.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CREDIT LOSSES.</w:t>
      </w: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When we record customer receivables, contract assets, and financing receivables, we maintain an allowance for credit losses for the current expected credit losses. Each period, the allowance for credit losses is adjusted through earnings to reflect expected credit losses over the remaining lives of the assets. The credit losses are recognized within Selling, general, and administrative (“SG&amp;A”) in the Consolidated and Combined Statements of Income. For financing receivables, expected credit losses are calculated based on the gross carrying amount of the financial asset, multiplied by a factor reflecting the probability of default and the loss in the event of default. We routinely evaluate our entire portfolio for potential specific credit or collection issues that might indicate an impairment.</w:t>
      </w:r>
    </w:p>
    <w:p>
      <w:pPr>
        <w:spacing w:after="0" w:line="20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estimate expected credit losses based on relevant information from past events, including historical experience, current conditions, and reasonable and supportable forecasts that affect the collectability of the reported amount. When measuring expected credit losses, we pool assets with similar credit risk characteristics. Changes in the relevant information may significantly affect the estimates of expected credit losses.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lower of cost or net realizable values. Cost of inventories is determined on a first-in, first-out basis.</w:t>
      </w:r>
    </w:p>
    <w:p>
      <w:pPr>
        <w:spacing w:after="0" w:line="24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Inventories are generally classified as current, however, based on age or historical consumption certain inventories are considered non-current and are recognized, net of related reserves, within All other assets in the Consolidated and Combined Statements of Financial Position.</w:t>
      </w:r>
    </w:p>
    <w:p>
      <w:pPr>
        <w:spacing w:after="0" w:line="168"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As necessary, we record provisions and write-downs for excess, slow moving, and obsolete inventory. To determine these amounts, we regularly review inventory quantities on hand and compare them to historical utilization and estimates of future product demand, market conditions and technological developments.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6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cost of property, plant, and equipment is depreciated on a straight-line basis over its estimated useful life. Equipment leased to others under operating leases is depreciated on a straight-line basis over the term of the lease. Repair and maintenance costs are expensed as incurred.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LEASES.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Lessee Arrangements</w:t>
      </w:r>
    </w:p>
    <w:p>
      <w:pPr>
        <w:spacing w:after="0" w:line="2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At lease commencement, we record a lease liability and corresponding right-of-use (“ROU”) asset. ROU assets are recognized within Property, plant, and equipment – net and lease liabilities are recognized within All other current liabilities and All other liabilities in the Consolidated and Combined Statements of Financial Position. Options to extend a lease are included as part of the ROU lease asset and liability at commencement when it is reasonably certain the Company will exercise the option. We have elected to combine lease and non-lease components in determining our lease liability for all leased assets except our vehicle leases. Non-lease components are generally related to services that the lessor performs for the Company associated with the leased asset. As the Company’s leases typically do not provide an implicit rate, the present value of our lease liability is determined using our incremental collateralized borrowing rate at lease commencement for leases that commenced post-Spin-Off and GE’s incremental collateralized borrowing rate at lease commencement for leases that commenced pre-Spin-Off. For leases with an initial term of 12 months or less, an ROU asset and lease liability are not recognized, and lease expense is recognized on a straight-line basis over the lease term. Certain of our leases include provisions for variable lease payments which are based on, but not limited to, maintenance, insurance, taxes, index escalations, and usage-based amounts. The Company recognizes variable lease payments not included in its lease liabilities in the period in which the obligation for those payments is incurred. We review ROU assets for impairment annually or when events occur or circumstances change that indicate that the asset may be impaired.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Lessor Arrangements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Equipment leased to others under operating leases is recognized within Property, plant, and equipment – net in the Consolidated and Combined Statements of Financial Position. Leases classified as sales-type leases or direct financing leases are recognized within All other current assets and All other assets, respectively, in the Consolidated and Combined Statements of Financial Position. The terms of the related contracts, including the proportion of fixed versus variable payments and any options to shorten or extend the lease term or purchase the underlying asset, vary by customer. Finance lease receivables are tested for impairment as described in the “Financing Receivables” section above.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and Note 7, “Leases”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 ASSETS.</w:t>
      </w:r>
    </w:p>
    <w:p>
      <w:pPr>
        <w:spacing w:after="0" w:line="262"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a business combination. We test goodwill for impairment at the reporting unit level annually in the fourth quarter of each year as of October 1</w:t>
      </w:r>
      <w:r>
        <w:rPr>
          <w:rFonts w:ascii="Arial" w:cs="Arial" w:eastAsia="Arial" w:hAnsi="Arial"/>
          <w:sz w:val="21"/>
          <w:szCs w:val="21"/>
          <w:color w:val="auto"/>
          <w:vertAlign w:val="superscript"/>
        </w:rPr>
        <w:t>st</w:t>
      </w:r>
      <w:r>
        <w:rPr>
          <w:rFonts w:ascii="Arial" w:cs="Arial" w:eastAsia="Arial" w:hAnsi="Arial"/>
          <w:sz w:val="16"/>
          <w:szCs w:val="16"/>
          <w:color w:val="auto"/>
        </w:rPr>
        <w:t>, or more frequently when an event occurs or circumstances change that would more likely than not reduce the fair value of a reporting unit below its carrying value.</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testing goodwill for impairment, the Company may first assess qualitative factors. If an initial qualitative assessment identifies that it is more likely than not that the fair value of a reporting unit is less than its carrying value, additional quantitative testing is performed. The Company may also elect to skip the qualitative testing and proceed directly to the quantitative testing. If the quantitative testing indicates that goodwill is impaired, an impairment charge is recognized based on the difference between the reporting unit’s carrying value and its fair value. When performing a quantitative test, the market approach is typically used for estimating the fair values for our reporting units. Under the market approach, we estimate the fair value based on market multiples of earnings derived from comparable publicly traded companies with operating and investment characteristics similar to the reporting unit. Depending on the specific reporting unit circumstances, we may also consider performing a valuation based on an income approach. It is reasonably possible that the judgments and estimates used could change in future periods.</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In-process research and development (“IPR&amp;D”) acquired as part of a business acquisition is capitalized at fair value when acquired and is considered an indefinite-lived intangible asset. We test indefinite-lived intangible assets for impairment annually in the third quarter of each year or when events occur or circumstances change that indicate it is more likely than not the fair value of the asset is below its carrying value. When testing IPR&amp;D for impairment, the Company may first assess qualitative factors. If an initial qualitative assessment identifies that it is more likely than not that the fair value of the IPR&amp;D is less than its carrying value, additional quantitative testing is performed. The Company may also elect to skip the qualitative testing and proceed directly to the quantitative testing. If the quantitative testing indicates that the IPR&amp;D is impaired, an impairment charge is recognized based on the difference between the IPR&amp;D’s carrying value and its fair value. When the IPR&amp;D project is complete, the asset is considered a finite-lived intangible asset and subject to an impairment test at that date. Thereafter, the resulting asset is amortized over its estimated useful life and is subject to impairment assessment in the same manner as all amortizing intangible assets.</w:t>
      </w:r>
    </w:p>
    <w:p>
      <w:pPr>
        <w:spacing w:after="0" w:line="21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For other intangible assets that are not deemed indefinite-lived, the cost of the intangible asset is amortized on a straight-line basis over the asset’s estimated useful life. Amortizable intangible assets are reviewed for impairment when events or changes in circumstances indicate that the related carrying amounts may not be recoverable. In such circumstances, they are tested for impairment based on undiscounted cash flows and, if impaired, written down to estimated fair value based on either discounted cash flows or appraised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i w:val="1"/>
          <w:iCs w:val="1"/>
          <w:color w:val="auto"/>
        </w:rPr>
        <w:t>Internal-Use Software</w:t>
      </w:r>
    </w:p>
    <w:p>
      <w:pPr>
        <w:spacing w:after="0" w:line="19"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Internal-use software is software that is developed, purchased, or modified to meet internal needs and for which no substantive plan exists to sell, lease, or otherwise market the software externally. All costs associated with project tasks classified in the preliminary project development or post-implementation/operation stage are expensed as incurred. Capitalization of application development stage costs begins after both of the following occur: (1) the preliminary project development stage is completed and (2) management authorizes and commits to funding the software project and it is probable that the project will be completed and the software will be used for the purpose for which it was intended. Capitalization ceases when the project is substantially complete. Capitalized amounts are recognized within Other intangible assets – net in the Consolidated and Combined Statements of Financial Position and are amortized on a straight-line basis over the asset’s estimated useful life.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External Use Software</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External use software relates to software that is (1) intended to be sold, licensed, or marketed to our customers or (2) embedded and integral to our tangible products for which research and development (“R&amp;D”) has been completed. Costs that are related to the conceptual formulation and design of software are expensed as incurred. Costs that are incurred after technological feasibility has been established until general release of the product are capitalized as an intangible asset and recognized within Other intangible assets – net in the Consolidated and Combined Statements of Financial Position. Capitalized costs for software to be sold, leased, or otherwise marketed are amortized on an individual product basis using straight-line amortization over the estimated useful life of the product. The Company performs regular reviews to assess whether unamortized capitalized external use software program costs remain recoverable through future revenue.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We use derivative contracts to reduce the volatility of earnings and cash flows associated with risks related to foreign currency exchange rates, interest rates, equity prices, and commodity prices. Our policy is to use derivatives solely for managing risks and not for speculative purposes.</w:t>
      </w:r>
    </w:p>
    <w:p>
      <w:pPr>
        <w:spacing w:after="0" w:line="16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employ the following hedge types: (1) cash flow hedges of foreign currency risk associated with third-party and intercompany foreign currency-denominated forecasted transactions and firm commitments, (2) net investment hedges of foreign currency risk associated with investments in foreign operations, (3) fair value hedges of interest rate risk associated with long-term borrowings, and (4) economic hedges not designated as qualifying hedging relationships of foreign currency risk associated with monetary assets and liabilities, including intercompany balances, equity price risk, and commodity price risk.</w:t>
      </w:r>
    </w:p>
    <w:p>
      <w:pPr>
        <w:spacing w:after="0" w:line="21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net investment hedges, changes in the fair value of the components of the hedging derivatives excluded from the assessment of hedge effectiveness are deferred and amortized to earnings in the Consolidated and Combined Statements of Income using a systematic and rational method over the life of the derivative transaction.</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Contracts that do not in their entirety meet the definition of a derivative instrument and are not measured at fair value may contain embedded features affecting some or all of the cash flows or value of other exchanges that would otherwise be considered derivatives when assessed separately from the host contract. Such embedded features are separated from the hybrid contract and accounted for as a derivative measured at fair value if their economic characteristics and risks are not clearly and closely related to those of the host contract.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For the years ended December 31, 2022 and 2021, the Company’s income tax provision was prepared using the separate return method. The calculation of income taxes on a separate return basis requires a considerable amount of judgment and use of both estimates and allocations. As a result, actual transactions included in the consolidated financial statements of GE may not be included in these combined financial statements. Similarly, the tax treatment of certain items reflected in the combined financial statements may not be reflected in the consolidated financial statements and tax returns of GE. Therefore, items such as net operating losses, credit carryforwards, and valuation allowances may exist in the stand-alone combined financial statements that may or may not exist in GE’s consolidated financial statements. For post-Spin-Off periods, as a stand-alone entity, GE HealthCare will file tax returns on its own behalf, and its deferred taxes and actual income tax rate differ from those in the historical periods.</w:t>
      </w:r>
    </w:p>
    <w:p>
      <w:pPr>
        <w:spacing w:after="0" w:line="20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the years prior to the Spin-Off, all income taxes due to or due from GE that had not been settled or recovered by the end of the period are recognized within Net parent investment in the Combined Statement of Financial Position. Any differences between actual amounts paid or received by the Company and taxes accrued under the separate return method are deemed to be settled and are recognized within Net parent investment in the Combined Statement of Financial Position.</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78" w:name="page79"/>
    <w:bookmarkEnd w:id="78"/>
    <w:p>
      <w:pPr>
        <w:ind w:right="340"/>
        <w:spacing w:after="0" w:line="265" w:lineRule="auto"/>
        <w:rPr>
          <w:sz w:val="20"/>
          <w:szCs w:val="20"/>
          <w:color w:val="auto"/>
        </w:rPr>
      </w:pPr>
      <w:r>
        <w:rPr>
          <w:rFonts w:ascii="Arial" w:cs="Arial" w:eastAsia="Arial" w:hAnsi="Arial"/>
          <w:sz w:val="16"/>
          <w:szCs w:val="16"/>
          <w:color w:val="auto"/>
        </w:rPr>
        <w:t>Current obligations for tax in jurisdictions where the Company did not file a consolidated tax return with GE in the pre-Spin-Off period, including certain foreign and certain U.S. state tax jurisdictions, are recorded as accrued liabilities and recognized within All other liabilities in the Combined Statement of Financial Position. The effects of tax adjustments and settlements with taxing authorities are presented in the consolidated and combined financial statements in the period to which they relate.</w:t>
      </w: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Uncertain tax positions that meet the more likely than not recognition threshold are measured to determine the amount of tax benefit to recognize in the consolidated and combined financial statements. An uncertain tax position is measured at the largest amount of benefit that the Company believes has a greater than 50% likelihood of realization upon settlement. Tax benefits not meeting the measurement or realization criteria represent unrecognized tax benefits. Penalties related to income tax matters are recognized within Benefit (provision) for income taxes in the Consolidated and Combined Statements of Income. Our policy is to adjust these reserves when facts and circumstances change, such as the actual settlement or effective settlement of positions with the relevant taxing authorities.</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respective tax bases, as well as from net operating loss and tax credit carryforwards. The deferred income tax balances are stated at enacted tax rates expected to be in effect when those taxes are paid or recovered. Deferred income tax assets represent amounts available to reduce income taxes payable on taxable income in future years. We evaluate the recoverability of these future tax deductions and credits by evaluating all available positive and negative evidence, specifically assessing the adequacy of future expected taxable income from all sources, including reversal of existing taxable temporary differences, forecasted operating earnings, and available tax planning strategies. To the extent we consider it more likely than not that a deferred tax asset will not be recovered, a valuation allowance is established to reduce the carrying value of the deferred asset to its more likely than not realizable value. Deferred taxes are provided for our investment in non-U.S. affiliates and associated companies based upon our evaluation of the undistributed earnings of such entities.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Note 11, “Income Taxes”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BENEFIT PLANS.</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Prior to the Spin-Off, GE sponsored plans were accounted for as multiemployer plans. Therefore, the related assets and liabilities are not reflected in the Combined Statement of Financial Position for the year ended December 31, 2022. The Combined Statements of Income reflect a proportionate allocation of net periodic benefit costs for the multiemployer plans associated with the Company for the years ended December 31, 2022 and 2021.</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connection with the Spin-Off, on January 1, 2023, GE HealthCare assumed a portion of former GE pension and postretirement obligations and assets. The pension and postretirement obligations assumed relate to benefits owed to current GE HealthCare employees, former GE HealthCare employees, and certain GE legacy plan participants. The pension plans are now sponsored by GE HealthCare. For the postretirement plans, GE HealthCare is now a participant in a multiple-employer plan with GE. Management accounts for the pension and postretirement plans as defined benefit plans.</w:t>
      </w:r>
    </w:p>
    <w:p>
      <w:pPr>
        <w:spacing w:after="0" w:line="2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measure our plan assets at fair value and categorize plan assets for disclosure purposes in accordance with the fair value hierarchy. Certain assets for which the fair value is measured using the net asset value (“NAV”) per share (or its equivalent) as a practical expedient are excluded from the fair value hierarchy. The components of net periodic benefit costs, other than the service cost component, are recognized within Non-operating benefit (income) costs in the Consolidated and Combined Statements of Income for plans sponsored by the Company.</w:t>
      </w:r>
    </w:p>
    <w:p>
      <w:pPr>
        <w:spacing w:after="0" w:line="20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engage third-party actuaries to assist in the determination of pension obligations and related plan costs. We develop significant long-term assumptions including discount rates and the expected rate of return on assets in connection with our pension accounting. We recognize differences between the expected long-term return on plan assets, the actual return, and net actuarial gains and losses for the pension plan liabilities annually in the fourth quarter of each fiscal year and whenever a plan is determined to qualify for a remeasurement within the Consolidated and Combined Statements of Comprehensive Income (Loss).</w:t>
      </w:r>
    </w:p>
    <w:p>
      <w:pPr>
        <w:spacing w:after="0" w:line="39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We amortize gains and losses, as well as the effects of changes in actuarial assumptions and plan provisions, that exceed 10% of the greater of plan assets or benefit obligations. The period over which gains and losses are amortized is generally over the average remaining service of employees.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Note 10, “Postretirement Benefit Plans”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LOSS CONTINGENCIES.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Loss contingencies are uncertain and unresolved matters that arise in the ordinary course of business and result from events that have the potential to result in a future loss. Such contingencies include, but are not limited to, product warranties, claims, litigation, environmental obligations, regulatory investigations and proceedings, product quality, and losses resulting from other events and developments. When a loss is considered probable and reasonably estimable, we record a liability in the amount of our best estimate for the loss. When there appears to be a range of possible losses with equal likelihood, liabilities are based on the low end of such range. Disclosure is provided for material loss contingencies when a loss is probable and an estimate can be made, when a loss is probable but a reasonable estimate cannot be made, and when it is reasonably possible that a loss will be incurred or the amount of a loss will exceed the recorded provision. We regularly review contingencies to determine whether the likelihood of loss has changed and to assess whether a reasonable estimate of the loss or range of loss can be made. Legal costs incurred in connection with loss contingencies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See Note 14, “Commitments, Guarantees, Product Warranties, and Other Loss Contingencies”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programs, payment terms normally range from 30 to 150 days, not exceeding 180 days, depending on the underlying supplier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following sections describe the valuation methodologies we use to measure financial and non-financial instruments at fair value including certain assets within our postretirement benefit plans. Observable inputs for fair value measurements reflect market data obtained from independent sources, while unobservable inputs reflect our market assumptions. These inputs establish the following fair value hierarchy:</w:t>
      </w:r>
    </w:p>
    <w:p>
      <w:pPr>
        <w:spacing w:after="0" w:line="56"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1 — Quoted prices for identical instruments in active markets.</w:t>
      </w:r>
    </w:p>
    <w:p>
      <w:pPr>
        <w:spacing w:after="0" w:line="126"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3 — Significant inputs to the valuation model are unobservable.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MEASUREMENTS.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financial assets and liabilities measured at fair value on a recurring basis, primarily investment securities, derivatives, and contingent consideration,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Securities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equity securities are valued using Level 1 quoted price inputs.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majority of our derivatives are valued using model-derived offers received from financial institutions for similar over-the-counter instruments without an active market or internal models. The models maximize observable inputs including interest rates and both forward and spot prices for currencies and commodities. As of December 31, 2023 and 2022, foreign currency contracts, interest rate contracts, commodity exchange contracts, embedded derivatives, and the equity-linked total return swap were valued using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80" w:name="page81"/>
    <w:bookmarkEnd w:id="80"/>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When an acquisition involves a contingent consideration arrangement, we record on the date of acquisition a liability for the fair value of the estimated additional consideration we may be obligated to pay in the future. The fair value is based upon estimates of future financial projections under various potential scenarios using a probability-weighted expected payment model discounted to present value. The estimates used to determine the fair value are subject to significant judgement and as such are considered Level 3 inputs. We subsequently remeasure such liabilities at the end of each reporting period and record changes in the fair value within SG&amp;A in the Consolidated and Combined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private equity, real estate and collective funds held within our postretirement benefit plans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Most investments are generally valued using the NAV per share as a practical expedient for fair value provided certain criteria are met. The NAVs are determined based on the fair values of the underlying investments in the funds. Investments that are measured at fair value using the NAV practical expedient are not required to be classified in the fair value hierarchy. Investments classified within Level 3 primarily relate to real estate and private equities which are valued using unobservable inputs, primarily by discounting expected future cash flows, using comparative market multiples, third-party pricing sources, or a combination of these approaches as appropriate. See Note 10, “Postretirement Benefit Plans” for further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securities held within our postretirement benefit plans</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When available, we use quoted market prices to determine the fair value of debt securities which are Level 1 inputs. For our remaining debt securities, we obtain pricing information from an independent pricing vendor. The inputs and assumptions to the pricing vendor’s models are derived from market observable sources including benchmark yields, reported trades, broker/dealer quotes, issuer spreads, benchmark securities, bids, offers and other market-related data. These investments are classified within Level 2. See Note 10, “Postretirement Benefit Plans” for further information.</w:t>
      </w:r>
    </w:p>
    <w:p>
      <w:pPr>
        <w:spacing w:after="0" w:line="21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There were no transfers between Levels 1, 2, and 3 of the fair value hierarchy during the years ended December 31, 2023 and 2022. See Note 13, “Financial Instruments and Fair Value Measurements”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NON-RECURRING FAIR VALUE MEASUREMENTS.</w:t>
      </w:r>
    </w:p>
    <w:p>
      <w:pPr>
        <w:spacing w:after="0" w:line="26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Certain assets and liabilities are measured at fair value on a non-recurring basis. These items may include financing receivables and long-lived assets reduced to fair value upon classification as held for sale and impaired equity method investments and long-lived assets, which, when written down to fair value upon an impairment, are not subsequently adjusted to fair value unless further impairment occurs. The following sections describe the valuation methodologies the Company uses to measure these assets not measured on a recurring fair value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Investments</w:t>
      </w:r>
    </w:p>
    <w:p>
      <w:pPr>
        <w:spacing w:after="0" w:line="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Equity method investments are initially recorded at cost and are adjusted in each period for the Company’s share of the investee’s income or loss and dividends paid. In instances of impairment, equity method investments are written down to fair value using market observable data such as quoted prices when available. When market observable data is unavailable, investments are valued using either a discounted cash flow model, comparative market multiples, third-party pricing sources, or a combination of these approaches, as appropriate. These investments are generally valued using Level 3 inputs.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Investments Without Readily Determinable Fair Value</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Equity investments without readily determinable fair value, subject to a policy choice on a transaction-by-transaction basis, are accounted for under the measurement alternative at cost less impairment and adjusted to fair value for any observable price changes in orderly transactions for the identical or a similar investment of the same issuer. In the instance of impairment, if any, equity investments are adjusted to fair value using market observable data if available. If market observable data is not available, fair values are estimated using discounted cash flow models, comparative market multiples, or a combination of these approaches using Level 3 inputs.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Receivables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generally use market data, including pricing on recently closed market transactions, to value financing receivables that are held for sale. Such financing receivables are valued using Level 2 inputs. When the data is unobservable, we use valuation methodologies based on current market interest rate data adjusted for inherent credit risk. Such financing receivables are valued using Level 3 inputs.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9"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Fair values of long-lived assets are primarily developed internally and are corroborated by available external appraisal information, as applicable. These assets are generally valued using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9" w:right="4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FOREIGN CURRENCY.</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have determined that the functional currency for many of our international operations is the local currency, and for other international operations the functional currency is the USD. The basis of this determination is the currency in which each of the international operations primarily generates and expends cash. When the functional currency is not the USD, asset and liability accounts are translated at period-end exchange rates. The Company translates functional currency income and expense amounts to their USD equivalents using average exchange rates for the period. These translation gains and losses are recognized within Accumulated other comprehensive income (loss) – net (“AOCI”) in the Consolidated and Combined Statements of Financial Position.</w:t>
      </w:r>
    </w:p>
    <w:p>
      <w:pPr>
        <w:spacing w:after="0" w:line="1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Gains and losses from foreign currency transactions, such as those resulting from the settlement of monetary items in the non-functional currency and those resulting from remeasurements of monetary items, are included in Cost of products, Cost of services, SG&amp;A, and R&amp;D in the Consolidated and Combined Statements of Income, depending on the underlying nature of the item. Net gains (losses) from foreign currency transactions were $16 million, $(88) million, and $130 million for the years ended December 31, 2023, 2022, and 2021,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4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consolidated and combined financial statements include the operations of acquired businesses from the date of acquisition. The Company accounts for acquired businesses using the acquisition method of accounting in accordance with U.S. GAAP, which requires that assets acquired and liabilities assumed be recognized at their estimated fair values as of the acquisition date. When we acquire the remaining equity ownership of a company in which we hold an equity interest, we remeasure our equity interest to fair value. Any excess of the purchase price over the assigned values of the net assets acquired is recorded as Goodwill. Transaction costs are expensed as incurred. For those arrangements that involve potential future contingent consideration, on the date of acquisition we record a liability equal to the fair value of the estimated additional consideration we may be obligated to pay in the future.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and Note 13, “Financial Instruments and Fair Value Measurements”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of our operations have been presented as discontinued. We present businesses whose disposal represents a strategic shift that has, or will have, a major effect on our operations and financial results as discontinued operations when the components meet the criteria for held for sale, are sold, or spun-off. Presentation as discontinued operations is consistent for all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See Note 20, “Discontinued Operations”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record liabilities for costs associated with exit or disposal activities in the period in which the liability is incurred. Employee termination costs are accrued when the restructuring actions are probable and estimable. Costs for one-time termination benefits in which the employee is required to render service until termination in order to receive the benefits are recognized ratably over the future service period.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See Note 15, “Restructuring and Other Activities – Net”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conducts R&amp;D activities to create new products, develop new applications for existing products, and enhance existing products. Clinical study and certain research costs are recognized over the service periods specified in the contracts and adjusted as necessary based upon an ongoing review of the level of effort and costs actually incurred. R&amp;D costs are expensed as incurred.</w:t>
      </w:r>
    </w:p>
    <w:p>
      <w:pPr>
        <w:spacing w:after="0" w:line="20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certain instances, R&amp;D activities may be funded by third parties, including government entities. These R&amp;D funding arrangements may include upfront payments, R&amp;D cost sharing payments, and future milestone payments that may be based upon the occurrence of future R&amp;D or commercialization events. Payments received as part of the R&amp;D funding arrangements are generally presented as an offset to R&amp;D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COLLABORATIVE ARRANGEMENTS.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enter into collaborative arrangements primarily related to development of new products. A collaborative arrangement is a contractual arrangement that involves two or more parties who are active participants in the activity, and are exposed to significant risks and rewards dependent on the commercial success of the activity. The assessment for a collaborative arrangement is performed throughout the life of the arrangement based on changes in the responsibilities of all parties. Amounts that are owed by collaboration partners related to R&amp;D activities are generally presented as an offset to R&amp;D expense.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CHANGES.</w:t>
      </w: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interest and penalties related to unrecognized income tax benefits may either be classified as income tax expense or interest expense in the consolidated statements of operations. In the first quarter of 2023, the Company changed its accounting policy for presentation of interest expense on uncertain tax positions. The interest was previously presented within Interest and other financial charges – net and has changed to being presented within Benefit (provision) for income taxes. The Company believes this presentation is preferable because the cost is related to income tax matters and this presentation enhances comparability with our peers. The effects of the change in accounting have been prospectively applied to periods beginning in the first quarter of 2023 and were not material to any previously reported periods prior to March 31,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Reflected in These Consolidated and Combined Financial Statements</w:t>
      </w:r>
    </w:p>
    <w:p>
      <w:pPr>
        <w:spacing w:after="0" w:line="1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 xml:space="preserve">In September 2022, the Financial Accounting Standards Board (“FASB”) issued Accounting Standards Update (“ASU”) No. 2022-04, </w:t>
      </w:r>
      <w:r>
        <w:rPr>
          <w:rFonts w:ascii="Arial" w:cs="Arial" w:eastAsia="Arial" w:hAnsi="Arial"/>
          <w:sz w:val="16"/>
          <w:szCs w:val="16"/>
          <w:i w:val="1"/>
          <w:iCs w:val="1"/>
          <w:color w:val="auto"/>
        </w:rPr>
        <w:t>Liabilities – Supplier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Finance Programs (Subtopic 405-50)</w:t>
      </w:r>
      <w:r>
        <w:rPr>
          <w:rFonts w:ascii="Arial" w:cs="Arial" w:eastAsia="Arial" w:hAnsi="Arial"/>
          <w:sz w:val="16"/>
          <w:szCs w:val="16"/>
          <w:color w:val="auto"/>
        </w:rPr>
        <w:t>. The ASU requires companies to disclose information about supplier finance programs, including key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outstanding 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The Company adopted this guidance on January 1, 2023. See Note 18, “Supplemental Financial Information” for further information.</w:t>
      </w:r>
    </w:p>
    <w:p>
      <w:pPr>
        <w:spacing w:after="0" w:line="206"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ASU requires companies to apply the definition of a performance obligation under ASC 606,</w:t>
      </w:r>
      <w:r>
        <w:rPr>
          <w:rFonts w:ascii="Arial" w:cs="Arial" w:eastAsia="Arial" w:hAnsi="Arial"/>
          <w:sz w:val="16"/>
          <w:szCs w:val="16"/>
          <w:i w:val="1"/>
          <w:iCs w:val="1"/>
          <w:color w:val="auto"/>
        </w:rPr>
        <w:t xml:space="preserve"> Revenue from Contracts with</w:t>
      </w:r>
    </w:p>
    <w:p>
      <w:pPr>
        <w:ind w:right="20"/>
        <w:spacing w:after="0" w:line="258" w:lineRule="auto"/>
        <w:rPr>
          <w:sz w:val="20"/>
          <w:szCs w:val="20"/>
          <w:color w:val="auto"/>
        </w:rPr>
      </w:pPr>
      <w:r>
        <w:rPr>
          <w:rFonts w:ascii="Arial" w:cs="Arial" w:eastAsia="Arial" w:hAnsi="Arial"/>
          <w:sz w:val="16"/>
          <w:szCs w:val="16"/>
          <w:i w:val="1"/>
          <w:iCs w:val="1"/>
          <w:color w:val="auto"/>
        </w:rPr>
        <w:t>Customers</w:t>
      </w:r>
      <w:r>
        <w:rPr>
          <w:rFonts w:ascii="Arial" w:cs="Arial" w:eastAsia="Arial" w:hAnsi="Arial"/>
          <w:sz w:val="16"/>
          <w:szCs w:val="16"/>
          <w:color w:val="auto"/>
        </w:rPr>
        <w:t>, to recognize and measure contract assets and contract liabilities relating to contracts with customers acquired in a business combination.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contract liabilities from contracts with customers on the same basis that would have been recorded by the acquiree before the acquisition under ASC 606. The ASU is effective for fiscal years beginning after December 15, 2022, with early adoption permitted. The Company adopted this guidance on January 1, 2023 using a prospective method, and the adoption did not have a material impact on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Recent Accounting Pronouncements</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November 2023, the FASB issued ASU No. 2023-07 (“ASU 2023-07”), </w:t>
      </w:r>
      <w:r>
        <w:rPr>
          <w:rFonts w:ascii="Arial" w:cs="Arial" w:eastAsia="Arial" w:hAnsi="Arial"/>
          <w:sz w:val="16"/>
          <w:szCs w:val="16"/>
          <w:i w:val="1"/>
          <w:iCs w:val="1"/>
          <w:color w:val="auto"/>
        </w:rPr>
        <w:t>Segment Reporting (Topic 280): Improvements to Reportable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w:t>
      </w:r>
      <w:r>
        <w:rPr>
          <w:rFonts w:ascii="Arial" w:cs="Arial" w:eastAsia="Arial" w:hAnsi="Arial"/>
          <w:sz w:val="16"/>
          <w:szCs w:val="16"/>
          <w:color w:val="auto"/>
        </w:rPr>
        <w:t>. ASU 2023-07 requires annual and interim disclosures that are expected to improve reportable segment disclosures, primarily through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200" w:lineRule="exact"/>
        <w:rPr>
          <w:sz w:val="20"/>
          <w:szCs w:val="20"/>
          <w:color w:val="auto"/>
        </w:rPr>
      </w:pPr>
    </w:p>
    <w:p>
      <w:pPr>
        <w:spacing w:after="0" w:line="21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Contract assets primarily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7"/>
        </w:trPr>
        <w:tc>
          <w:tcPr>
            <w:tcW w:w="7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454545"/>
              </w:rPr>
              <w:t>December 31, 2023</w:t>
            </w:r>
          </w:p>
        </w:tc>
        <w:tc>
          <w:tcPr>
            <w:tcW w:w="18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584</w:t>
            </w:r>
          </w:p>
        </w:tc>
      </w:tr>
      <w:tr>
        <w:trPr>
          <w:trHeight w:val="227"/>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9"/>
        </w:trPr>
        <w:tc>
          <w:tcPr>
            <w:tcW w:w="7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c>
          <w:tcPr>
            <w:tcW w:w="18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989</w:t>
            </w:r>
          </w:p>
        </w:tc>
      </w:tr>
      <w:tr>
        <w:trPr>
          <w:trHeight w:val="256"/>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E4E4E4"/>
          </w:tcPr>
          <w:p>
            <w:pPr>
              <w:spacing w:after="0"/>
              <w:rPr>
                <w:sz w:val="22"/>
                <w:szCs w:val="22"/>
                <w:color w:val="auto"/>
              </w:rPr>
            </w:pP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shd w:val="clear" w:color="auto" w:fill="E4E4E4"/>
          </w:tcPr>
          <w:p>
            <w:pPr>
              <w:spacing w:after="0"/>
              <w:rPr>
                <w:sz w:val="22"/>
                <w:szCs w:val="22"/>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82</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20" w:hanging="252"/>
        <w:spacing w:after="0" w:line="286"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assets in the Consolidated and Combined Statements of Financial Position.</w:t>
      </w:r>
    </w:p>
    <w:p>
      <w:pPr>
        <w:spacing w:after="0" w:line="183"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Capitalized costs to obtain a contract were $213 million and $204 million as of December 31, 2023 and December 31, 2022, respectively. Generally, these costs are recognized within two years of being capitalized. When recognized, the costs to obtain a contract are recorded within SG&amp;A in the Consolidated and Combined Statements of Income.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48"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Contract liabilities primarily include customer advances and deposits received when orders are placed and billed in advance of completion of performance obligations. Contract liabilities are classified as current or non-current based on the periods over which remaining performance obligations are expected to be satisfied with our customers.</w:t>
      </w:r>
    </w:p>
    <w:p>
      <w:pPr>
        <w:spacing w:after="0" w:line="19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As of December 31, 2023 and December 31, 2022, contract liabilities were approximately $2,623 million and $2,526 million, respectively, of which the non-current portion of $705 million and $630 million, respectively, was recognized in All other liabilities in the Consolidated and Combined Statements of Financial Position. Contract liabilities increased $97 million in 2023 primarily due to an increase in extended warranty contracts. Revenue recognized related to the contract liabilities balance at the beginning of the year was approximately $1,554 million and $1,562 million for the years ended December 31, 2023 and 2022,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Remaining performance obligations represent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December 31, 2023, the aggregate amount of the contracted revenues allocated to our unsatisfied (or partially unsatisfied) performance obligations was $14,655 million. We expect to recognize revenue as we satisfy our remaining performance obligations as follows:</w:t>
      </w:r>
    </w:p>
    <w:p>
      <w:pPr>
        <w:spacing w:after="0" w:line="2" w:lineRule="exact"/>
        <w:rPr>
          <w:sz w:val="20"/>
          <w:szCs w:val="20"/>
          <w:color w:val="auto"/>
        </w:rPr>
      </w:pPr>
    </w:p>
    <w:p>
      <w:pPr>
        <w:ind w:right="380" w:firstLine="8"/>
        <w:spacing w:after="0" w:line="264" w:lineRule="auto"/>
        <w:tabs>
          <w:tab w:leader="none" w:pos="1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product-related remaining performance obligations of $4,930 million of which 98% is expected to be recognized within two years, and the remaining thereafter; and b) services-related remaining performance obligations of $9,725 million of which 65% and 93% are expected to be recognized within two years and five years, respectively, and the remaining thereafter.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AND GEOGRAPHICAL INFORMATION</w:t>
      </w:r>
    </w:p>
    <w:p>
      <w:pPr>
        <w:spacing w:after="0" w:line="25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The Company’s organizational structure is based upon the availability of separate financial information that is evaluated regularly by the Company’s Chief Operating Decision Maker (“CODM”) for the purpose of assessing performance and allocating resources. The Company’s CODM is its Chief Executive Officer. These segments have been identified based on the nature of the products sold and how the Company manages its operations. We have not aggregated any of our operating segments to form reportable segments. A description of our reportable segments has been provided in the “Business” section of this Annual Report on Form 10-K.</w:t>
      </w:r>
    </w:p>
    <w:p>
      <w:pPr>
        <w:spacing w:after="0" w:line="20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performance of these segments is principally measured based on Total revenues and an earnings metric defined as “Segment EBIT.” Segment EBIT is calculated as Income from continuing operations before income taxes in our Consolidated and Combined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2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6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8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2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9"/>
        </w:trPr>
        <w:tc>
          <w:tcPr>
            <w:tcW w:w="6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2021</w:t>
            </w:r>
          </w:p>
        </w:tc>
      </w:tr>
      <w:tr>
        <w:trPr>
          <w:trHeight w:val="21"/>
        </w:trPr>
        <w:tc>
          <w:tcPr>
            <w:tcW w:w="68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r>
      <w:tr>
        <w:trPr>
          <w:trHeight w:val="209"/>
        </w:trPr>
        <w:tc>
          <w:tcPr>
            <w:tcW w:w="682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340" w:type="dxa"/>
            <w:vAlign w:val="bottom"/>
            <w:shd w:val="clear" w:color="auto" w:fill="E4E4E4"/>
          </w:tcPr>
          <w:p>
            <w:pPr>
              <w:spacing w:after="0"/>
              <w:rPr>
                <w:sz w:val="18"/>
                <w:szCs w:val="18"/>
                <w:color w:val="auto"/>
              </w:rPr>
            </w:pPr>
          </w:p>
        </w:tc>
        <w:tc>
          <w:tcPr>
            <w:tcW w:w="112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40" w:type="dxa"/>
            <w:vAlign w:val="bottom"/>
            <w:shd w:val="clear" w:color="auto" w:fill="E4E4E4"/>
          </w:tcPr>
          <w:p>
            <w:pPr>
              <w:spacing w:after="0"/>
              <w:rPr>
                <w:sz w:val="18"/>
                <w:szCs w:val="18"/>
                <w:color w:val="auto"/>
              </w:rPr>
            </w:pPr>
          </w:p>
        </w:tc>
      </w:tr>
      <w:tr>
        <w:trPr>
          <w:trHeight w:val="228"/>
        </w:trPr>
        <w:tc>
          <w:tcPr>
            <w:tcW w:w="6820" w:type="dxa"/>
            <w:vAlign w:val="bottom"/>
          </w:tcPr>
          <w:p>
            <w:pPr>
              <w:ind w:left="200"/>
              <w:spacing w:after="0"/>
              <w:rPr>
                <w:sz w:val="20"/>
                <w:szCs w:val="20"/>
                <w:color w:val="auto"/>
              </w:rPr>
            </w:pPr>
            <w:r>
              <w:rPr>
                <w:rFonts w:ascii="Arial" w:cs="Arial" w:eastAsia="Arial" w:hAnsi="Arial"/>
                <w:sz w:val="16"/>
                <w:szCs w:val="16"/>
                <w:color w:val="auto"/>
              </w:rPr>
              <w:t>Radiology</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8,944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8,395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8,019</w:t>
            </w:r>
          </w:p>
        </w:tc>
      </w:tr>
      <w:tr>
        <w:trPr>
          <w:trHeight w:val="29"/>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682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Interventional Guidance</w:t>
            </w:r>
          </w:p>
        </w:tc>
        <w:tc>
          <w:tcPr>
            <w:tcW w:w="34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1,637</w:t>
            </w:r>
          </w:p>
        </w:tc>
        <w:tc>
          <w:tcPr>
            <w:tcW w:w="3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1,590</w:t>
            </w:r>
          </w:p>
        </w:tc>
        <w:tc>
          <w:tcPr>
            <w:tcW w:w="3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1,414</w:t>
            </w:r>
          </w:p>
        </w:tc>
      </w:tr>
      <w:tr>
        <w:trPr>
          <w:trHeight w:val="229"/>
        </w:trPr>
        <w:tc>
          <w:tcPr>
            <w:tcW w:w="6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Imaging</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10,581</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9,985</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9,433</w:t>
            </w:r>
          </w:p>
        </w:tc>
      </w:tr>
      <w:tr>
        <w:trPr>
          <w:trHeight w:val="21"/>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Ultrasound</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3,457</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3,422</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3,172</w:t>
            </w:r>
          </w:p>
        </w:tc>
      </w:tr>
      <w:tr>
        <w:trPr>
          <w:trHeight w:val="227"/>
        </w:trPr>
        <w:tc>
          <w:tcPr>
            <w:tcW w:w="6820" w:type="dxa"/>
            <w:vAlign w:val="bottom"/>
          </w:tcPr>
          <w:p>
            <w:pPr>
              <w:ind w:left="20"/>
              <w:spacing w:after="0"/>
              <w:rPr>
                <w:sz w:val="20"/>
                <w:szCs w:val="20"/>
                <w:color w:val="auto"/>
              </w:rPr>
            </w:pPr>
            <w:r>
              <w:rPr>
                <w:rFonts w:ascii="Arial" w:cs="Arial" w:eastAsia="Arial" w:hAnsi="Arial"/>
                <w:sz w:val="16"/>
                <w:szCs w:val="16"/>
                <w:color w:val="auto"/>
              </w:rPr>
              <w:t>PCS: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9"/>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82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Monitoring Solutions</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2,283</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2,092</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2,119</w:t>
            </w:r>
          </w:p>
        </w:tc>
      </w:tr>
      <w:tr>
        <w:trPr>
          <w:trHeight w:val="228"/>
        </w:trPr>
        <w:tc>
          <w:tcPr>
            <w:tcW w:w="6820" w:type="dxa"/>
            <w:vAlign w:val="bottom"/>
          </w:tcPr>
          <w:p>
            <w:pPr>
              <w:ind w:left="260"/>
              <w:spacing w:after="0"/>
              <w:rPr>
                <w:sz w:val="20"/>
                <w:szCs w:val="20"/>
                <w:color w:val="auto"/>
              </w:rPr>
            </w:pPr>
            <w:r>
              <w:rPr>
                <w:rFonts w:ascii="Arial" w:cs="Arial" w:eastAsia="Arial" w:hAnsi="Arial"/>
                <w:sz w:val="16"/>
                <w:szCs w:val="16"/>
                <w:color w:val="auto"/>
              </w:rPr>
              <w:t>Life Support Solutions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9"/>
        </w:trPr>
        <w:tc>
          <w:tcPr>
            <w:tcW w:w="6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3,142</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2,916</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2,915</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2,306</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1,958</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r>
      <w:tr>
        <w:trPr>
          <w:trHeight w:val="21"/>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68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shd w:val="clear" w:color="auto" w:fill="E4E4E4"/>
          </w:tcPr>
          <w:p>
            <w:pPr>
              <w:spacing w:after="0"/>
              <w:rPr>
                <w:sz w:val="22"/>
                <w:szCs w:val="22"/>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34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c>
          <w:tcPr>
            <w:tcW w:w="34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w:t>
            </w:r>
          </w:p>
        </w:tc>
      </w:tr>
      <w:tr>
        <w:trPr>
          <w:trHeight w:val="229"/>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19,552</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18,341</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17,585</w:t>
            </w:r>
          </w:p>
        </w:tc>
      </w:tr>
      <w:tr>
        <w:trPr>
          <w:trHeight w:val="21"/>
        </w:trPr>
        <w:tc>
          <w:tcPr>
            <w:tcW w:w="6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460" w:hanging="252"/>
        <w:spacing w:after="0" w:line="286"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1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single customer accounted for more than 10% of the Company’s revenues for the years ended December 31, 2023, 2022, or 2021. Additionally, no single customer accounted for more than 10% of accounts receivable as of December 31, 2023 or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57"/>
        </w:trPr>
        <w:tc>
          <w:tcPr>
            <w:tcW w:w="6820" w:type="dxa"/>
            <w:vAlign w:val="bottom"/>
          </w:tcPr>
          <w:p>
            <w:pPr>
              <w:spacing w:after="0"/>
              <w:rPr>
                <w:sz w:val="22"/>
                <w:szCs w:val="22"/>
                <w:color w:val="auto"/>
              </w:rPr>
            </w:pPr>
          </w:p>
        </w:tc>
        <w:tc>
          <w:tcPr>
            <w:tcW w:w="3900" w:type="dxa"/>
            <w:vAlign w:val="bottom"/>
            <w:gridSpan w:val="5"/>
          </w:tcPr>
          <w:p>
            <w:pPr>
              <w:jc w:val="center"/>
              <w:ind w:left="439"/>
              <w:spacing w:after="0"/>
              <w:rPr>
                <w:sz w:val="20"/>
                <w:szCs w:val="20"/>
                <w:color w:val="auto"/>
              </w:rPr>
            </w:pPr>
            <w:r>
              <w:rPr>
                <w:rFonts w:ascii="Arial" w:cs="Arial" w:eastAsia="Arial" w:hAnsi="Arial"/>
                <w:sz w:val="16"/>
                <w:szCs w:val="16"/>
                <w:b w:val="1"/>
                <w:bCs w:val="1"/>
                <w:color w:val="454545"/>
              </w:rPr>
              <w:t>For the years ended December 31</w:t>
            </w:r>
          </w:p>
        </w:tc>
        <w:tc>
          <w:tcPr>
            <w:tcW w:w="520" w:type="dxa"/>
            <w:vAlign w:val="bottom"/>
          </w:tcPr>
          <w:p>
            <w:pPr>
              <w:spacing w:after="0"/>
              <w:rPr>
                <w:sz w:val="22"/>
                <w:szCs w:val="22"/>
                <w:color w:val="auto"/>
              </w:rPr>
            </w:pPr>
          </w:p>
        </w:tc>
      </w:tr>
      <w:tr>
        <w:trPr>
          <w:trHeight w:val="21"/>
        </w:trPr>
        <w:tc>
          <w:tcPr>
            <w:tcW w:w="682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r>
      <w:tr>
        <w:trPr>
          <w:trHeight w:val="229"/>
        </w:trPr>
        <w:tc>
          <w:tcPr>
            <w:tcW w:w="6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520" w:type="dxa"/>
            <w:vAlign w:val="bottom"/>
          </w:tcPr>
          <w:p>
            <w:pPr>
              <w:spacing w:after="0"/>
              <w:rPr>
                <w:sz w:val="19"/>
                <w:szCs w:val="19"/>
                <w:color w:val="auto"/>
              </w:rPr>
            </w:pPr>
          </w:p>
        </w:tc>
      </w:tr>
      <w:tr>
        <w:trPr>
          <w:trHeight w:val="21"/>
        </w:trPr>
        <w:tc>
          <w:tcPr>
            <w:tcW w:w="682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r>
      <w:tr>
        <w:trPr>
          <w:trHeight w:val="230"/>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Segment EBIT</w:t>
            </w:r>
          </w:p>
        </w:tc>
        <w:tc>
          <w:tcPr>
            <w:tcW w:w="96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r>
      <w:tr>
        <w:trPr>
          <w:trHeight w:val="228"/>
        </w:trPr>
        <w:tc>
          <w:tcPr>
            <w:tcW w:w="6820" w:type="dxa"/>
            <w:vAlign w:val="bottom"/>
          </w:tcPr>
          <w:p>
            <w:pPr>
              <w:ind w:left="140"/>
              <w:spacing w:after="0"/>
              <w:rPr>
                <w:sz w:val="20"/>
                <w:szCs w:val="20"/>
                <w:color w:val="auto"/>
              </w:rPr>
            </w:pPr>
            <w:r>
              <w:rPr>
                <w:rFonts w:ascii="Arial" w:cs="Arial" w:eastAsia="Arial" w:hAnsi="Arial"/>
                <w:sz w:val="16"/>
                <w:szCs w:val="16"/>
                <w:color w:val="auto"/>
              </w:rPr>
              <w:t>Imaging</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1,124</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1,100</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9"/>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68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Ultrasound</w:t>
            </w:r>
          </w:p>
        </w:tc>
        <w:tc>
          <w:tcPr>
            <w:tcW w:w="96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821</w:t>
            </w:r>
          </w:p>
        </w:tc>
        <w:tc>
          <w:tcPr>
            <w:tcW w:w="9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9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885</w:t>
            </w:r>
          </w:p>
        </w:tc>
      </w:tr>
      <w:tr>
        <w:trPr>
          <w:trHeight w:val="228"/>
        </w:trPr>
        <w:tc>
          <w:tcPr>
            <w:tcW w:w="6820" w:type="dxa"/>
            <w:vAlign w:val="bottom"/>
          </w:tcPr>
          <w:p>
            <w:pPr>
              <w:ind w:left="140"/>
              <w:spacing w:after="0"/>
              <w:rPr>
                <w:sz w:val="20"/>
                <w:szCs w:val="20"/>
                <w:color w:val="auto"/>
              </w:rPr>
            </w:pPr>
            <w:r>
              <w:rPr>
                <w:rFonts w:ascii="Arial" w:cs="Arial" w:eastAsia="Arial" w:hAnsi="Arial"/>
                <w:sz w:val="16"/>
                <w:szCs w:val="16"/>
                <w:color w:val="auto"/>
              </w:rPr>
              <w:t>PCS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341</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9"/>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68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96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617</w:t>
            </w:r>
          </w:p>
        </w:tc>
        <w:tc>
          <w:tcPr>
            <w:tcW w:w="9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w:t>
            </w:r>
          </w:p>
        </w:tc>
        <w:tc>
          <w:tcPr>
            <w:tcW w:w="9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693</w:t>
            </w:r>
          </w:p>
        </w:tc>
      </w:tr>
      <w:tr>
        <w:trPr>
          <w:trHeight w:val="257"/>
        </w:trPr>
        <w:tc>
          <w:tcPr>
            <w:tcW w:w="6820" w:type="dxa"/>
            <w:vAlign w:val="bottom"/>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Borders>
              <w:top w:val="single" w:sz="8" w:color="auto"/>
              <w:bottom w:val="single" w:sz="8" w:color="E4E4E4"/>
            </w:tcBorders>
            <w:shd w:val="clear" w:color="auto" w:fill="E4E4E4"/>
          </w:tcPr>
          <w:p>
            <w:pPr>
              <w:spacing w:after="0"/>
              <w:rPr>
                <w:sz w:val="20"/>
                <w:szCs w:val="20"/>
                <w:color w:val="auto"/>
              </w:rPr>
            </w:pPr>
          </w:p>
        </w:tc>
        <w:tc>
          <w:tcPr>
            <w:tcW w:w="1780" w:type="dxa"/>
            <w:vAlign w:val="bottom"/>
            <w:tcBorders>
              <w:top w:val="single" w:sz="8" w:color="auto"/>
              <w:bottom w:val="single" w:sz="8" w:color="E4E4E4"/>
            </w:tcBorders>
            <w:shd w:val="clear" w:color="auto" w:fill="E4E4E4"/>
          </w:tcPr>
          <w:p>
            <w:pPr>
              <w:spacing w:after="0"/>
              <w:rPr>
                <w:sz w:val="20"/>
                <w:szCs w:val="20"/>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2,956</w:t>
            </w:r>
          </w:p>
        </w:tc>
        <w:tc>
          <w:tcPr>
            <w:tcW w:w="540" w:type="dxa"/>
            <w:vAlign w:val="bottom"/>
            <w:tcBorders>
              <w:top w:val="single" w:sz="8" w:color="auto"/>
              <w:bottom w:val="single" w:sz="8" w:color="E4E4E4"/>
            </w:tcBorders>
            <w:shd w:val="clear" w:color="auto" w:fill="E4E4E4"/>
          </w:tcPr>
          <w:p>
            <w:pPr>
              <w:spacing w:after="0"/>
              <w:rPr>
                <w:sz w:val="20"/>
                <w:szCs w:val="20"/>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2,861</w:t>
            </w:r>
          </w:p>
        </w:tc>
        <w:tc>
          <w:tcPr>
            <w:tcW w:w="560" w:type="dxa"/>
            <w:vAlign w:val="bottom"/>
            <w:tcBorders>
              <w:top w:val="single" w:sz="8" w:color="auto"/>
              <w:bottom w:val="single" w:sz="8" w:color="E4E4E4"/>
            </w:tcBorders>
            <w:shd w:val="clear" w:color="auto" w:fill="E4E4E4"/>
          </w:tcPr>
          <w:p>
            <w:pPr>
              <w:spacing w:after="0"/>
              <w:rPr>
                <w:sz w:val="20"/>
                <w:szCs w:val="20"/>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3,172</w:t>
            </w: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5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78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5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78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9"/>
        </w:trPr>
        <w:tc>
          <w:tcPr>
            <w:tcW w:w="5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78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560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5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5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78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7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2,875</w:t>
            </w:r>
          </w:p>
        </w:tc>
      </w:tr>
      <w:tr>
        <w:trPr>
          <w:trHeight w:val="21"/>
        </w:trPr>
        <w:tc>
          <w:tcPr>
            <w:tcW w:w="5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380" w:hanging="252"/>
        <w:spacing w:after="0" w:line="286" w:lineRule="auto"/>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HFS business and certain other business activities which do not meet the definition of an operating segment.</w:t>
      </w:r>
    </w:p>
    <w:p>
      <w:pPr>
        <w:spacing w:after="0" w:line="19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Company does not report total assets by segment for internal or external reporting purposes as the Company’s CODM does not assess performance, make strategic decisions, or allocate resources based on assets.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Revenues are classified according to the country in which products and services are sold.</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Total Revenues by Country</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5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40" w:type="dxa"/>
            <w:vAlign w:val="bottom"/>
            <w:gridSpan w:val="6"/>
          </w:tcPr>
          <w:p>
            <w:pPr>
              <w:jc w:val="right"/>
              <w:ind w:right="145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5560" w:type="dxa"/>
            <w:vAlign w:val="bottom"/>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55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c>
          <w:tcPr>
            <w:tcW w:w="220" w:type="dxa"/>
            <w:vAlign w:val="bottom"/>
          </w:tcPr>
          <w:p>
            <w:pPr>
              <w:spacing w:after="0"/>
              <w:rPr>
                <w:sz w:val="19"/>
                <w:szCs w:val="19"/>
                <w:color w:val="auto"/>
              </w:rPr>
            </w:pPr>
          </w:p>
        </w:tc>
        <w:tc>
          <w:tcPr>
            <w:tcW w:w="172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2021</w:t>
            </w:r>
          </w:p>
        </w:tc>
      </w:tr>
      <w:tr>
        <w:trPr>
          <w:trHeight w:val="21"/>
        </w:trPr>
        <w:tc>
          <w:tcPr>
            <w:tcW w:w="5560" w:type="dxa"/>
            <w:vAlign w:val="bottom"/>
            <w:tcBorders>
              <w:bottom w:val="single" w:sz="8" w:color="6400A0"/>
            </w:tcBorders>
          </w:tcPr>
          <w:p>
            <w:pPr>
              <w:spacing w:after="0" w:line="20" w:lineRule="exact"/>
              <w:rPr>
                <w:sz w:val="1"/>
                <w:szCs w:val="1"/>
                <w:color w:val="auto"/>
              </w:rPr>
            </w:pPr>
          </w:p>
        </w:tc>
        <w:tc>
          <w:tcPr>
            <w:tcW w:w="124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7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w:t>
            </w:r>
          </w:p>
        </w:tc>
        <w:tc>
          <w:tcPr>
            <w:tcW w:w="1240" w:type="dxa"/>
            <w:vAlign w:val="bottom"/>
            <w:tcBorders>
              <w:bottom w:val="single" w:sz="8" w:color="E4E4E4"/>
            </w:tcBorders>
            <w:shd w:val="clear" w:color="auto" w:fill="E4E4E4"/>
          </w:tcPr>
          <w:p>
            <w:pPr>
              <w:jc w:val="right"/>
              <w:ind w:right="10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8,228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7,819</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7,060</w:t>
            </w:r>
          </w:p>
        </w:tc>
      </w:tr>
      <w:tr>
        <w:trPr>
          <w:trHeight w:val="227"/>
        </w:trPr>
        <w:tc>
          <w:tcPr>
            <w:tcW w:w="5560" w:type="dxa"/>
            <w:vAlign w:val="bottom"/>
          </w:tcPr>
          <w:p>
            <w:pPr>
              <w:ind w:left="20"/>
              <w:spacing w:after="0"/>
              <w:rPr>
                <w:sz w:val="20"/>
                <w:szCs w:val="20"/>
                <w:color w:val="auto"/>
              </w:rPr>
            </w:pPr>
            <w:r>
              <w:rPr>
                <w:rFonts w:ascii="Arial" w:cs="Arial" w:eastAsia="Arial" w:hAnsi="Arial"/>
                <w:sz w:val="16"/>
                <w:szCs w:val="16"/>
                <w:color w:val="auto"/>
              </w:rPr>
              <w:t>China</w:t>
            </w:r>
          </w:p>
        </w:tc>
        <w:tc>
          <w:tcPr>
            <w:tcW w:w="12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2,560</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2,325</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2,510</w:t>
            </w:r>
          </w:p>
        </w:tc>
      </w:tr>
      <w:tr>
        <w:trPr>
          <w:trHeight w:val="29"/>
        </w:trPr>
        <w:tc>
          <w:tcPr>
            <w:tcW w:w="5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1"/>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countries</w:t>
            </w:r>
          </w:p>
        </w:tc>
        <w:tc>
          <w:tcPr>
            <w:tcW w:w="124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8,764</w:t>
            </w:r>
          </w:p>
        </w:tc>
        <w:tc>
          <w:tcPr>
            <w:tcW w:w="20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8,197</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8,015</w:t>
            </w:r>
          </w:p>
        </w:tc>
      </w:tr>
      <w:tr>
        <w:trPr>
          <w:trHeight w:val="229"/>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revenues</w:t>
            </w:r>
          </w:p>
        </w:tc>
        <w:tc>
          <w:tcPr>
            <w:tcW w:w="124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19,552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18,341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17,585</w:t>
            </w:r>
          </w:p>
        </w:tc>
      </w:tr>
      <w:tr>
        <w:trPr>
          <w:trHeight w:val="21"/>
        </w:trPr>
        <w:tc>
          <w:tcPr>
            <w:tcW w:w="7380" w:type="dxa"/>
            <w:vAlign w:val="bottom"/>
            <w:tcBorders>
              <w:bottom w:val="single" w:sz="8" w:color="auto"/>
            </w:tcBorders>
            <w:gridSpan w:val="3"/>
          </w:tcPr>
          <w:p>
            <w:pPr>
              <w:spacing w:after="0" w:line="20" w:lineRule="exact"/>
              <w:rPr>
                <w:sz w:val="1"/>
                <w:szCs w:val="1"/>
                <w:color w:val="auto"/>
              </w:rPr>
            </w:pPr>
          </w:p>
        </w:tc>
        <w:tc>
          <w:tcPr>
            <w:tcW w:w="3860" w:type="dxa"/>
            <w:vAlign w:val="bottom"/>
            <w:tcBorders>
              <w:bottom w:val="single" w:sz="8" w:color="auto"/>
            </w:tcBorders>
            <w:gridSpan w:val="5"/>
          </w:tcPr>
          <w:p>
            <w:pPr>
              <w:spacing w:after="0" w:line="20" w:lineRule="exact"/>
              <w:rPr>
                <w:sz w:val="1"/>
                <w:szCs w:val="1"/>
                <w:color w:val="auto"/>
              </w:rPr>
            </w:pPr>
          </w:p>
        </w:tc>
      </w:tr>
      <w:tr>
        <w:trPr>
          <w:trHeight w:val="532"/>
        </w:trPr>
        <w:tc>
          <w:tcPr>
            <w:tcW w:w="11240" w:type="dxa"/>
            <w:vAlign w:val="bottom"/>
            <w:gridSpan w:val="8"/>
          </w:tcPr>
          <w:p>
            <w:pPr>
              <w:spacing w:after="0"/>
              <w:rPr>
                <w:sz w:val="20"/>
                <w:szCs w:val="20"/>
                <w:color w:val="auto"/>
              </w:rPr>
            </w:pPr>
            <w:r>
              <w:rPr>
                <w:rFonts w:ascii="Arial" w:cs="Arial" w:eastAsia="Arial" w:hAnsi="Arial"/>
                <w:sz w:val="16"/>
                <w:szCs w:val="16"/>
                <w:color w:val="auto"/>
              </w:rPr>
              <w:t>Long-lived assets represent Property, plant, and equipment – net, and are classified according to the country where the asset is located.</w:t>
            </w:r>
          </w:p>
        </w:tc>
      </w:tr>
      <w:tr>
        <w:trPr>
          <w:trHeight w:val="508"/>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Long-Lived Assets – Net by Country</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5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5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5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454545"/>
              </w:rPr>
              <w:t>December 31, 2023</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5560" w:type="dxa"/>
            <w:vAlign w:val="bottom"/>
            <w:tcBorders>
              <w:bottom w:val="single" w:sz="8" w:color="6400A0"/>
            </w:tcBorders>
          </w:tcPr>
          <w:p>
            <w:pPr>
              <w:spacing w:after="0" w:line="20" w:lineRule="exact"/>
              <w:rPr>
                <w:sz w:val="1"/>
                <w:szCs w:val="1"/>
                <w:color w:val="auto"/>
              </w:rPr>
            </w:pPr>
          </w:p>
        </w:tc>
        <w:tc>
          <w:tcPr>
            <w:tcW w:w="124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7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w:t>
            </w:r>
          </w:p>
        </w:tc>
        <w:tc>
          <w:tcPr>
            <w:tcW w:w="12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42"/>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860</w:t>
            </w:r>
          </w:p>
        </w:tc>
      </w:tr>
      <w:tr>
        <w:trPr>
          <w:trHeight w:val="228"/>
        </w:trPr>
        <w:tc>
          <w:tcPr>
            <w:tcW w:w="5560" w:type="dxa"/>
            <w:vAlign w:val="bottom"/>
          </w:tcPr>
          <w:p>
            <w:pPr>
              <w:ind w:left="20"/>
              <w:spacing w:after="0"/>
              <w:rPr>
                <w:sz w:val="20"/>
                <w:szCs w:val="20"/>
                <w:color w:val="auto"/>
              </w:rPr>
            </w:pPr>
            <w:r>
              <w:rPr>
                <w:rFonts w:ascii="Arial" w:cs="Arial" w:eastAsia="Arial" w:hAnsi="Arial"/>
                <w:sz w:val="16"/>
                <w:szCs w:val="16"/>
                <w:color w:val="auto"/>
              </w:rPr>
              <w:t>China</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9"/>
        </w:trPr>
        <w:tc>
          <w:tcPr>
            <w:tcW w:w="5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Norway</w:t>
            </w:r>
          </w:p>
        </w:tc>
        <w:tc>
          <w:tcPr>
            <w:tcW w:w="12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286</w:t>
            </w:r>
          </w:p>
        </w:tc>
        <w:tc>
          <w:tcPr>
            <w:tcW w:w="22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w:t>
            </w:r>
          </w:p>
        </w:tc>
      </w:tr>
      <w:tr>
        <w:trPr>
          <w:trHeight w:val="227"/>
        </w:trPr>
        <w:tc>
          <w:tcPr>
            <w:tcW w:w="5560" w:type="dxa"/>
            <w:vAlign w:val="bottom"/>
          </w:tcPr>
          <w:p>
            <w:pPr>
              <w:ind w:left="20"/>
              <w:spacing w:after="0"/>
              <w:rPr>
                <w:sz w:val="20"/>
                <w:szCs w:val="20"/>
                <w:color w:val="auto"/>
              </w:rPr>
            </w:pPr>
            <w:r>
              <w:rPr>
                <w:rFonts w:ascii="Arial" w:cs="Arial" w:eastAsia="Arial" w:hAnsi="Arial"/>
                <w:sz w:val="16"/>
                <w:szCs w:val="16"/>
                <w:color w:val="auto"/>
              </w:rPr>
              <w:t>All other countries</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910</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812</w:t>
            </w:r>
          </w:p>
        </w:tc>
      </w:tr>
      <w:tr>
        <w:trPr>
          <w:trHeight w:val="29"/>
        </w:trPr>
        <w:tc>
          <w:tcPr>
            <w:tcW w:w="5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long-lived assets – net</w:t>
            </w:r>
          </w:p>
        </w:tc>
        <w:tc>
          <w:tcPr>
            <w:tcW w:w="12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2,314</w:t>
            </w:r>
          </w:p>
        </w:tc>
      </w:tr>
      <w:tr>
        <w:trPr>
          <w:trHeight w:val="20"/>
        </w:trPr>
        <w:tc>
          <w:tcPr>
            <w:tcW w:w="5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3,339</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3,112</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284</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3,525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3,295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275"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$144 million and $157 million as of December 31, 2023 and 2022,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allowance for credit losses related to current receivables for the years ended December 31, 2023, 2022, and 2021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tcBorders>
              <w:top w:val="single" w:sz="8" w:color="6022A6"/>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4000" w:type="dxa"/>
            <w:vAlign w:val="bottom"/>
            <w:tcBorders>
              <w:top w:val="single" w:sz="8" w:color="6022A6"/>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w:t>
            </w:r>
          </w:p>
        </w:tc>
      </w:tr>
      <w:tr>
        <w:trPr>
          <w:trHeight w:val="228"/>
        </w:trPr>
        <w:tc>
          <w:tcPr>
            <w:tcW w:w="5980" w:type="dxa"/>
            <w:vAlign w:val="bottom"/>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4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5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5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Write-offs</w:t>
            </w:r>
          </w:p>
        </w:tc>
        <w:tc>
          <w:tcPr>
            <w:tcW w:w="40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28"/>
        </w:trPr>
        <w:tc>
          <w:tcPr>
            <w:tcW w:w="59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4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59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4000" w:type="dxa"/>
            <w:vAlign w:val="bottom"/>
            <w:tcBorders>
              <w:bottom w:val="single" w:sz="8" w:color="E4E4E4"/>
            </w:tcBorders>
            <w:shd w:val="clear" w:color="auto" w:fill="E4E4E4"/>
          </w:tcPr>
          <w:p>
            <w:pPr>
              <w:spacing w:after="0"/>
              <w:rPr>
                <w:sz w:val="21"/>
                <w:szCs w:val="21"/>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w:t>
            </w:r>
          </w:p>
        </w:tc>
      </w:tr>
      <w:tr>
        <w:trPr>
          <w:trHeight w:val="221"/>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40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5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5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Write-offs</w:t>
            </w:r>
          </w:p>
        </w:tc>
        <w:tc>
          <w:tcPr>
            <w:tcW w:w="40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28"/>
        </w:trPr>
        <w:tc>
          <w:tcPr>
            <w:tcW w:w="59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4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59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4000" w:type="dxa"/>
            <w:vAlign w:val="bottom"/>
            <w:tcBorders>
              <w:bottom w:val="single" w:sz="8" w:color="E4E4E4"/>
            </w:tcBorders>
            <w:shd w:val="clear" w:color="auto" w:fill="E4E4E4"/>
          </w:tcPr>
          <w:p>
            <w:pPr>
              <w:spacing w:after="0"/>
              <w:rPr>
                <w:sz w:val="21"/>
                <w:szCs w:val="21"/>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r>
      <w:tr>
        <w:trPr>
          <w:trHeight w:val="221"/>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40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5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5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Write-offs</w:t>
            </w:r>
          </w:p>
        </w:tc>
        <w:tc>
          <w:tcPr>
            <w:tcW w:w="40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59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4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59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4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w:t>
            </w:r>
          </w:p>
        </w:tc>
      </w:tr>
      <w:tr>
        <w:trPr>
          <w:trHeight w:val="20"/>
        </w:trPr>
        <w:tc>
          <w:tcPr>
            <w:tcW w:w="598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159"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customer receivables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Sundry receivables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Non-income based tax receivables</w:t>
            </w:r>
          </w:p>
        </w:tc>
        <w:tc>
          <w:tcPr>
            <w:tcW w:w="180" w:type="dxa"/>
            <w:vAlign w:val="bottom"/>
            <w:tcBorders>
              <w:bottom w:val="single" w:sz="8" w:color="E4E4E4"/>
            </w:tcBorders>
            <w:shd w:val="clear" w:color="auto" w:fill="E4E4E4"/>
          </w:tcPr>
          <w:p>
            <w:pPr>
              <w:spacing w:after="0"/>
              <w:rPr>
                <w:sz w:val="20"/>
                <w:szCs w:val="20"/>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r>
      <w:tr>
        <w:trPr>
          <w:trHeight w:val="256"/>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credit losses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124</w:t>
            </w:r>
          </w:p>
        </w:tc>
        <w:tc>
          <w:tcPr>
            <w:tcW w:w="240" w:type="dxa"/>
            <w:vAlign w:val="bottom"/>
            <w:tcBorders>
              <w:bottom w:val="single" w:sz="8" w:color="auto"/>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w:t>
            </w:r>
          </w:p>
        </w:tc>
      </w:tr>
    </w:tbl>
    <w:p>
      <w:pPr>
        <w:spacing w:after="0" w:line="80"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Write-offs of long-term receivables were not material for the years ended December 31, 2023 and 2022.</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Long-term receivables are recognized within All other assets in the Consolidated and Combined Statements of Financial Position.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Financing Receivables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(1)</w:t>
            </w:r>
          </w:p>
        </w:tc>
        <w:tc>
          <w:tcPr>
            <w:tcW w:w="18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80" w:type="dxa"/>
            <w:vAlign w:val="bottom"/>
            <w:tcBorders>
              <w:bottom w:val="single" w:sz="8" w:color="E4E4E4"/>
            </w:tcBorders>
            <w:shd w:val="clear" w:color="auto" w:fill="E4E4E4"/>
          </w:tcPr>
          <w:p>
            <w:pPr>
              <w:spacing w:after="0"/>
              <w:rPr>
                <w:sz w:val="20"/>
                <w:szCs w:val="20"/>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r>
    </w:tbl>
    <w:p>
      <w:pPr>
        <w:spacing w:after="0" w:line="67" w:lineRule="exact"/>
        <w:rPr>
          <w:sz w:val="20"/>
          <w:szCs w:val="20"/>
          <w:color w:val="auto"/>
        </w:rPr>
      </w:pPr>
    </w:p>
    <w:p>
      <w:pPr>
        <w:ind w:left="260" w:right="240" w:hanging="252"/>
        <w:spacing w:after="0" w:line="304"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assets, respectively, in the Consolidated and Combined Statements of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Total financing receivables sold were $27 million, $8 million, and $104 million for the years ended December 31, 2023, 2022, and 2021, respectively.</w:t>
      </w:r>
    </w:p>
    <w:p>
      <w:pPr>
        <w:spacing w:after="0" w:line="2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of December 31, 2023, 5%, 5%, and 6% of financing receivables were over 30 days past due, over 90 days past due, and on nonaccrual, respectively, with the majority of nonaccrual financing receivables secured by collateral. As of December 31, 2022, 7%, 6%, and 6%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As a lessee, the Company leases certain logistics, office, and manufacturing facilities, as well as vehicles and other equipment. Certain of the Company’s leases may include options to extend. Our ROU operating lease assets are recognized within Property, plant, and equipment – net in the Consolidated and Combined Statements of Financial Position. Our operating lease liabilities are recognized within All other current liabilities and All other liabilities in the Consolidated and Combined Statements of Financial Position, as detailed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Operating Lease Assets and Liabilities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55"/>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Operating lease ROU assets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356</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313</w:t>
            </w:r>
          </w:p>
        </w:tc>
      </w:tr>
      <w:tr>
        <w:trPr>
          <w:trHeight w:val="221"/>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c>
          <w:tcPr>
            <w:tcW w:w="24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Operating Lease Expense</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7"/>
        </w:trPr>
        <w:tc>
          <w:tcPr>
            <w:tcW w:w="4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40" w:type="dxa"/>
            <w:vAlign w:val="bottom"/>
            <w:gridSpan w:val="6"/>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
        </w:trPr>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gridSpan w:val="2"/>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2022</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700" w:type="dxa"/>
            <w:vAlign w:val="bottom"/>
          </w:tcPr>
          <w:p>
            <w:pPr>
              <w:spacing w:after="0"/>
              <w:rPr>
                <w:sz w:val="19"/>
                <w:szCs w:val="19"/>
                <w:color w:val="auto"/>
              </w:rPr>
            </w:pPr>
          </w:p>
        </w:tc>
      </w:tr>
      <w:tr>
        <w:trPr>
          <w:trHeight w:val="21"/>
        </w:trPr>
        <w:tc>
          <w:tcPr>
            <w:tcW w:w="44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r>
      <w:tr>
        <w:trPr>
          <w:trHeight w:val="230"/>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(fixed)</w:t>
            </w:r>
          </w:p>
        </w:tc>
        <w:tc>
          <w:tcPr>
            <w:tcW w:w="3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600" w:type="dxa"/>
            <w:vAlign w:val="bottom"/>
            <w:tcBorders>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Long-term (variable)</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9"/>
        </w:trPr>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2"/>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w:t>
            </w:r>
          </w:p>
        </w:tc>
        <w:tc>
          <w:tcPr>
            <w:tcW w:w="36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60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expense</w:t>
            </w: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93"/>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Maturity of Lease Liabilities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6"/>
        </w:trPr>
        <w:tc>
          <w:tcPr>
            <w:tcW w:w="4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22"/>
                <w:szCs w:val="22"/>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2027</w:t>
            </w: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454545"/>
                <w:w w:val="95"/>
              </w:rPr>
              <w:t>2028</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454545"/>
              </w:rPr>
              <w:t>Thereafter</w:t>
            </w: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454545"/>
                <w:w w:val="99"/>
              </w:rPr>
              <w:t>Total</w:t>
            </w:r>
          </w:p>
        </w:tc>
      </w:tr>
      <w:tr>
        <w:trPr>
          <w:trHeight w:val="21"/>
        </w:trPr>
        <w:tc>
          <w:tcPr>
            <w:tcW w:w="44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gridSpan w:val="2"/>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r>
      <w:tr>
        <w:trPr>
          <w:trHeight w:val="230"/>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Undiscounted lease payments</w:t>
            </w:r>
          </w:p>
        </w:tc>
        <w:tc>
          <w:tcPr>
            <w:tcW w:w="3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124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48 $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60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52 $</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426</w:t>
            </w:r>
          </w:p>
        </w:tc>
      </w:tr>
      <w:tr>
        <w:trPr>
          <w:trHeight w:val="227"/>
        </w:trPr>
        <w:tc>
          <w:tcPr>
            <w:tcW w:w="44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9"/>
        </w:trPr>
        <w:tc>
          <w:tcPr>
            <w:tcW w:w="4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lease liability as of December 31, 2023</w:t>
            </w:r>
          </w:p>
        </w:tc>
        <w:tc>
          <w:tcPr>
            <w:tcW w:w="36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70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spacing w:after="0"/>
              <w:rPr>
                <w:sz w:val="21"/>
                <w:szCs w:val="21"/>
                <w:color w:val="auto"/>
              </w:rPr>
            </w:pPr>
          </w:p>
        </w:tc>
        <w:tc>
          <w:tcPr>
            <w:tcW w:w="64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spacing w:after="0"/>
              <w:rPr>
                <w:sz w:val="21"/>
                <w:szCs w:val="21"/>
                <w:color w:val="auto"/>
              </w:rPr>
            </w:pPr>
          </w:p>
        </w:tc>
        <w:tc>
          <w:tcPr>
            <w:tcW w:w="6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383</w:t>
            </w:r>
          </w:p>
        </w:tc>
      </w:tr>
      <w:tr>
        <w:trPr>
          <w:trHeight w:val="580"/>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Supplemental Information Related to Operating Leases</w:t>
            </w:r>
          </w:p>
        </w:tc>
        <w:tc>
          <w:tcPr>
            <w:tcW w:w="3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7"/>
        </w:trPr>
        <w:tc>
          <w:tcPr>
            <w:tcW w:w="4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40" w:type="dxa"/>
            <w:vAlign w:val="bottom"/>
            <w:gridSpan w:val="6"/>
          </w:tcPr>
          <w:p>
            <w:pPr>
              <w:jc w:val="center"/>
              <w:ind w:left="279"/>
              <w:spacing w:after="0"/>
              <w:rPr>
                <w:sz w:val="20"/>
                <w:szCs w:val="20"/>
                <w:color w:val="auto"/>
              </w:rPr>
            </w:pPr>
            <w:r>
              <w:rPr>
                <w:rFonts w:ascii="Arial" w:cs="Arial" w:eastAsia="Arial" w:hAnsi="Arial"/>
                <w:sz w:val="16"/>
                <w:szCs w:val="16"/>
                <w:b w:val="1"/>
                <w:bCs w:val="1"/>
                <w:color w:val="454545"/>
              </w:rPr>
              <w:t>For the years ended December 31</w:t>
            </w: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
        </w:trPr>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gridSpan w:val="2"/>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454545"/>
              </w:rPr>
              <w:t>2023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700" w:type="dxa"/>
            <w:vAlign w:val="bottom"/>
          </w:tcPr>
          <w:p>
            <w:pPr>
              <w:spacing w:after="0"/>
              <w:rPr>
                <w:sz w:val="19"/>
                <w:szCs w:val="19"/>
                <w:color w:val="auto"/>
              </w:rPr>
            </w:pPr>
          </w:p>
        </w:tc>
      </w:tr>
      <w:tr>
        <w:trPr>
          <w:trHeight w:val="21"/>
        </w:trPr>
        <w:tc>
          <w:tcPr>
            <w:tcW w:w="44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gridSpan w:val="2"/>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r>
      <w:tr>
        <w:trPr>
          <w:trHeight w:val="230"/>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cash flows used for operating leases</w:t>
            </w:r>
          </w:p>
        </w:tc>
        <w:tc>
          <w:tcPr>
            <w:tcW w:w="36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130</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6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128</w:t>
            </w:r>
          </w:p>
        </w:tc>
      </w:tr>
      <w:tr>
        <w:trPr>
          <w:trHeight w:val="228"/>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Right-of-use assets obtained in exchange for new lease liabilities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29"/>
        </w:trPr>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44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36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60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4.7</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gridSpan w:val="2"/>
          </w:tcPr>
          <w:p>
            <w:pPr>
              <w:jc w:val="right"/>
              <w:ind w:right="439"/>
              <w:spacing w:after="0"/>
              <w:rPr>
                <w:sz w:val="20"/>
                <w:szCs w:val="20"/>
                <w:color w:val="auto"/>
              </w:rPr>
            </w:pPr>
            <w:r>
              <w:rPr>
                <w:rFonts w:ascii="Arial" w:cs="Arial" w:eastAsia="Arial" w:hAnsi="Arial"/>
                <w:sz w:val="16"/>
                <w:szCs w:val="16"/>
                <w:color w:val="auto"/>
              </w:rPr>
              <w:t>3.8 %</w:t>
            </w: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9"/>
        </w:trPr>
        <w:tc>
          <w:tcPr>
            <w:tcW w:w="4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LEASES.</w:t>
      </w:r>
    </w:p>
    <w:p>
      <w:pPr>
        <w:spacing w:after="0" w:line="2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Company leases equipment manufactured or sold by the Company to customers through sales-type leases. Sales-type leases are included in financing receivables and are recognized within All other current assets and All other assets in the Consolidated and Combined Statements of Financial Position.</w:t>
      </w:r>
    </w:p>
    <w:p>
      <w:pPr>
        <w:spacing w:after="0" w:line="16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Finance lease income was $13 million, $12 million, and $16 million for the years ended December 31, 2023, 2022, and 2021, respectively, and is recognized within Other (income) expense – net in the Consolidated and Combined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Net Investment in Financing Leases</w:t>
            </w: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7"/>
        </w:trPr>
        <w:tc>
          <w:tcPr>
            <w:tcW w:w="3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454545"/>
              </w:rPr>
              <w:t>As of</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
        </w:trPr>
        <w:tc>
          <w:tcPr>
            <w:tcW w:w="3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454545"/>
            </w:tcBorders>
            <w:gridSpan w:val="3"/>
          </w:tcPr>
          <w:p>
            <w:pPr>
              <w:spacing w:after="0" w:line="20" w:lineRule="exact"/>
              <w:rPr>
                <w:sz w:val="1"/>
                <w:szCs w:val="1"/>
                <w:color w:val="auto"/>
              </w:rPr>
            </w:pPr>
          </w:p>
        </w:tc>
        <w:tc>
          <w:tcPr>
            <w:tcW w:w="2000" w:type="dxa"/>
            <w:vAlign w:val="bottom"/>
            <w:tcBorders>
              <w:bottom w:val="single" w:sz="8" w:color="454545"/>
            </w:tcBorders>
            <w:gridSpan w:val="3"/>
          </w:tcPr>
          <w:p>
            <w:pPr>
              <w:spacing w:after="0" w:line="20" w:lineRule="exact"/>
              <w:rPr>
                <w:sz w:val="1"/>
                <w:szCs w:val="1"/>
                <w:color w:val="auto"/>
              </w:rPr>
            </w:pPr>
          </w:p>
        </w:tc>
      </w:tr>
      <w:tr>
        <w:trPr>
          <w:trHeight w:val="229"/>
        </w:trPr>
        <w:tc>
          <w:tcPr>
            <w:tcW w:w="3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December 31, 2023</w:t>
            </w:r>
          </w:p>
        </w:tc>
        <w:tc>
          <w:tcPr>
            <w:tcW w:w="2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34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Total minimum lease payments receivable</w:t>
            </w:r>
          </w:p>
        </w:tc>
        <w:tc>
          <w:tcPr>
            <w:tcW w:w="11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236</w:t>
            </w:r>
          </w:p>
        </w:tc>
        <w:tc>
          <w:tcPr>
            <w:tcW w:w="90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248</w:t>
            </w:r>
          </w:p>
        </w:tc>
      </w:tr>
      <w:tr>
        <w:trPr>
          <w:trHeight w:val="228"/>
        </w:trPr>
        <w:tc>
          <w:tcPr>
            <w:tcW w:w="3440" w:type="dxa"/>
            <w:vAlign w:val="bottom"/>
          </w:tcPr>
          <w:p>
            <w:pPr>
              <w:ind w:left="20"/>
              <w:spacing w:after="0"/>
              <w:rPr>
                <w:sz w:val="20"/>
                <w:szCs w:val="20"/>
                <w:color w:val="auto"/>
              </w:rPr>
            </w:pPr>
            <w:r>
              <w:rPr>
                <w:rFonts w:ascii="Arial" w:cs="Arial" w:eastAsia="Arial" w:hAnsi="Arial"/>
                <w:sz w:val="16"/>
                <w:szCs w:val="16"/>
                <w:color w:val="auto"/>
              </w:rPr>
              <w:t>Less: deferred income</w:t>
            </w: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77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9"/>
        </w:trPr>
        <w:tc>
          <w:tcPr>
            <w:tcW w:w="3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Discounted lease receivable</w:t>
            </w:r>
          </w:p>
        </w:tc>
        <w:tc>
          <w:tcPr>
            <w:tcW w:w="11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w:t>
            </w:r>
          </w:p>
        </w:tc>
        <w:tc>
          <w:tcPr>
            <w:tcW w:w="9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218</w:t>
            </w:r>
          </w:p>
        </w:tc>
      </w:tr>
      <w:tr>
        <w:trPr>
          <w:trHeight w:val="228"/>
        </w:trPr>
        <w:tc>
          <w:tcPr>
            <w:tcW w:w="5920" w:type="dxa"/>
            <w:vAlign w:val="bottom"/>
            <w:gridSpan w:val="4"/>
          </w:tcPr>
          <w:p>
            <w:pPr>
              <w:ind w:left="20"/>
              <w:spacing w:after="0"/>
              <w:rPr>
                <w:sz w:val="20"/>
                <w:szCs w:val="20"/>
                <w:color w:val="auto"/>
              </w:rPr>
            </w:pPr>
            <w:r>
              <w:rPr>
                <w:rFonts w:ascii="Arial" w:cs="Arial" w:eastAsia="Arial" w:hAnsi="Arial"/>
                <w:sz w:val="16"/>
                <w:szCs w:val="16"/>
                <w:color w:val="auto"/>
              </w:rPr>
              <w:t>Estimated unguaranteed residual value of leased assets, net of deferred income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46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46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Investment in financing leases, net of deferred income</w:t>
            </w:r>
          </w:p>
        </w:tc>
        <w:tc>
          <w:tcPr>
            <w:tcW w:w="52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7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217</w:t>
            </w:r>
          </w:p>
        </w:tc>
        <w:tc>
          <w:tcPr>
            <w:tcW w:w="90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594"/>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Contractual Maturities</w:t>
            </w:r>
          </w:p>
        </w:tc>
        <w:tc>
          <w:tcPr>
            <w:tcW w:w="1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472"/>
        </w:trPr>
        <w:tc>
          <w:tcPr>
            <w:tcW w:w="3440" w:type="dxa"/>
            <w:vAlign w:val="bottom"/>
          </w:tcPr>
          <w:p>
            <w:pPr>
              <w:ind w:left="20"/>
              <w:spacing w:after="0"/>
              <w:rPr>
                <w:sz w:val="20"/>
                <w:szCs w:val="20"/>
                <w:color w:val="auto"/>
              </w:rPr>
            </w:pPr>
            <w:r>
              <w:rPr>
                <w:rFonts w:ascii="Arial" w:cs="Arial" w:eastAsia="Arial" w:hAnsi="Arial"/>
                <w:sz w:val="16"/>
                <w:szCs w:val="16"/>
                <w:b w:val="1"/>
                <w:bCs w:val="1"/>
                <w:color w:val="454545"/>
              </w:rPr>
              <w:t>Due In</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2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34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454545"/>
              </w:rPr>
              <w:t>2027</w:t>
            </w:r>
          </w:p>
        </w:tc>
        <w:tc>
          <w:tcPr>
            <w:tcW w:w="260" w:type="dxa"/>
            <w:vAlign w:val="bottom"/>
          </w:tcPr>
          <w:p>
            <w:pPr>
              <w:spacing w:after="0"/>
              <w:rPr>
                <w:sz w:val="24"/>
                <w:szCs w:val="24"/>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2028</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Thereafter</w:t>
            </w:r>
          </w:p>
        </w:tc>
        <w:tc>
          <w:tcPr>
            <w:tcW w:w="260" w:type="dxa"/>
            <w:vAlign w:val="bottom"/>
          </w:tcPr>
          <w:p>
            <w:pPr>
              <w:spacing w:after="0"/>
              <w:rPr>
                <w:sz w:val="24"/>
                <w:szCs w:val="24"/>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4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minimum lease payments receivable</w:t>
            </w:r>
          </w:p>
        </w:tc>
        <w:tc>
          <w:tcPr>
            <w:tcW w:w="116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80 $</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w:t>
            </w:r>
          </w:p>
        </w:tc>
      </w:tr>
      <w:tr>
        <w:trPr>
          <w:trHeight w:val="20"/>
        </w:trPr>
        <w:tc>
          <w:tcPr>
            <w:tcW w:w="3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expect actual maturities to differ from contractual maturities, primarily as a result of prepayments.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8.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of future holdback payment, and potential earn-out payments valued at $13 million based primarily on various milestones and sales targets. This transaction was accounted for as a business combination. The preliminary purchase price allocation resulted in goodwill of $94 million, intangible assets of $60 million, and deferred tax liabilities of $3 million. Our estimates and assumptions are subject to change within the measurement period. The goodwill associated with the acquired business is non-deductible for tax purposes and is reported in the Ultrasound segment. Caption Health is an artificial intelligence (“AI”) company whose technology expands access to AI-guided ultrasound screening for novice users.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 about the fair value measurement of contingent consideration.</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454545"/>
              </w:rPr>
              <w:t>Imaging</w:t>
            </w:r>
          </w:p>
        </w:tc>
        <w:tc>
          <w:tcPr>
            <w:tcW w:w="16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454545"/>
              </w:rPr>
              <w:t>Ultrasound</w:t>
            </w:r>
          </w:p>
        </w:tc>
        <w:tc>
          <w:tcPr>
            <w:tcW w:w="30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PCS</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PDx</w:t>
            </w:r>
          </w:p>
        </w:tc>
        <w:tc>
          <w:tcPr>
            <w:tcW w:w="300" w:type="dxa"/>
            <w:vAlign w:val="bottom"/>
          </w:tcPr>
          <w:p>
            <w:pPr>
              <w:spacing w:after="0"/>
              <w:rPr>
                <w:sz w:val="19"/>
                <w:szCs w:val="19"/>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8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r>
      <w:tr>
        <w:trPr>
          <w:trHeight w:val="255"/>
        </w:trPr>
        <w:tc>
          <w:tcPr>
            <w:tcW w:w="3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1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4,433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3,876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2,049</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2,534</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12,892</w:t>
            </w:r>
          </w:p>
        </w:tc>
      </w:tr>
      <w:tr>
        <w:trPr>
          <w:trHeight w:val="221"/>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Acquisitions</w:t>
            </w: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37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r>
              <w:rPr>
                <w:rFonts w:ascii="Arial" w:cs="Arial" w:eastAsia="Arial" w:hAnsi="Arial"/>
                <w:sz w:val="21"/>
                <w:szCs w:val="21"/>
                <w:color w:val="auto"/>
                <w:vertAlign w:val="superscript"/>
              </w:rPr>
              <w:t>(1)</w:t>
            </w:r>
          </w:p>
        </w:tc>
        <w:tc>
          <w:tcPr>
            <w:tcW w:w="1140" w:type="dxa"/>
            <w:vAlign w:val="bottom"/>
            <w:tcBorders>
              <w:bottom w:val="single" w:sz="8" w:color="auto"/>
            </w:tcBorders>
            <w:shd w:val="clear" w:color="auto" w:fill="E4E4E4"/>
          </w:tcPr>
          <w:p>
            <w:pPr>
              <w:spacing w:after="0"/>
              <w:rPr>
                <w:sz w:val="22"/>
                <w:szCs w:val="22"/>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auto"/>
            </w:tcBorders>
            <w:shd w:val="clear" w:color="auto" w:fill="E4E4E4"/>
          </w:tcPr>
          <w:p>
            <w:pPr>
              <w:spacing w:after="0"/>
              <w:rPr>
                <w:sz w:val="22"/>
                <w:szCs w:val="22"/>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(79)</w:t>
            </w:r>
          </w:p>
        </w:tc>
      </w:tr>
      <w:tr>
        <w:trPr>
          <w:trHeight w:val="229"/>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4,409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3,835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2,036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2,533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12,813</w:t>
            </w: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shd w:val="clear" w:color="auto" w:fill="E4E4E4"/>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(2)</w:t>
            </w:r>
          </w:p>
        </w:tc>
        <w:tc>
          <w:tcPr>
            <w:tcW w:w="114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E4E4E4"/>
          </w:tcPr>
          <w:p>
            <w:pPr>
              <w:spacing w:after="0"/>
              <w:rPr>
                <w:sz w:val="21"/>
                <w:szCs w:val="21"/>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300" w:type="dxa"/>
            <w:vAlign w:val="bottom"/>
            <w:shd w:val="clear" w:color="auto" w:fill="E4E4E4"/>
          </w:tcPr>
          <w:p>
            <w:pPr>
              <w:spacing w:after="0"/>
              <w:rPr>
                <w:sz w:val="21"/>
                <w:szCs w:val="21"/>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1"/>
                <w:szCs w:val="21"/>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110</w:t>
            </w:r>
          </w:p>
        </w:tc>
      </w:tr>
      <w:tr>
        <w:trPr>
          <w:trHeight w:val="227"/>
        </w:trPr>
        <w:tc>
          <w:tcPr>
            <w:tcW w:w="37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3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1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4,431</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3,933</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2,038</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2,534</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12,936</w:t>
            </w:r>
          </w:p>
        </w:tc>
      </w:tr>
      <w:tr>
        <w:trPr>
          <w:trHeight w:val="20"/>
        </w:trPr>
        <w:tc>
          <w:tcPr>
            <w:tcW w:w="37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includes purchase accounting adjustments for prior year acquisitions.</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the acquisition of IMACTIS SAS in the second quarter of 2023.</w:t>
      </w:r>
    </w:p>
    <w:p>
      <w:pPr>
        <w:spacing w:after="0" w:line="24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performs an impairment test of goodwill annually in the fourth quarter. In 2023, the Company performed qualitative testing for all reporting units that carried goodwill. Based on the results of the qualitative testing, the Company concluded that it was more likely than not that the fair value of each reporting unit exceeded its carrying value and no quantitative testing was required. Quantitative testing was performed for all reporting units in 2022 and 2021. The quantitative testing conducted in 2022 and 2021 concluded that no goodwill impairments existed.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Intangible 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0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454545"/>
              </w:rPr>
              <w:t>As of December 31, 2023</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4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Net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18"/>
                <w:szCs w:val="18"/>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420" w:type="dxa"/>
            <w:vAlign w:val="bottom"/>
          </w:tcPr>
          <w:p>
            <w:pPr>
              <w:spacing w:after="0"/>
              <w:rPr>
                <w:sz w:val="18"/>
                <w:szCs w:val="18"/>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3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Amortization</w:t>
            </w:r>
          </w:p>
        </w:tc>
        <w:tc>
          <w:tcPr>
            <w:tcW w:w="7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3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4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Customer-related</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780" w:type="dxa"/>
            <w:vAlign w:val="bottom"/>
            <w:tcBorders>
              <w:bottom w:val="single" w:sz="8" w:color="E4E4E4"/>
            </w:tcBorders>
            <w:shd w:val="clear" w:color="auto" w:fill="E4E4E4"/>
          </w:tcPr>
          <w:p>
            <w:pPr>
              <w:jc w:val="right"/>
              <w:ind w:right="5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6"/>
                <w:szCs w:val="16"/>
                <w:color w:val="auto"/>
              </w:rPr>
              <w:t>Patents and technology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(1,867)</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9"/>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Capitalized software</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1,963</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(1,509)</w:t>
            </w:r>
          </w:p>
        </w:tc>
        <w:tc>
          <w:tcPr>
            <w:tcW w:w="7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454</w:t>
            </w: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2,309</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(1,638)</w:t>
            </w: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6"/>
                <w:szCs w:val="16"/>
                <w:color w:val="auto"/>
              </w:rPr>
              <w:t>Trademarks and 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9"/>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Indefinite-lived assets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4E4E4"/>
          </w:tcPr>
          <w:p>
            <w:pPr>
              <w:spacing w:after="0"/>
              <w:rPr>
                <w:sz w:val="22"/>
                <w:szCs w:val="22"/>
                <w:color w:val="auto"/>
              </w:rPr>
            </w:pPr>
          </w:p>
        </w:tc>
        <w:tc>
          <w:tcPr>
            <w:tcW w:w="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4,672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(3,419)</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1,253</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(3,490)</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1,520</w:t>
            </w:r>
          </w:p>
        </w:tc>
        <w:tc>
          <w:tcPr>
            <w:tcW w:w="0" w:type="dxa"/>
            <w:vAlign w:val="bottom"/>
          </w:tcPr>
          <w:p>
            <w:pPr>
              <w:spacing w:after="0"/>
              <w:rPr>
                <w:sz w:val="1"/>
                <w:szCs w:val="1"/>
                <w:color w:val="auto"/>
              </w:rPr>
            </w:pP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2143125" cy="317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3125" cy="31750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(1) Indefinite-lived intangible assets relate to acquired IPR&amp;D prior to project completion and are not amortized.</w:t>
      </w:r>
    </w:p>
    <w:p>
      <w:pPr>
        <w:spacing w:after="0" w:line="18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Company performs an impairment test of IPR&amp;D in the third quarter. In 2023, the Company performed qualitative testing for all IPR&amp;D assets. Based on the results of the qualitative testing, the Company concluded that it was more likely than not that the fair value of each IPR&amp;D asset exceeded its carrying value and no quantitative testing was required, with one exception. A quantitative test was performed for one IPR&amp;D asset. Quantitative testing was performed for all IPR&amp;D assets in 2022 and 2021. There were no material impairments of indefinite-lived intangible assets recognized in the years ended December 31, 2023, 2022, or 2021.</w:t>
      </w:r>
    </w:p>
    <w:p>
      <w:pPr>
        <w:spacing w:after="0" w:line="21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year ended December 31, 2023, we recorded additions to acquired intangible assets subject to amortization of $62 million, primarily related to patents and technology, with a weighted-average useful life of nine years.</w:t>
      </w:r>
    </w:p>
    <w:p>
      <w:pPr>
        <w:spacing w:after="0" w:line="18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Amortization expense was $362 million, $405 million, and $400 million for the years ended December 31, 2023, 2022, and 2021, respectively. There were no material impairments of definite-lived intangible assets recognized in the years ended December 31, 2023, 2022, or 2021.</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color w:val="auto"/>
        </w:rPr>
        <w:t>Estimated annual pre-tax amortization expense for intangible assets as of December 31, 2023 over the next five calendar years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Estimated Intangible Pre-tax Amortization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4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22"/>
                <w:szCs w:val="22"/>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320" w:type="dxa"/>
            <w:vAlign w:val="bottom"/>
          </w:tcPr>
          <w:p>
            <w:pPr>
              <w:spacing w:after="0"/>
              <w:rPr>
                <w:sz w:val="22"/>
                <w:szCs w:val="22"/>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2026</w:t>
            </w:r>
          </w:p>
        </w:tc>
        <w:tc>
          <w:tcPr>
            <w:tcW w:w="320" w:type="dxa"/>
            <w:vAlign w:val="bottom"/>
          </w:tcPr>
          <w:p>
            <w:pPr>
              <w:spacing w:after="0"/>
              <w:rPr>
                <w:sz w:val="22"/>
                <w:szCs w:val="22"/>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2027</w:t>
            </w:r>
          </w:p>
        </w:tc>
        <w:tc>
          <w:tcPr>
            <w:tcW w:w="320" w:type="dxa"/>
            <w:vAlign w:val="bottom"/>
          </w:tcPr>
          <w:p>
            <w:pPr>
              <w:spacing w:after="0"/>
              <w:rPr>
                <w:sz w:val="22"/>
                <w:szCs w:val="22"/>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2028</w:t>
            </w:r>
          </w:p>
        </w:tc>
      </w:tr>
      <w:tr>
        <w:trPr>
          <w:trHeight w:val="21"/>
        </w:trPr>
        <w:tc>
          <w:tcPr>
            <w:tcW w:w="402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r>
      <w:tr>
        <w:trPr>
          <w:trHeight w:val="230"/>
        </w:trPr>
        <w:tc>
          <w:tcPr>
            <w:tcW w:w="4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Estimated annual pre-tax amortization</w:t>
            </w:r>
          </w:p>
        </w:tc>
        <w:tc>
          <w:tcPr>
            <w:tcW w:w="10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303</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40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Company’s long-term borrowings include $8,250 million aggregate principal amount of senior unsecured notes in six series with maturity dates ranging from 2024 through 2052 (collectively, the “Notes”). Interest payments on the Notes are due semi-annually until maturity. In the event of a change in control and a related downgrade of the ratings of the Notes below investment grade, the indenture governing the Notes requires that the Company make an offer to each holder of the Notes to repurchase all or any part of that holder’s notes at a repurchase price equal to 101% of the aggregate principal amount of the Notes repurchased, plus any accrued and unpaid interest. The indenture also includes a limitation on liens incurred by the Company and its wholly owned U.S. subsidiaries. The indenture does not restrict the Company or its subsidiaries from incurring indebtedness, nor does it require any financial covenants. All covenants are subject to a number of exceptions, limitations, and qualifications. Refer to the table below for further information about the Notes.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11"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and</w:t>
      </w:r>
    </w:p>
    <w:p>
      <w:pPr>
        <w:spacing w:after="0" w:line="72"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(the “Term Loan Facility” and, together with the five-year revolving credit facility and the 364-day revolving credit facility, the “Credit Facilities”).</w:t>
      </w:r>
    </w:p>
    <w:p>
      <w:pPr>
        <w:spacing w:after="0" w:line="18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as of December 31, 2023 or 2022. In the fourth quarter of 2023, we entered into a new 364-day senior unsecured revolving credit facility to replace the 364-day senior unsecured revolving credit facility that was scheduled to mature in January 2024.</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231F20"/>
        </w:rPr>
        <w:t xml:space="preserve">On January 3, 2023, the Company </w:t>
      </w:r>
      <w:r>
        <w:rPr>
          <w:rFonts w:ascii="Arial" w:cs="Arial" w:eastAsia="Arial" w:hAnsi="Arial"/>
          <w:sz w:val="16"/>
          <w:szCs w:val="16"/>
          <w:color w:val="000000"/>
        </w:rPr>
        <w:t>completed a $2,000 million drawdown of the floating rate Term Loan Facility in connection with the Spin-Off from GE. In</w:t>
      </w:r>
      <w:r>
        <w:rPr>
          <w:rFonts w:ascii="Arial" w:cs="Arial" w:eastAsia="Arial" w:hAnsi="Arial"/>
          <w:sz w:val="16"/>
          <w:szCs w:val="16"/>
          <w:color w:val="231F20"/>
        </w:rPr>
        <w:t xml:space="preserve"> </w:t>
      </w:r>
      <w:r>
        <w:rPr>
          <w:rFonts w:ascii="Arial" w:cs="Arial" w:eastAsia="Arial" w:hAnsi="Arial"/>
          <w:sz w:val="16"/>
          <w:szCs w:val="16"/>
          <w:color w:val="000000"/>
        </w:rPr>
        <w:t>the fourth quarter of 2023, we repaid $850 million of the outstanding Term Loan Facility. We had no principal debt repayments on the Notes for the year ended December 31, 2023.</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pays a facility fee to each lender, which accrues at a rate equal to an applicable margin specified in the revolving credit facility agreements on the daily commitments of the lenders. The borrowings under the Credit Facilities will bear interest at variable interest rates equal to: (i) the alternate base rate or (ii) the Secured Overnight Financing Rate, in each case plus an applicable margin specified in the credit agreement. The Credit Facilities contain affirmative and negative covenants customary to financings of this type that, among other things, limit the Company and its subsidiaries’ ability to incur additional liens and to make certain fundamental changes. In addition, the Credit Facilities contain a financial covenant that requires the Company to not exceed a maximum consolidated net leverage ratio. The Company was in compliance with the financial covenant at each reporting period during 2023. The Credit Facilities will be used for general corporate purposes.</w:t>
      </w:r>
    </w:p>
    <w:p>
      <w:pPr>
        <w:spacing w:after="0" w:line="20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Interest expense associated with long-term debt was $616 million and $54 million for the years ended December 31, 2023 and 2022, respectively, and is included in Interest and other financial charges </w:t>
      </w:r>
      <w:r>
        <w:rPr>
          <w:rFonts w:ascii="Calibri" w:cs="Calibri" w:eastAsia="Calibri" w:hAnsi="Calibri"/>
          <w:sz w:val="19"/>
          <w:szCs w:val="19"/>
          <w:color w:val="auto"/>
        </w:rPr>
        <w:t>–</w:t>
      </w:r>
      <w:r>
        <w:rPr>
          <w:rFonts w:ascii="Arial" w:cs="Arial" w:eastAsia="Arial" w:hAnsi="Arial"/>
          <w:sz w:val="16"/>
          <w:szCs w:val="16"/>
          <w:color w:val="auto"/>
        </w:rPr>
        <w:t xml:space="preserve"> net in the Consolidated and Combined Statements of Income. Interest expense for borrowings was not significant for the year ended December 31, 2021. The weighted average interest rate for the Notes and our Credit Facilities for the years ended December 31, 2023 and 2022 was 6.03% and 5.97%,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57"/>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22"/>
                <w:szCs w:val="22"/>
                <w:color w:val="auto"/>
              </w:rPr>
            </w:pPr>
          </w:p>
        </w:tc>
      </w:tr>
      <w:tr>
        <w:trPr>
          <w:trHeight w:val="21"/>
        </w:trPr>
        <w:tc>
          <w:tcPr>
            <w:tcW w:w="66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454545"/>
              </w:rPr>
              <w:t>December 31, 2023</w:t>
            </w:r>
          </w:p>
        </w:tc>
        <w:tc>
          <w:tcPr>
            <w:tcW w:w="34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200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6640" w:type="dxa"/>
            <w:vAlign w:val="bottom"/>
            <w:tcBorders>
              <w:bottom w:val="single" w:sz="8" w:color="454545"/>
            </w:tcBorders>
          </w:tcPr>
          <w:p>
            <w:pPr>
              <w:spacing w:after="0"/>
              <w:rPr>
                <w:sz w:val="2"/>
                <w:szCs w:val="2"/>
                <w:color w:val="auto"/>
              </w:rPr>
            </w:pPr>
          </w:p>
        </w:tc>
        <w:tc>
          <w:tcPr>
            <w:tcW w:w="280" w:type="dxa"/>
            <w:vAlign w:val="bottom"/>
            <w:tcBorders>
              <w:bottom w:val="single" w:sz="8" w:color="454545"/>
            </w:tcBorders>
          </w:tcPr>
          <w:p>
            <w:pPr>
              <w:spacing w:after="0"/>
              <w:rPr>
                <w:sz w:val="2"/>
                <w:szCs w:val="2"/>
                <w:color w:val="auto"/>
              </w:rPr>
            </w:pPr>
          </w:p>
        </w:tc>
        <w:tc>
          <w:tcPr>
            <w:tcW w:w="2000" w:type="dxa"/>
            <w:vAlign w:val="bottom"/>
            <w:tcBorders>
              <w:bottom w:val="single" w:sz="8" w:color="454545"/>
            </w:tcBorders>
          </w:tcPr>
          <w:p>
            <w:pPr>
              <w:spacing w:after="0"/>
              <w:rPr>
                <w:sz w:val="2"/>
                <w:szCs w:val="2"/>
                <w:color w:val="auto"/>
              </w:rPr>
            </w:pPr>
          </w:p>
        </w:tc>
        <w:tc>
          <w:tcPr>
            <w:tcW w:w="340" w:type="dxa"/>
            <w:vAlign w:val="bottom"/>
            <w:tcBorders>
              <w:bottom w:val="single" w:sz="8" w:color="454545"/>
            </w:tcBorders>
          </w:tcPr>
          <w:p>
            <w:pPr>
              <w:spacing w:after="0"/>
              <w:rPr>
                <w:sz w:val="2"/>
                <w:szCs w:val="2"/>
                <w:color w:val="auto"/>
              </w:rPr>
            </w:pPr>
          </w:p>
        </w:tc>
        <w:tc>
          <w:tcPr>
            <w:tcW w:w="1980" w:type="dxa"/>
            <w:vAlign w:val="bottom"/>
            <w:tcBorders>
              <w:bottom w:val="single" w:sz="8" w:color="454545"/>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80" w:type="dxa"/>
            <w:vAlign w:val="bottom"/>
            <w:tcBorders>
              <w:bottom w:val="single" w:sz="8" w:color="E4E4E4"/>
            </w:tcBorders>
            <w:shd w:val="clear" w:color="auto" w:fill="E4E4E4"/>
          </w:tcPr>
          <w:p>
            <w:pPr>
              <w:spacing w:after="0"/>
              <w:rPr>
                <w:sz w:val="21"/>
                <w:szCs w:val="21"/>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9,452</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8,296</w:t>
            </w:r>
          </w:p>
        </w:tc>
      </w:tr>
      <w:tr>
        <w:trPr>
          <w:trHeight w:val="221"/>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80" w:type="dxa"/>
            <w:vAlign w:val="bottom"/>
            <w:tcBorders>
              <w:top w:val="single" w:sz="8" w:color="454545"/>
            </w:tcBorders>
          </w:tcPr>
          <w:p>
            <w:pPr>
              <w:spacing w:after="0"/>
              <w:rPr>
                <w:sz w:val="19"/>
                <w:szCs w:val="19"/>
                <w:color w:val="auto"/>
              </w:rPr>
            </w:pPr>
          </w:p>
        </w:tc>
        <w:tc>
          <w:tcPr>
            <w:tcW w:w="200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35</w:t>
            </w:r>
          </w:p>
        </w:tc>
        <w:tc>
          <w:tcPr>
            <w:tcW w:w="340" w:type="dxa"/>
            <w:vAlign w:val="bottom"/>
            <w:tcBorders>
              <w:top w:val="single" w:sz="8" w:color="454545"/>
            </w:tcBorders>
          </w:tcPr>
          <w:p>
            <w:pPr>
              <w:spacing w:after="0"/>
              <w:rPr>
                <w:sz w:val="19"/>
                <w:szCs w:val="19"/>
                <w:color w:val="auto"/>
              </w:rPr>
            </w:pP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47</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1"/>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80" w:type="dxa"/>
            <w:vAlign w:val="bottom"/>
            <w:tcBorders>
              <w:bottom w:val="single" w:sz="8" w:color="E4E4E4"/>
            </w:tcBorders>
            <w:shd w:val="clear" w:color="auto" w:fill="E4E4E4"/>
          </w:tcPr>
          <w:p>
            <w:pPr>
              <w:spacing w:after="0"/>
              <w:rPr>
                <w:sz w:val="22"/>
                <w:szCs w:val="22"/>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280" w:type="dxa"/>
            <w:vAlign w:val="bottom"/>
            <w:tcBorders>
              <w:top w:val="single" w:sz="8" w:color="454545"/>
            </w:tcBorders>
          </w:tcPr>
          <w:p>
            <w:pPr>
              <w:spacing w:after="0"/>
              <w:rPr>
                <w:sz w:val="19"/>
                <w:szCs w:val="19"/>
                <w:color w:val="auto"/>
              </w:rPr>
            </w:pPr>
          </w:p>
        </w:tc>
        <w:tc>
          <w:tcPr>
            <w:tcW w:w="200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9,442</w:t>
            </w:r>
          </w:p>
        </w:tc>
        <w:tc>
          <w:tcPr>
            <w:tcW w:w="340" w:type="dxa"/>
            <w:vAlign w:val="bottom"/>
            <w:tcBorders>
              <w:top w:val="single" w:sz="8" w:color="454545"/>
            </w:tcBorders>
          </w:tcPr>
          <w:p>
            <w:pPr>
              <w:spacing w:after="0"/>
              <w:rPr>
                <w:sz w:val="19"/>
                <w:szCs w:val="19"/>
                <w:color w:val="auto"/>
              </w:rPr>
            </w:pP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8,249</w:t>
            </w:r>
          </w:p>
        </w:tc>
      </w:tr>
      <w:tr>
        <w:trPr>
          <w:trHeight w:val="21"/>
        </w:trPr>
        <w:tc>
          <w:tcPr>
            <w:tcW w:w="664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 (net of debt issuance costs)</w:t>
            </w:r>
          </w:p>
        </w:tc>
        <w:tc>
          <w:tcPr>
            <w:tcW w:w="280" w:type="dxa"/>
            <w:vAlign w:val="bottom"/>
            <w:tcBorders>
              <w:bottom w:val="single" w:sz="8" w:color="E4E4E4"/>
            </w:tcBorders>
            <w:shd w:val="clear" w:color="auto" w:fill="E4E4E4"/>
          </w:tcPr>
          <w:p>
            <w:pPr>
              <w:spacing w:after="0"/>
              <w:rPr>
                <w:sz w:val="21"/>
                <w:szCs w:val="21"/>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1,006</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80" w:type="dxa"/>
            <w:vAlign w:val="bottom"/>
            <w:tcBorders>
              <w:top w:val="single" w:sz="8" w:color="454545"/>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00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8,436</w:t>
            </w:r>
          </w:p>
        </w:tc>
        <w:tc>
          <w:tcPr>
            <w:tcW w:w="340" w:type="dxa"/>
            <w:vAlign w:val="bottom"/>
            <w:tcBorders>
              <w:top w:val="single" w:sz="8" w:color="454545"/>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8,234</w:t>
            </w:r>
          </w:p>
        </w:tc>
      </w:tr>
      <w:tr>
        <w:trPr>
          <w:trHeight w:val="21"/>
        </w:trPr>
        <w:tc>
          <w:tcPr>
            <w:tcW w:w="664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borrowings, excluding amortization of discounts and debt issuance costs,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2027</w:t>
            </w:r>
          </w:p>
        </w:tc>
        <w:tc>
          <w:tcPr>
            <w:tcW w:w="400" w:type="dxa"/>
            <w:vAlign w:val="bottom"/>
          </w:tcPr>
          <w:p>
            <w:pPr>
              <w:spacing w:after="0"/>
              <w:rPr>
                <w:sz w:val="19"/>
                <w:szCs w:val="19"/>
                <w:color w:val="auto"/>
              </w:rPr>
            </w:pPr>
          </w:p>
        </w:tc>
        <w:tc>
          <w:tcPr>
            <w:tcW w:w="1500" w:type="dxa"/>
            <w:vAlign w:val="bottom"/>
          </w:tcPr>
          <w:p>
            <w:pPr>
              <w:jc w:val="right"/>
              <w:ind w:right="819"/>
              <w:spacing w:after="0"/>
              <w:rPr>
                <w:sz w:val="20"/>
                <w:szCs w:val="20"/>
                <w:color w:val="auto"/>
              </w:rPr>
            </w:pPr>
            <w:r>
              <w:rPr>
                <w:rFonts w:ascii="Arial" w:cs="Arial" w:eastAsia="Arial" w:hAnsi="Arial"/>
                <w:sz w:val="16"/>
                <w:szCs w:val="16"/>
                <w:b w:val="1"/>
                <w:bCs w:val="1"/>
                <w:color w:val="454545"/>
              </w:rPr>
              <w:t>2028</w:t>
            </w: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454545"/>
              </w:rPr>
              <w:t>Thereafter</w:t>
            </w:r>
          </w:p>
        </w:tc>
        <w:tc>
          <w:tcPr>
            <w:tcW w:w="40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104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122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12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50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r>
      <w:tr>
        <w:trPr>
          <w:trHeight w:val="230"/>
        </w:trPr>
        <w:tc>
          <w:tcPr>
            <w:tcW w:w="104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1,008</w:t>
            </w:r>
          </w:p>
        </w:tc>
        <w:tc>
          <w:tcPr>
            <w:tcW w:w="38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1,541</w:t>
            </w:r>
          </w:p>
        </w:tc>
        <w:tc>
          <w:tcPr>
            <w:tcW w:w="38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1,152</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1,751</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4,000</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9,452</w:t>
            </w:r>
          </w:p>
        </w:tc>
      </w:tr>
      <w:tr>
        <w:trPr>
          <w:trHeight w:val="20"/>
        </w:trPr>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 about borrowings and associated derivatives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of December 31, 2023 and 2022, the Company had bank guarantees and surety bonds of approximately $751 million and $657 million, respectively, related to certain commercial contracts. Additionally, we have approximately $39 million and $43 million of guarantees as of December 31, 2023 and 2022, respectively, primarily related to residual and credit guarantees on equipment sold to third-party finance companies. Our Consolidated and Combined Statements of Financial Position reflect a liability of $4 million as of December 31, 2023 and 2022 related to these guarantees. For credit-related guarantees, we estimate our expected credit losses related to off-balance sheet credit exposure consistent with the method used to estimate the allowance for credit losses on financial assets held at amortized cost. See Note 14, “Commitments, Guarantees, Product Warranties, and Other Loss Contingencies” for further information on guarantee arrangements with 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 PLANS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 AND RETIREE HEALTH AND LIFE BENEFITS SPONSORED BY GE PRIOR TO SPIN-OFF.</w:t>
      </w: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231F20"/>
        </w:rPr>
        <w:t>C</w:t>
      </w:r>
      <w:r>
        <w:rPr>
          <w:rFonts w:ascii="Arial" w:cs="Arial" w:eastAsia="Arial" w:hAnsi="Arial"/>
          <w:sz w:val="16"/>
          <w:szCs w:val="16"/>
          <w:color w:val="000000"/>
        </w:rPr>
        <w:t>ertain GE HealthCare employees were covered under various pension and retiree health and life plans sponsored by GE prior to the Spin-Off. These plans</w:t>
      </w:r>
      <w:r>
        <w:rPr>
          <w:rFonts w:ascii="Arial" w:cs="Arial" w:eastAsia="Arial" w:hAnsi="Arial"/>
          <w:sz w:val="16"/>
          <w:szCs w:val="16"/>
          <w:color w:val="231F20"/>
        </w:rPr>
        <w:t xml:space="preserve"> </w:t>
      </w:r>
      <w:r>
        <w:rPr>
          <w:rFonts w:ascii="Arial" w:cs="Arial" w:eastAsia="Arial" w:hAnsi="Arial"/>
          <w:sz w:val="16"/>
          <w:szCs w:val="16"/>
          <w:color w:val="000000"/>
        </w:rPr>
        <w:t>were accounted for as multiemployer plans prior to the Spin-Off. Certain of these benefit plans are closed to new participants. For the years ended December 31, 2022 and 2021, relevant costs for these plans were allocated to the Company by GE and recognized within the Combined Statements of Income. These costs included service costs for active employees in the U.S. GE Pension Plan, certain international pension plans, the U.S. GE Supplementary Pension Plan, and certain U.S. retiree benefit plans. We did not record any assets or liabilities associated with our participation in these plans in our Combined Statement of Financial Position as of December 31, 2022.</w:t>
      </w:r>
    </w:p>
    <w:p>
      <w:pPr>
        <w:spacing w:after="0" w:line="20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Expenses associated with our employees’ participation in the U.S. GE Pension Plan and certain U.S. retiree benefit plans, which represent the majority of related expense, were $73 million and $96 million for the years ended December 31, 2022 and 2021, respectively. Expenses associated with our employees’ participation in certain international pension plans were $11 million and $22 million for the years ended December 31, 2022 and 2021, respectively.</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certain GE HealthCare employees were covered under various pension plans historically sponsored by GE HealthCare. The assets and liabilities associated with these plans are included in our Combined Statement of Financial Position as of December 31, 2022.</w:t>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PENSION BENEFITS AND RETIREE HEALTH AND LIFE BENEFITS POST SPIN-OFF.</w:t>
      </w:r>
    </w:p>
    <w:p>
      <w:pPr>
        <w:spacing w:after="0" w:line="26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connection with the Spin-Off, on January 1, 2023, GE HealthCare assumed a portion of former GE pension and postretirement obligations and assets. The pension and postretirement obligations assumed relate to benefits owed to current GE HealthCare employees, former GE HealthCare employees, and certain GE legacy plan participants. For the postretirement plans, GE HealthCare is now a participant in a multiple-employer plan with GE.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and liabilities for all plans assumed by GE HealthCare on January 1, 2023, are shown in the tables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Benefit Obligations and Unrecognized Gain</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21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0"/>
        </w:trPr>
        <w:tc>
          <w:tcPr>
            <w:tcW w:w="436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21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Defined benefit plans</w:t>
            </w:r>
            <w:r>
              <w:rPr>
                <w:rFonts w:ascii="Arial" w:cs="Arial" w:eastAsia="Arial" w:hAnsi="Arial"/>
                <w:sz w:val="21"/>
                <w:szCs w:val="21"/>
                <w:b w:val="1"/>
                <w:bCs w:val="1"/>
                <w:color w:val="454545"/>
                <w:vertAlign w:val="superscript"/>
              </w:rPr>
              <w:t>(1)</w:t>
            </w:r>
          </w:p>
        </w:tc>
        <w:tc>
          <w:tcPr>
            <w:tcW w:w="226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w w:val="98"/>
              </w:rPr>
              <w:t>Other postretirement plans</w:t>
            </w:r>
            <w:r>
              <w:rPr>
                <w:rFonts w:ascii="Arial" w:cs="Arial" w:eastAsia="Arial" w:hAnsi="Arial"/>
                <w:sz w:val="21"/>
                <w:szCs w:val="21"/>
                <w:b w:val="1"/>
                <w:bCs w:val="1"/>
                <w:color w:val="454545"/>
                <w:w w:val="98"/>
                <w:vertAlign w:val="superscript"/>
              </w:rPr>
              <w:t>(2)</w:t>
            </w:r>
          </w:p>
        </w:tc>
        <w:tc>
          <w:tcPr>
            <w:tcW w:w="540" w:type="dxa"/>
            <w:vAlign w:val="bottom"/>
            <w:tcBorders>
              <w:bottom w:val="single" w:sz="8" w:color="6022A6"/>
            </w:tcBorders>
          </w:tcPr>
          <w:p>
            <w:pPr>
              <w:spacing w:after="0"/>
              <w:rPr>
                <w:sz w:val="21"/>
                <w:szCs w:val="21"/>
                <w:color w:val="auto"/>
              </w:rPr>
            </w:pPr>
          </w:p>
        </w:tc>
        <w:tc>
          <w:tcPr>
            <w:tcW w:w="1720" w:type="dxa"/>
            <w:vAlign w:val="bottom"/>
            <w:tcBorders>
              <w:bottom w:val="single" w:sz="8" w:color="6022A6"/>
            </w:tcBorders>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22,906</w:t>
            </w:r>
          </w:p>
        </w:tc>
      </w:tr>
      <w:tr>
        <w:trPr>
          <w:trHeight w:val="228"/>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Unrecognized gain recorded in AOCI</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1,258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1,223</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9"/>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93"/>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Benefit Liability</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21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0"/>
        </w:trPr>
        <w:tc>
          <w:tcPr>
            <w:tcW w:w="436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21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Defined benefit plans</w:t>
            </w:r>
            <w:r>
              <w:rPr>
                <w:rFonts w:ascii="Arial" w:cs="Arial" w:eastAsia="Arial" w:hAnsi="Arial"/>
                <w:sz w:val="21"/>
                <w:szCs w:val="21"/>
                <w:b w:val="1"/>
                <w:bCs w:val="1"/>
                <w:color w:val="454545"/>
                <w:vertAlign w:val="superscript"/>
              </w:rPr>
              <w:t>(1)</w:t>
            </w:r>
          </w:p>
        </w:tc>
        <w:tc>
          <w:tcPr>
            <w:tcW w:w="226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w w:val="98"/>
              </w:rPr>
              <w:t>Other postretirement plans</w:t>
            </w:r>
            <w:r>
              <w:rPr>
                <w:rFonts w:ascii="Arial" w:cs="Arial" w:eastAsia="Arial" w:hAnsi="Arial"/>
                <w:sz w:val="21"/>
                <w:szCs w:val="21"/>
                <w:b w:val="1"/>
                <w:bCs w:val="1"/>
                <w:color w:val="454545"/>
                <w:w w:val="98"/>
                <w:vertAlign w:val="superscript"/>
              </w:rPr>
              <w:t>(2)</w:t>
            </w:r>
          </w:p>
        </w:tc>
        <w:tc>
          <w:tcPr>
            <w:tcW w:w="540" w:type="dxa"/>
            <w:vAlign w:val="bottom"/>
            <w:tcBorders>
              <w:bottom w:val="single" w:sz="8" w:color="6022A6"/>
            </w:tcBorders>
          </w:tcPr>
          <w:p>
            <w:pPr>
              <w:spacing w:after="0"/>
              <w:rPr>
                <w:sz w:val="21"/>
                <w:szCs w:val="21"/>
                <w:color w:val="auto"/>
              </w:rPr>
            </w:pPr>
          </w:p>
        </w:tc>
        <w:tc>
          <w:tcPr>
            <w:tcW w:w="1720" w:type="dxa"/>
            <w:vAlign w:val="bottom"/>
            <w:tcBorders>
              <w:bottom w:val="single" w:sz="8" w:color="6022A6"/>
            </w:tcBorders>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21,743</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22,953</w:t>
            </w:r>
          </w:p>
        </w:tc>
      </w:tr>
      <w:tr>
        <w:trPr>
          <w:trHeight w:val="228"/>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Fair value of assets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18,908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18,908</w:t>
            </w:r>
          </w:p>
        </w:tc>
      </w:tr>
      <w:tr>
        <w:trPr>
          <w:trHeight w:val="29"/>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Net liability</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2,835</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4,045</w:t>
            </w:r>
          </w:p>
        </w:tc>
      </w:tr>
      <w:tr>
        <w:trPr>
          <w:trHeight w:val="20"/>
        </w:trPr>
        <w:tc>
          <w:tcPr>
            <w:tcW w:w="4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Defined benefit plans are comprised of both Principal Pension Plans and Other Pension Plans, as defined below.</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postretirement plans (“OPEB Plans”) are comprised of other post-employment benefits, as defined below.</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OUR PLANS.</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For the years ended December 31, 2022 and 2021, we disclose postretirement plans with assets or obligations that exceed $20 million in the following tables. As a result of the liabilities and assets transferred to GE HealthCare on January 1, 2023, we disclose in the following tables postretirement plans with assets or obligations that exceed $50 million for the year ended December 31, 2023. We use a December 31st measurement date for these plans.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Principal Pension Plans include the GE HealthCare Pension Plan which covers U.S. participants and our GE HealthCare Supplemental Pension 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provides supplementary benefits to higher-level, longer-service U.S. employees. The Principal Pension Plans are comprised of the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transferred to GE HealthCare from GE in connection with the Spin-Off. These plans have been closed to new participants since 2012. All remaining service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accruals for the GE HealthCare Pension Plan will freeze effective December 31, 2024. Benefits for participants of the GE HealthCare Supplemental Pension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Plan who became executives before 2011 were frozen effective January 1, 2021, and thereafter these employees accrue a benefit which is paid out in ten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annual installments upon retirement. The GE HealthCare Pension Plan has a projected benefit obligation of $16,138 million, plan assets of $14,700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is 91% funded per U.S. GAAP as of December 31, 2023. The GE HealthCare Supplemental Pension plan has a projected benefit obligation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$2,022 million as of December 31, 2023, and the benefits are paid to eligible participants directly by the Company as described further in the ‘Funding’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of this Note.</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Other Pension Plans include all other plans, which cover certain U.S. participants and non-U.S. participants. These plans include obligations that existed prior to the Spin-Off and obligations transferred to GE HealthCare from GE in connection with the Spin-Off. In certain countries, benefit accruals have ceased and/or have been closed to new hires as of various dates.</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OPEB Plans include health and life insurance benefits to U.S. participants. GE HealthCare assumed the obligations associated with these plans in connection with the Spin-Off. Participants share in the cost of the healthcare and life insurance benefits. Certain benefits for salaried and hourly participants were closed to new retirees in 2015 and 2019.</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Funding</w:t>
      </w:r>
    </w:p>
    <w:p>
      <w:pPr>
        <w:spacing w:after="0" w:line="19"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The funding policy for the GE HealthCare Pension Plan and our Other Pension Plans is to contribute amounts sufficient to meet minimum funding requirements as set forth in employee benefit and tax laws plus any additional amounts as we may determine to be appropriate. The GE HealthCare Supplemental Pension Plan and OPEB Plans are unfunded and we pay benefits from our cash on hand. In 2023, the Company made cash payments totaling $142 million for its GE HealthCare Supplemental Pension Plan, $84 million to its Other Pension Plans and $131 million to its OPEB Plans. In 2024, the Company expects to make total cash contributions of approximately $336 million to our pension and OPEB plans. The Company does not have a required minimum funding contribution for its U.S.-based GE HealthCare Pension Plan in 2024. Future contributions will depend on market conditions, interest rates, and other factors.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Plan Funded Status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4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center"/>
              <w:ind w:left="1139"/>
              <w:spacing w:after="0"/>
              <w:rPr>
                <w:sz w:val="20"/>
                <w:szCs w:val="20"/>
                <w:color w:val="auto"/>
              </w:rPr>
            </w:pPr>
            <w:r>
              <w:rPr>
                <w:rFonts w:ascii="Arial" w:cs="Arial" w:eastAsia="Arial" w:hAnsi="Arial"/>
                <w:sz w:val="16"/>
                <w:szCs w:val="16"/>
                <w:b w:val="1"/>
                <w:bCs w:val="1"/>
                <w:color w:val="454545"/>
                <w:w w:val="99"/>
              </w:rPr>
              <w:t>As of</w:t>
            </w: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December 31, 2023</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9"/>
              <w:spacing w:after="0"/>
              <w:rPr>
                <w:sz w:val="20"/>
                <w:szCs w:val="20"/>
                <w:color w:val="auto"/>
              </w:rPr>
            </w:pPr>
            <w:r>
              <w:rPr>
                <w:rFonts w:ascii="Arial" w:cs="Arial" w:eastAsia="Arial" w:hAnsi="Arial"/>
                <w:sz w:val="16"/>
                <w:szCs w:val="16"/>
                <w:b w:val="1"/>
                <w:bCs w:val="1"/>
                <w:color w:val="454545"/>
              </w:rPr>
              <w:t>Principal Pension</w:t>
            </w:r>
          </w:p>
        </w:tc>
        <w:tc>
          <w:tcPr>
            <w:tcW w:w="20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454545"/>
              </w:rPr>
              <w:t>Other Pension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454545"/>
              </w:rPr>
              <w:t>Other Pension</w:t>
            </w:r>
          </w:p>
        </w:tc>
      </w:tr>
      <w:tr>
        <w:trPr>
          <w:trHeight w:val="223"/>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right="19"/>
              <w:spacing w:after="0"/>
              <w:rPr>
                <w:sz w:val="20"/>
                <w:szCs w:val="20"/>
                <w:color w:val="auto"/>
              </w:rPr>
            </w:pPr>
            <w:r>
              <w:rPr>
                <w:rFonts w:ascii="Arial" w:cs="Arial" w:eastAsia="Arial" w:hAnsi="Arial"/>
                <w:sz w:val="16"/>
                <w:szCs w:val="16"/>
                <w:b w:val="1"/>
                <w:bCs w:val="1"/>
                <w:color w:val="454545"/>
              </w:rPr>
              <w:t>Plans</w:t>
            </w:r>
          </w:p>
        </w:tc>
        <w:tc>
          <w:tcPr>
            <w:tcW w:w="200" w:type="dxa"/>
            <w:vAlign w:val="bottom"/>
          </w:tcPr>
          <w:p>
            <w:pPr>
              <w:spacing w:after="0"/>
              <w:rPr>
                <w:sz w:val="19"/>
                <w:szCs w:val="19"/>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300" w:type="dxa"/>
            <w:vAlign w:val="bottom"/>
          </w:tcPr>
          <w:p>
            <w:pPr>
              <w:spacing w:after="0"/>
              <w:rPr>
                <w:sz w:val="19"/>
                <w:szCs w:val="19"/>
                <w:color w:val="auto"/>
              </w:rPr>
            </w:pPr>
          </w:p>
        </w:tc>
        <w:tc>
          <w:tcPr>
            <w:tcW w:w="1420" w:type="dxa"/>
            <w:vAlign w:val="bottom"/>
            <w:gridSpan w:val="4"/>
          </w:tcPr>
          <w:p>
            <w:pPr>
              <w:ind w:left="60"/>
              <w:spacing w:after="0"/>
              <w:rPr>
                <w:sz w:val="20"/>
                <w:szCs w:val="20"/>
                <w:color w:val="auto"/>
              </w:rPr>
            </w:pPr>
            <w:r>
              <w:rPr>
                <w:rFonts w:ascii="Arial" w:cs="Arial" w:eastAsia="Arial" w:hAnsi="Arial"/>
                <w:sz w:val="16"/>
                <w:szCs w:val="16"/>
                <w:b w:val="1"/>
                <w:bCs w:val="1"/>
                <w:color w:val="454545"/>
              </w:rPr>
              <w:t>OPEB Plans</w:t>
            </w:r>
          </w:p>
        </w:tc>
        <w:tc>
          <w:tcPr>
            <w:tcW w:w="160" w:type="dxa"/>
            <w:vAlign w:val="bottom"/>
          </w:tcPr>
          <w:p>
            <w:pPr>
              <w:spacing w:after="0"/>
              <w:rPr>
                <w:sz w:val="19"/>
                <w:szCs w:val="19"/>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454545"/>
              </w:rPr>
              <w:t>Plans</w:t>
            </w:r>
          </w:p>
        </w:tc>
      </w:tr>
      <w:tr>
        <w:trPr>
          <w:trHeight w:val="21"/>
        </w:trPr>
        <w:tc>
          <w:tcPr>
            <w:tcW w:w="470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r>
      <w:tr>
        <w:trPr>
          <w:trHeight w:val="230"/>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Change in projected benefit obligations</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r>
      <w:tr>
        <w:trPr>
          <w:trHeight w:val="23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30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940</w:t>
            </w: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Transfers from GE at Spin-Off</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17,997</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3,707</w:t>
            </w: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1,149</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cost</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952</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Plan amendments</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color w:val="auto"/>
              </w:rPr>
              <w:t>Actuarial loss (gain) – net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Benefits paid</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(1,341)</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(359)</w:t>
            </w: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Curtailments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Exchange rate adjustments</w:t>
            </w:r>
          </w:p>
        </w:tc>
        <w:tc>
          <w:tcPr>
            <w:tcW w:w="4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r>
      <w:tr>
        <w:trPr>
          <w:trHeight w:val="229"/>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4,588</w:t>
            </w:r>
          </w:p>
        </w:tc>
        <w:tc>
          <w:tcPr>
            <w:tcW w:w="3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1,133</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703</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382</w:t>
            </w:r>
          </w:p>
        </w:tc>
        <w:tc>
          <w:tcPr>
            <w:tcW w:w="300" w:type="dxa"/>
            <w:vAlign w:val="bottom"/>
          </w:tcPr>
          <w:p>
            <w:pPr>
              <w:jc w:val="center"/>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553</w:t>
            </w: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6"/>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Transfers from GE at Spin-Off</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14,838</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4,046</w:t>
            </w:r>
          </w:p>
        </w:tc>
        <w:tc>
          <w:tcPr>
            <w:tcW w:w="3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Actual gain (loss) on plan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19"/>
                <w:szCs w:val="19"/>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Employer contributions</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Benefits paid</w:t>
            </w:r>
          </w:p>
        </w:tc>
        <w:tc>
          <w:tcPr>
            <w:tcW w:w="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(1,341)</w:t>
            </w:r>
          </w:p>
        </w:tc>
        <w:tc>
          <w:tcPr>
            <w:tcW w:w="20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(359)</w:t>
            </w:r>
          </w:p>
        </w:tc>
        <w:tc>
          <w:tcPr>
            <w:tcW w:w="30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Acquisitions/Divestitures/Mergers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1"/>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Exchange rate adjustments</w:t>
            </w:r>
          </w:p>
        </w:tc>
        <w:tc>
          <w:tcPr>
            <w:tcW w:w="4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174</w:t>
            </w:r>
          </w:p>
        </w:tc>
        <w:tc>
          <w:tcPr>
            <w:tcW w:w="30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4,518</w:t>
            </w:r>
          </w:p>
        </w:tc>
        <w:tc>
          <w:tcPr>
            <w:tcW w:w="3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425</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5"/>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Funded status – surplus (deficit)</w:t>
            </w:r>
          </w:p>
        </w:tc>
        <w:tc>
          <w:tcPr>
            <w:tcW w:w="1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(3,460)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300" w:type="dxa"/>
            <w:vAlign w:val="bottom"/>
            <w:tcBorders>
              <w:bottom w:val="single" w:sz="8" w:color="E4E4E4"/>
            </w:tcBorders>
            <w:shd w:val="clear" w:color="auto" w:fill="E4E4E4"/>
          </w:tcPr>
          <w:p>
            <w:pPr>
              <w:jc w:val="center"/>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(1,133)</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(278)</w:t>
            </w:r>
          </w:p>
        </w:tc>
      </w:tr>
      <w:tr>
        <w:trPr>
          <w:trHeight w:val="593"/>
        </w:trPr>
        <w:tc>
          <w:tcPr>
            <w:tcW w:w="6520" w:type="dxa"/>
            <w:vAlign w:val="bottom"/>
            <w:tcBorders>
              <w:top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Amounts Recorded in Consolidated and Combined Statements of Financial Position</w:t>
            </w:r>
          </w:p>
        </w:tc>
        <w:tc>
          <w:tcPr>
            <w:tcW w:w="1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7"/>
        </w:trPr>
        <w:tc>
          <w:tcPr>
            <w:tcW w:w="4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center"/>
              <w:ind w:left="1179"/>
              <w:spacing w:after="0"/>
              <w:rPr>
                <w:sz w:val="20"/>
                <w:szCs w:val="20"/>
                <w:color w:val="auto"/>
              </w:rPr>
            </w:pPr>
            <w:r>
              <w:rPr>
                <w:rFonts w:ascii="Arial" w:cs="Arial" w:eastAsia="Arial" w:hAnsi="Arial"/>
                <w:sz w:val="16"/>
                <w:szCs w:val="16"/>
                <w:b w:val="1"/>
                <w:bCs w:val="1"/>
                <w:color w:val="454545"/>
                <w:w w:val="99"/>
              </w:rPr>
              <w:t>As of</w:t>
            </w: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December 31, 2023</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9"/>
              <w:spacing w:after="0"/>
              <w:rPr>
                <w:sz w:val="20"/>
                <w:szCs w:val="20"/>
                <w:color w:val="auto"/>
              </w:rPr>
            </w:pPr>
            <w:r>
              <w:rPr>
                <w:rFonts w:ascii="Arial" w:cs="Arial" w:eastAsia="Arial" w:hAnsi="Arial"/>
                <w:sz w:val="16"/>
                <w:szCs w:val="16"/>
                <w:b w:val="1"/>
                <w:bCs w:val="1"/>
                <w:color w:val="454545"/>
              </w:rPr>
              <w:t>Principal Pension</w:t>
            </w:r>
          </w:p>
        </w:tc>
        <w:tc>
          <w:tcPr>
            <w:tcW w:w="20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454545"/>
              </w:rPr>
              <w:t>Other Pension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454545"/>
              </w:rPr>
              <w:t>Other Pension</w:t>
            </w:r>
          </w:p>
        </w:tc>
      </w:tr>
      <w:tr>
        <w:trPr>
          <w:trHeight w:val="223"/>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right="19"/>
              <w:spacing w:after="0"/>
              <w:rPr>
                <w:sz w:val="20"/>
                <w:szCs w:val="20"/>
                <w:color w:val="auto"/>
              </w:rPr>
            </w:pPr>
            <w:r>
              <w:rPr>
                <w:rFonts w:ascii="Arial" w:cs="Arial" w:eastAsia="Arial" w:hAnsi="Arial"/>
                <w:sz w:val="16"/>
                <w:szCs w:val="16"/>
                <w:b w:val="1"/>
                <w:bCs w:val="1"/>
                <w:color w:val="454545"/>
              </w:rPr>
              <w:t>Plans</w:t>
            </w:r>
          </w:p>
        </w:tc>
        <w:tc>
          <w:tcPr>
            <w:tcW w:w="200" w:type="dxa"/>
            <w:vAlign w:val="bottom"/>
          </w:tcPr>
          <w:p>
            <w:pPr>
              <w:spacing w:after="0"/>
              <w:rPr>
                <w:sz w:val="19"/>
                <w:szCs w:val="19"/>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300" w:type="dxa"/>
            <w:vAlign w:val="bottom"/>
          </w:tcPr>
          <w:p>
            <w:pPr>
              <w:spacing w:after="0"/>
              <w:rPr>
                <w:sz w:val="19"/>
                <w:szCs w:val="19"/>
                <w:color w:val="auto"/>
              </w:rPr>
            </w:pPr>
          </w:p>
        </w:tc>
        <w:tc>
          <w:tcPr>
            <w:tcW w:w="1420" w:type="dxa"/>
            <w:vAlign w:val="bottom"/>
            <w:gridSpan w:val="4"/>
          </w:tcPr>
          <w:p>
            <w:pPr>
              <w:ind w:left="60"/>
              <w:spacing w:after="0"/>
              <w:rPr>
                <w:sz w:val="20"/>
                <w:szCs w:val="20"/>
                <w:color w:val="auto"/>
              </w:rPr>
            </w:pPr>
            <w:r>
              <w:rPr>
                <w:rFonts w:ascii="Arial" w:cs="Arial" w:eastAsia="Arial" w:hAnsi="Arial"/>
                <w:sz w:val="16"/>
                <w:szCs w:val="16"/>
                <w:b w:val="1"/>
                <w:bCs w:val="1"/>
                <w:color w:val="454545"/>
              </w:rPr>
              <w:t>OPEB Plans</w:t>
            </w:r>
          </w:p>
        </w:tc>
        <w:tc>
          <w:tcPr>
            <w:tcW w:w="160" w:type="dxa"/>
            <w:vAlign w:val="bottom"/>
          </w:tcPr>
          <w:p>
            <w:pPr>
              <w:spacing w:after="0"/>
              <w:rPr>
                <w:sz w:val="19"/>
                <w:szCs w:val="19"/>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454545"/>
              </w:rPr>
              <w:t>Plans</w:t>
            </w:r>
          </w:p>
        </w:tc>
      </w:tr>
      <w:tr>
        <w:trPr>
          <w:trHeight w:val="21"/>
        </w:trPr>
        <w:tc>
          <w:tcPr>
            <w:tcW w:w="470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gridSpan w:val="2"/>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gridSpan w:val="2"/>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r>
      <w:tr>
        <w:trPr>
          <w:trHeight w:val="230"/>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assets</w:t>
            </w:r>
          </w:p>
        </w:tc>
        <w:tc>
          <w:tcPr>
            <w:tcW w:w="1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712</w:t>
            </w:r>
          </w:p>
        </w:tc>
        <w:tc>
          <w:tcPr>
            <w:tcW w:w="300" w:type="dxa"/>
            <w:vAlign w:val="bottom"/>
            <w:tcBorders>
              <w:bottom w:val="single" w:sz="8" w:color="E4E4E4"/>
            </w:tcBorders>
            <w:shd w:val="clear" w:color="auto" w:fill="E4E4E4"/>
          </w:tcPr>
          <w:p>
            <w:pPr>
              <w:jc w:val="center"/>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4E4E4"/>
            </w:tcBorders>
            <w:gridSpan w:val="4"/>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All other current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1"/>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Compensation and benefits</w:t>
            </w:r>
          </w:p>
        </w:tc>
        <w:tc>
          <w:tcPr>
            <w:tcW w:w="4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(3,317)</w:t>
            </w:r>
          </w:p>
        </w:tc>
        <w:tc>
          <w:tcPr>
            <w:tcW w:w="200" w:type="dxa"/>
            <w:vAlign w:val="bottom"/>
            <w:tcBorders>
              <w:bottom w:val="single" w:sz="8" w:color="E4E4E4"/>
            </w:tcBorders>
            <w:shd w:val="clear" w:color="auto" w:fill="E4E4E4"/>
          </w:tcPr>
          <w:p>
            <w:pPr>
              <w:spacing w:after="0"/>
              <w:rPr>
                <w:sz w:val="22"/>
                <w:szCs w:val="22"/>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(735)</w:t>
            </w:r>
          </w:p>
        </w:tc>
        <w:tc>
          <w:tcPr>
            <w:tcW w:w="30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(1,003)</w:t>
            </w:r>
          </w:p>
        </w:tc>
        <w:tc>
          <w:tcPr>
            <w:tcW w:w="20" w:type="dxa"/>
            <w:vAlign w:val="bottom"/>
            <w:tcBorders>
              <w:bottom w:val="single" w:sz="8" w:color="E4E4E4"/>
            </w:tcBorders>
            <w:shd w:val="clear" w:color="auto" w:fill="E4E4E4"/>
          </w:tcPr>
          <w:p>
            <w:pPr>
              <w:spacing w:after="0"/>
              <w:rPr>
                <w:sz w:val="22"/>
                <w:szCs w:val="22"/>
                <w:color w:val="auto"/>
              </w:rPr>
            </w:pPr>
          </w:p>
        </w:tc>
        <w:tc>
          <w:tcPr>
            <w:tcW w:w="6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r>
      <w:tr>
        <w:trPr>
          <w:trHeight w:val="229"/>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amount recorded</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3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(1,133)</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8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Pre-Tax Amounts Recorded in AOCI</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4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gridSpan w:val="2"/>
          </w:tcPr>
          <w:p>
            <w:pPr>
              <w:jc w:val="center"/>
              <w:ind w:left="1099"/>
              <w:spacing w:after="0"/>
              <w:rPr>
                <w:sz w:val="20"/>
                <w:szCs w:val="20"/>
                <w:color w:val="auto"/>
              </w:rPr>
            </w:pPr>
            <w:r>
              <w:rPr>
                <w:rFonts w:ascii="Arial" w:cs="Arial" w:eastAsia="Arial" w:hAnsi="Arial"/>
                <w:sz w:val="16"/>
                <w:szCs w:val="16"/>
                <w:b w:val="1"/>
                <w:bCs w:val="1"/>
                <w:color w:val="454545"/>
                <w:w w:val="99"/>
              </w:rPr>
              <w:t>As of</w:t>
            </w: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4700" w:type="dxa"/>
            <w:vAlign w:val="bottom"/>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2023</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4700" w:type="dxa"/>
            <w:vAlign w:val="bottom"/>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gridSpan w:val="2"/>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Principal Pension</w:t>
            </w:r>
          </w:p>
        </w:tc>
        <w:tc>
          <w:tcPr>
            <w:tcW w:w="20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454545"/>
              </w:rPr>
              <w:t>Other Pension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454545"/>
              </w:rPr>
              <w:t>Other Pension</w:t>
            </w:r>
          </w:p>
        </w:tc>
      </w:tr>
      <w:tr>
        <w:trPr>
          <w:trHeight w:val="223"/>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519"/>
              <w:spacing w:after="0"/>
              <w:rPr>
                <w:sz w:val="20"/>
                <w:szCs w:val="20"/>
                <w:color w:val="auto"/>
              </w:rPr>
            </w:pPr>
            <w:r>
              <w:rPr>
                <w:rFonts w:ascii="Arial" w:cs="Arial" w:eastAsia="Arial" w:hAnsi="Arial"/>
                <w:sz w:val="16"/>
                <w:szCs w:val="16"/>
                <w:b w:val="1"/>
                <w:bCs w:val="1"/>
                <w:color w:val="454545"/>
              </w:rPr>
              <w:t>Plans</w:t>
            </w:r>
          </w:p>
        </w:tc>
        <w:tc>
          <w:tcPr>
            <w:tcW w:w="200" w:type="dxa"/>
            <w:vAlign w:val="bottom"/>
          </w:tcPr>
          <w:p>
            <w:pPr>
              <w:spacing w:after="0"/>
              <w:rPr>
                <w:sz w:val="19"/>
                <w:szCs w:val="19"/>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454545"/>
              </w:rPr>
              <w:t>Plans</w:t>
            </w:r>
          </w:p>
        </w:tc>
        <w:tc>
          <w:tcPr>
            <w:tcW w:w="300" w:type="dxa"/>
            <w:vAlign w:val="bottom"/>
          </w:tcPr>
          <w:p>
            <w:pPr>
              <w:spacing w:after="0"/>
              <w:rPr>
                <w:sz w:val="19"/>
                <w:szCs w:val="19"/>
                <w:color w:val="auto"/>
              </w:rPr>
            </w:pPr>
          </w:p>
        </w:tc>
        <w:tc>
          <w:tcPr>
            <w:tcW w:w="1420" w:type="dxa"/>
            <w:vAlign w:val="bottom"/>
            <w:gridSpan w:val="4"/>
          </w:tcPr>
          <w:p>
            <w:pPr>
              <w:ind w:left="40"/>
              <w:spacing w:after="0"/>
              <w:rPr>
                <w:sz w:val="20"/>
                <w:szCs w:val="20"/>
                <w:color w:val="auto"/>
              </w:rPr>
            </w:pPr>
            <w:r>
              <w:rPr>
                <w:rFonts w:ascii="Arial" w:cs="Arial" w:eastAsia="Arial" w:hAnsi="Arial"/>
                <w:sz w:val="16"/>
                <w:szCs w:val="16"/>
                <w:b w:val="1"/>
                <w:bCs w:val="1"/>
                <w:color w:val="454545"/>
              </w:rPr>
              <w:t>OPEB Plans</w:t>
            </w:r>
          </w:p>
        </w:tc>
        <w:tc>
          <w:tcPr>
            <w:tcW w:w="160" w:type="dxa"/>
            <w:vAlign w:val="bottom"/>
          </w:tcPr>
          <w:p>
            <w:pPr>
              <w:spacing w:after="0"/>
              <w:rPr>
                <w:sz w:val="19"/>
                <w:szCs w:val="19"/>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454545"/>
                <w:w w:val="98"/>
              </w:rPr>
              <w:t>Plans</w:t>
            </w:r>
          </w:p>
        </w:tc>
      </w:tr>
      <w:tr>
        <w:trPr>
          <w:trHeight w:val="21"/>
        </w:trPr>
        <w:tc>
          <w:tcPr>
            <w:tcW w:w="4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gridSpan w:val="2"/>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r>
      <w:tr>
        <w:trPr>
          <w:trHeight w:val="230"/>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loss (gain)</w:t>
            </w:r>
          </w:p>
        </w:tc>
        <w:tc>
          <w:tcPr>
            <w:tcW w:w="1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(1,213)</w:t>
            </w:r>
          </w:p>
        </w:tc>
        <w:tc>
          <w:tcPr>
            <w:tcW w:w="200" w:type="dxa"/>
            <w:vAlign w:val="bottom"/>
            <w:tcBorders>
              <w:bottom w:val="single" w:sz="8" w:color="E4E4E4"/>
            </w:tcBorders>
            <w:shd w:val="clear" w:color="auto" w:fill="E4E4E4"/>
          </w:tcPr>
          <w:p>
            <w:pPr>
              <w:jc w:val="right"/>
              <w:ind w:right="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1,075</w:t>
            </w:r>
          </w:p>
        </w:tc>
        <w:tc>
          <w:tcPr>
            <w:tcW w:w="300" w:type="dxa"/>
            <w:vAlign w:val="bottom"/>
            <w:tcBorders>
              <w:bottom w:val="single" w:sz="8" w:color="E4E4E4"/>
            </w:tcBorders>
            <w:shd w:val="clear" w:color="auto" w:fill="E4E4E4"/>
          </w:tcPr>
          <w:p>
            <w:pPr>
              <w:jc w:val="center"/>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(482)</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r>
      <w:tr>
        <w:trPr>
          <w:trHeight w:val="228"/>
        </w:trPr>
        <w:tc>
          <w:tcPr>
            <w:tcW w:w="4700" w:type="dxa"/>
            <w:vAlign w:val="bottom"/>
          </w:tcPr>
          <w:p>
            <w:pPr>
              <w:ind w:left="20"/>
              <w:spacing w:after="0"/>
              <w:rPr>
                <w:sz w:val="20"/>
                <w:szCs w:val="20"/>
                <w:color w:val="auto"/>
              </w:rPr>
            </w:pPr>
            <w:r>
              <w:rPr>
                <w:rFonts w:ascii="Arial" w:cs="Arial" w:eastAsia="Arial" w:hAnsi="Arial"/>
                <w:sz w:val="16"/>
                <w:szCs w:val="16"/>
                <w:color w:val="auto"/>
              </w:rPr>
              <w:t>Prior service cost (credit)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4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recorded in AOCI</w:t>
            </w:r>
          </w:p>
        </w:tc>
        <w:tc>
          <w:tcPr>
            <w:tcW w:w="1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(1,256)</w:t>
            </w:r>
          </w:p>
        </w:tc>
        <w:tc>
          <w:tcPr>
            <w:tcW w:w="200" w:type="dxa"/>
            <w:vAlign w:val="bottom"/>
            <w:tcBorders>
              <w:bottom w:val="single" w:sz="8" w:color="E4E4E4"/>
            </w:tcBorders>
            <w:shd w:val="clear" w:color="auto" w:fill="E4E4E4"/>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1,057</w:t>
            </w:r>
          </w:p>
        </w:tc>
        <w:tc>
          <w:tcPr>
            <w:tcW w:w="300" w:type="dxa"/>
            <w:vAlign w:val="bottom"/>
            <w:tcBorders>
              <w:bottom w:val="single" w:sz="8" w:color="E4E4E4"/>
            </w:tcBorders>
            <w:shd w:val="clear" w:color="auto" w:fill="E4E4E4"/>
          </w:tcPr>
          <w:p>
            <w:pPr>
              <w:jc w:val="center"/>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(1,015)</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w:t>
            </w:r>
          </w:p>
        </w:tc>
      </w:tr>
      <w:tr>
        <w:trPr>
          <w:trHeight w:val="20"/>
        </w:trPr>
        <w:tc>
          <w:tcPr>
            <w:tcW w:w="4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accumulated benefit obligation represents the actuarial present value of benefits based on employee service and compensation as of the measurement date and does not include an assumption about future compensation levels. The table below summarizes the total accumulated benefit obligation, the accumulated benefit obligation in excess of plan assets, and the projected benefit obligation and fair value of plan assets for the defined benefit pension plans with projected benefit obligation in excess of plan assets.</w:t>
      </w:r>
    </w:p>
    <w:p>
      <w:pPr>
        <w:sectPr>
          <w:pgSz w:w="11900" w:h="16838" w:orient="portrait"/>
          <w:cols w:equalWidth="0" w:num="1">
            <w:col w:w="11240"/>
          </w:cols>
          <w:pgMar w:left="320" w:top="1151" w:right="339" w:bottom="7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741"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2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Obligations in Excess of Plan Assets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3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454545"/>
              </w:rPr>
              <w:t>As of</w:t>
            </w:r>
          </w:p>
        </w:tc>
        <w:tc>
          <w:tcPr>
            <w:tcW w:w="1340" w:type="dxa"/>
            <w:vAlign w:val="bottom"/>
          </w:tcPr>
          <w:p>
            <w:pPr>
              <w:spacing w:after="0"/>
              <w:rPr>
                <w:sz w:val="22"/>
                <w:szCs w:val="22"/>
                <w:color w:val="auto"/>
              </w:rPr>
            </w:pPr>
          </w:p>
        </w:tc>
      </w:tr>
      <w:tr>
        <w:trPr>
          <w:trHeight w:val="21"/>
        </w:trPr>
        <w:tc>
          <w:tcPr>
            <w:tcW w:w="3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r>
      <w:tr>
        <w:trPr>
          <w:trHeight w:val="229"/>
        </w:trPr>
        <w:tc>
          <w:tcPr>
            <w:tcW w:w="3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454545"/>
              </w:rPr>
              <w:t>December 31, 2023</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304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24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4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r>
      <w:tr>
        <w:trPr>
          <w:trHeight w:val="230"/>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benefit obligation</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gridSpan w:val="2"/>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23,841</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687</w:t>
            </w:r>
          </w:p>
        </w:tc>
      </w:tr>
      <w:tr>
        <w:trPr>
          <w:trHeight w:val="236"/>
        </w:trPr>
        <w:tc>
          <w:tcPr>
            <w:tcW w:w="5780" w:type="dxa"/>
            <w:vAlign w:val="bottom"/>
            <w:gridSpan w:val="5"/>
          </w:tcPr>
          <w:p>
            <w:pPr>
              <w:ind w:left="20"/>
              <w:spacing w:after="0"/>
              <w:rPr>
                <w:sz w:val="20"/>
                <w:szCs w:val="20"/>
                <w:color w:val="auto"/>
              </w:rPr>
            </w:pPr>
            <w:r>
              <w:rPr>
                <w:rFonts w:ascii="Arial" w:cs="Arial" w:eastAsia="Arial" w:hAnsi="Arial"/>
                <w:sz w:val="16"/>
                <w:szCs w:val="16"/>
                <w:b w:val="1"/>
                <w:bCs w:val="1"/>
                <w:color w:val="auto"/>
              </w:rPr>
              <w:t>Plans with accumulated benefit obligation in excess of plan assets</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
        </w:trPr>
        <w:tc>
          <w:tcPr>
            <w:tcW w:w="3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benefit obligation</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gridSpan w:val="2"/>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20,774</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390</w:t>
            </w:r>
          </w:p>
        </w:tc>
      </w:tr>
      <w:tr>
        <w:trPr>
          <w:trHeight w:val="227"/>
        </w:trPr>
        <w:tc>
          <w:tcPr>
            <w:tcW w:w="304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15,433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9"/>
        </w:trPr>
        <w:tc>
          <w:tcPr>
            <w:tcW w:w="466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780" w:type="dxa"/>
            <w:vAlign w:val="bottom"/>
            <w:tcBorders>
              <w:bottom w:val="single" w:sz="8" w:color="E4E4E4"/>
            </w:tcBorders>
            <w:gridSpan w:val="5"/>
            <w:shd w:val="clear" w:color="auto" w:fill="E4E4E4"/>
          </w:tcPr>
          <w:p>
            <w:pPr>
              <w:ind w:left="20"/>
              <w:spacing w:after="0"/>
              <w:rPr>
                <w:sz w:val="20"/>
                <w:szCs w:val="20"/>
                <w:color w:val="auto"/>
              </w:rPr>
            </w:pPr>
            <w:r>
              <w:rPr>
                <w:rFonts w:ascii="Arial" w:cs="Arial" w:eastAsia="Arial" w:hAnsi="Arial"/>
                <w:sz w:val="16"/>
                <w:szCs w:val="16"/>
                <w:b w:val="1"/>
                <w:bCs w:val="1"/>
                <w:color w:val="auto"/>
              </w:rPr>
              <w:t>Plans with projected benefit obligation in excess of plan assets</w:t>
            </w:r>
          </w:p>
        </w:tc>
        <w:tc>
          <w:tcPr>
            <w:tcW w:w="5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spacing w:after="0"/>
              <w:rPr>
                <w:sz w:val="20"/>
                <w:szCs w:val="20"/>
                <w:color w:val="auto"/>
              </w:rPr>
            </w:pPr>
          </w:p>
        </w:tc>
      </w:tr>
      <w:tr>
        <w:trPr>
          <w:trHeight w:val="228"/>
        </w:trPr>
        <w:tc>
          <w:tcPr>
            <w:tcW w:w="3040" w:type="dxa"/>
            <w:vAlign w:val="bottom"/>
          </w:tcPr>
          <w:p>
            <w:pPr>
              <w:ind w:left="20"/>
              <w:spacing w:after="0"/>
              <w:rPr>
                <w:sz w:val="20"/>
                <w:szCs w:val="20"/>
                <w:color w:val="auto"/>
              </w:rPr>
            </w:pPr>
            <w:r>
              <w:rPr>
                <w:rFonts w:ascii="Arial" w:cs="Arial" w:eastAsia="Arial" w:hAnsi="Arial"/>
                <w:sz w:val="16"/>
                <w:szCs w:val="16"/>
                <w:color w:val="auto"/>
              </w:rPr>
              <w:t>Projected benefit obligation</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20,808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9"/>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2"/>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plan assets</w:t>
            </w:r>
          </w:p>
        </w:tc>
        <w:tc>
          <w:tcPr>
            <w:tcW w:w="104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15,433</w:t>
            </w:r>
          </w:p>
        </w:tc>
        <w:tc>
          <w:tcPr>
            <w:tcW w:w="26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r>
      <w:tr>
        <w:trPr>
          <w:trHeight w:val="593"/>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10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7"/>
        </w:trPr>
        <w:tc>
          <w:tcPr>
            <w:tcW w:w="3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72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
        </w:trPr>
        <w:tc>
          <w:tcPr>
            <w:tcW w:w="3040" w:type="dxa"/>
            <w:vAlign w:val="bottom"/>
          </w:tcPr>
          <w:p>
            <w:pPr>
              <w:spacing w:after="0" w:line="20" w:lineRule="exact"/>
              <w:rPr>
                <w:sz w:val="1"/>
                <w:szCs w:val="1"/>
                <w:color w:val="auto"/>
              </w:rPr>
            </w:pPr>
          </w:p>
        </w:tc>
        <w:tc>
          <w:tcPr>
            <w:tcW w:w="1700" w:type="dxa"/>
            <w:vAlign w:val="bottom"/>
            <w:tcBorders>
              <w:bottom w:val="single" w:sz="8" w:color="454545"/>
            </w:tcBorders>
            <w:gridSpan w:val="3"/>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r>
      <w:tr>
        <w:trPr>
          <w:trHeight w:val="209"/>
        </w:trPr>
        <w:tc>
          <w:tcPr>
            <w:tcW w:w="304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454545"/>
              </w:rPr>
              <w:t>Principal Pension</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3040" w:type="dxa"/>
            <w:vAlign w:val="bottom"/>
          </w:tcPr>
          <w:p>
            <w:pPr>
              <w:spacing w:after="0"/>
              <w:rPr>
                <w:sz w:val="19"/>
                <w:szCs w:val="19"/>
                <w:color w:val="auto"/>
              </w:rPr>
            </w:pPr>
          </w:p>
        </w:tc>
        <w:tc>
          <w:tcPr>
            <w:tcW w:w="1040" w:type="dxa"/>
            <w:vAlign w:val="bottom"/>
          </w:tcPr>
          <w:p>
            <w:pPr>
              <w:jc w:val="center"/>
              <w:ind w:left="499"/>
              <w:spacing w:after="0"/>
              <w:rPr>
                <w:sz w:val="20"/>
                <w:szCs w:val="20"/>
                <w:color w:val="auto"/>
              </w:rPr>
            </w:pPr>
            <w:r>
              <w:rPr>
                <w:rFonts w:ascii="Arial" w:cs="Arial" w:eastAsia="Arial" w:hAnsi="Arial"/>
                <w:sz w:val="16"/>
                <w:szCs w:val="16"/>
                <w:b w:val="1"/>
                <w:bCs w:val="1"/>
                <w:color w:val="454545"/>
                <w:w w:val="98"/>
              </w:rPr>
              <w:t>Plans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454545"/>
                <w:w w:val="99"/>
              </w:rPr>
              <w:t>Other Pension Plans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304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r>
      <w:tr>
        <w:trPr>
          <w:trHeight w:val="229"/>
        </w:trPr>
        <w:tc>
          <w:tcPr>
            <w:tcW w:w="3040" w:type="dxa"/>
            <w:vAlign w:val="bottom"/>
          </w:tcPr>
          <w:p>
            <w:pPr>
              <w:spacing w:after="0"/>
              <w:rPr>
                <w:sz w:val="19"/>
                <w:szCs w:val="19"/>
                <w:color w:val="auto"/>
              </w:rPr>
            </w:pPr>
          </w:p>
        </w:tc>
        <w:tc>
          <w:tcPr>
            <w:tcW w:w="1040" w:type="dxa"/>
            <w:vAlign w:val="bottom"/>
          </w:tcPr>
          <w:p>
            <w:pPr>
              <w:jc w:val="center"/>
              <w:ind w:left="479"/>
              <w:spacing w:after="0"/>
              <w:rPr>
                <w:sz w:val="20"/>
                <w:szCs w:val="20"/>
                <w:color w:val="auto"/>
              </w:rPr>
            </w:pPr>
            <w:r>
              <w:rPr>
                <w:rFonts w:ascii="Arial" w:cs="Arial" w:eastAsia="Arial" w:hAnsi="Arial"/>
                <w:sz w:val="16"/>
                <w:szCs w:val="16"/>
                <w:b w:val="1"/>
                <w:bCs w:val="1"/>
                <w:color w:val="454545"/>
              </w:rPr>
              <w:t>2023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79"/>
              <w:spacing w:after="0"/>
              <w:rPr>
                <w:sz w:val="20"/>
                <w:szCs w:val="20"/>
                <w:color w:val="auto"/>
              </w:rPr>
            </w:pPr>
            <w:r>
              <w:rPr>
                <w:rFonts w:ascii="Arial" w:cs="Arial" w:eastAsia="Arial" w:hAnsi="Arial"/>
                <w:sz w:val="16"/>
                <w:szCs w:val="16"/>
                <w:b w:val="1"/>
                <w:bCs w:val="1"/>
                <w:color w:val="454545"/>
              </w:rPr>
              <w:t>2023</w:t>
            </w:r>
          </w:p>
        </w:tc>
      </w:tr>
      <w:tr>
        <w:trPr>
          <w:trHeight w:val="21"/>
        </w:trPr>
        <w:tc>
          <w:tcPr>
            <w:tcW w:w="30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gridSpan w:val="2"/>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r>
      <w:tr>
        <w:trPr>
          <w:trHeight w:val="230"/>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104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w:t>
            </w: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560" w:type="dxa"/>
            <w:vAlign w:val="bottom"/>
            <w:tcBorders>
              <w:bottom w:val="single" w:sz="8" w:color="E4E4E4"/>
            </w:tcBorders>
            <w:gridSpan w:val="2"/>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r>
      <w:tr>
        <w:trPr>
          <w:trHeight w:val="227"/>
        </w:trPr>
        <w:tc>
          <w:tcPr>
            <w:tcW w:w="30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952</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209</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(1,170)</w:t>
            </w: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28"/>
        </w:trPr>
        <w:tc>
          <w:tcPr>
            <w:tcW w:w="3040" w:type="dxa"/>
            <w:vAlign w:val="bottom"/>
          </w:tcPr>
          <w:p>
            <w:pPr>
              <w:ind w:left="20"/>
              <w:spacing w:after="0"/>
              <w:rPr>
                <w:sz w:val="20"/>
                <w:szCs w:val="20"/>
                <w:color w:val="auto"/>
              </w:rPr>
            </w:pPr>
            <w:r>
              <w:rPr>
                <w:rFonts w:ascii="Arial" w:cs="Arial" w:eastAsia="Arial" w:hAnsi="Arial"/>
                <w:sz w:val="16"/>
                <w:szCs w:val="16"/>
                <w:color w:val="auto"/>
              </w:rPr>
              <w:t>Curtailment loss (gain)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 loss (gain)</w:t>
            </w:r>
          </w:p>
        </w:tc>
        <w:tc>
          <w:tcPr>
            <w:tcW w:w="104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3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Non-operating</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(322)</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560" w:type="dxa"/>
            <w:vAlign w:val="bottom"/>
            <w:tcBorders>
              <w:top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3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104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(290)</w:t>
            </w: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w:t>
            </w:r>
          </w:p>
        </w:tc>
        <w:tc>
          <w:tcPr>
            <w:tcW w:w="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560" w:type="dxa"/>
            <w:vAlign w:val="bottom"/>
            <w:tcBorders>
              <w:bottom w:val="single" w:sz="8" w:color="E4E4E4"/>
            </w:tcBorders>
            <w:gridSpan w:val="2"/>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r>
      <w:tr>
        <w:trPr>
          <w:trHeight w:val="20"/>
        </w:trPr>
        <w:tc>
          <w:tcPr>
            <w:tcW w:w="30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 the third quarter of 2023, management approved an amendment to the U.S.-based GE HealthCare Pension Plan whereby the benefits for all remaining active employees will be frozen effective December 31, 2024, and additional benefit enhancements were provided. As a result, we recognized a non-cash pre-tax curtailment loss of approximately $17 million as non-operating benefit costs and an increase to our pension liability of $23 million. As a result of the plan changes, we remeasured the plan assets and the projected benefit obligation. These changes collectively decreased AOCI by $305 million in the Consolidated Statement of Financial Position.</w:t>
      </w:r>
    </w:p>
    <w:p>
      <w:pPr>
        <w:spacing w:after="0" w:line="19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the fourth quarter of 2023, management approved and paid a one-time lump sum payment for certain terminated employees in two plans who were vested in their benefits. These lump sum settlements reduce our future cash requirements and premiums. As a result of the partial settlement of the pension liability, we recognized a non-cash pre-tax settlement charge. The settlement charge of $61 million represents a pro rata portion of unrecognized net loss recorded in AOCI and is recorded in Non-operating benefit (income) costs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3"/>
        </w:trPr>
        <w:tc>
          <w:tcPr>
            <w:tcW w:w="7860" w:type="dxa"/>
            <w:vAlign w:val="bottom"/>
            <w:gridSpan w:val="10"/>
          </w:tcPr>
          <w:p>
            <w:pPr>
              <w:ind w:left="20"/>
              <w:spacing w:after="0"/>
              <w:rPr>
                <w:sz w:val="20"/>
                <w:szCs w:val="20"/>
                <w:color w:val="auto"/>
              </w:rPr>
            </w:pPr>
            <w:r>
              <w:rPr>
                <w:rFonts w:ascii="Arial" w:cs="Arial" w:eastAsia="Arial" w:hAnsi="Arial"/>
                <w:sz w:val="16"/>
                <w:szCs w:val="16"/>
                <w:b w:val="1"/>
                <w:bCs w:val="1"/>
                <w:color w:val="auto"/>
              </w:rPr>
              <w:t>Pre-tax Cost of Postretirement Benefit Plans and Changes in Other Comprehensive Income</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2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454545"/>
              </w:rPr>
              <w:t>2023</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454545"/>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179"/>
              <w:spacing w:after="0"/>
              <w:rPr>
                <w:sz w:val="20"/>
                <w:szCs w:val="20"/>
                <w:color w:val="auto"/>
              </w:rPr>
            </w:pPr>
            <w:r>
              <w:rPr>
                <w:rFonts w:ascii="Arial" w:cs="Arial" w:eastAsia="Arial" w:hAnsi="Arial"/>
                <w:sz w:val="16"/>
                <w:szCs w:val="16"/>
                <w:b w:val="1"/>
                <w:bCs w:val="1"/>
                <w:color w:val="454545"/>
              </w:rPr>
              <w:t>2021</w:t>
            </w:r>
          </w:p>
        </w:tc>
      </w:t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454545"/>
            </w:tcBorders>
            <w:gridSpan w:val="2"/>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09"/>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Principal Pension</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Other Pension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454545"/>
              </w:rPr>
              <w:t>Other Pension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454545"/>
              </w:rPr>
              <w:t>Other Pension</w:t>
            </w:r>
          </w:p>
        </w:tc>
      </w:tr>
      <w:tr>
        <w:trPr>
          <w:trHeight w:val="223"/>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Plans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454545"/>
              </w:rPr>
              <w:t>Plans</w:t>
            </w:r>
          </w:p>
        </w:tc>
        <w:tc>
          <w:tcPr>
            <w:tcW w:w="1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454545"/>
              </w:rPr>
              <w:t>OPEB Plans</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454545"/>
              </w:rPr>
              <w:t>Plans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454545"/>
              </w:rPr>
              <w:t>Plans</w:t>
            </w:r>
          </w:p>
        </w:tc>
      </w:tr>
      <w:tr>
        <w:trPr>
          <w:trHeight w:val="21"/>
        </w:trPr>
        <w:tc>
          <w:tcPr>
            <w:tcW w:w="29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r>
      <w:tr>
        <w:trPr>
          <w:trHeight w:val="255"/>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Cost of postretirement benefit plans</w:t>
            </w:r>
          </w:p>
        </w:tc>
        <w:tc>
          <w:tcPr>
            <w:tcW w:w="1080" w:type="dxa"/>
            <w:vAlign w:val="bottom"/>
            <w:tcBorders>
              <w:bottom w:val="single" w:sz="8" w:color="E4E4E4"/>
            </w:tcBorders>
            <w:gridSpan w:val="2"/>
            <w:shd w:val="clear" w:color="auto" w:fill="E4E4E4"/>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(86)</w:t>
            </w:r>
          </w:p>
        </w:tc>
        <w:tc>
          <w:tcPr>
            <w:tcW w:w="600" w:type="dxa"/>
            <w:vAlign w:val="bottom"/>
            <w:tcBorders>
              <w:bottom w:val="single" w:sz="8" w:color="E4E4E4"/>
            </w:tcBorders>
            <w:gridSpan w:val="2"/>
            <w:shd w:val="clear" w:color="auto" w:fill="E4E4E4"/>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4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r>
      <w:tr>
        <w:trPr>
          <w:trHeight w:val="209"/>
        </w:trPr>
        <w:tc>
          <w:tcPr>
            <w:tcW w:w="30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Changes in other comprehensive loss</w:t>
            </w: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Transfers from GE at Spin-Off</w:t>
            </w:r>
          </w:p>
        </w:tc>
        <w:tc>
          <w:tcPr>
            <w:tcW w:w="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(1,989)</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740</w:t>
            </w: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(1,216)</w:t>
            </w: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Plan amendments</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Net loss (gain) – current year</w:t>
            </w:r>
          </w:p>
        </w:tc>
        <w:tc>
          <w:tcPr>
            <w:tcW w:w="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606</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w:t>
            </w: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(74)</w:t>
            </w: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r>
      <w:tr>
        <w:trPr>
          <w:trHeight w:val="236"/>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Reclassifications out of AOCI:</w:t>
            </w: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Curtailment / settlement gain (loss)</w:t>
            </w:r>
          </w:p>
        </w:tc>
        <w:tc>
          <w:tcPr>
            <w:tcW w:w="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Amortization of net loss (gain)</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2"/>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credit</w:t>
            </w:r>
          </w:p>
        </w:tc>
        <w:tc>
          <w:tcPr>
            <w:tcW w:w="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6"/>
                <w:szCs w:val="16"/>
                <w:color w:val="auto"/>
              </w:rPr>
              <w:t>87</w:t>
            </w:r>
          </w:p>
        </w:tc>
        <w:tc>
          <w:tcPr>
            <w:tcW w:w="8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E4E4E4"/>
            </w:tcBorders>
            <w:shd w:val="clear" w:color="auto" w:fill="E4E4E4"/>
          </w:tcPr>
          <w:p>
            <w:pPr>
              <w:spacing w:after="0"/>
              <w:rPr>
                <w:sz w:val="22"/>
                <w:szCs w:val="22"/>
                <w:color w:val="auto"/>
              </w:rPr>
            </w:pPr>
          </w:p>
        </w:tc>
        <w:tc>
          <w:tcPr>
            <w:tcW w:w="40" w:type="dxa"/>
            <w:vAlign w:val="bottom"/>
            <w:tcBorders>
              <w:bottom w:val="single" w:sz="8" w:color="E4E4E4"/>
            </w:tcBorders>
            <w:shd w:val="clear" w:color="auto" w:fill="E4E4E4"/>
          </w:tcPr>
          <w:p>
            <w:pPr>
              <w:spacing w:after="0"/>
              <w:rPr>
                <w:sz w:val="22"/>
                <w:szCs w:val="22"/>
                <w:color w:val="auto"/>
              </w:rPr>
            </w:pPr>
          </w:p>
        </w:tc>
        <w:tc>
          <w:tcPr>
            <w:tcW w:w="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30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 changes in other comprehensive</w:t>
            </w: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 (income)</w:t>
            </w:r>
          </w:p>
        </w:tc>
        <w:tc>
          <w:tcPr>
            <w:tcW w:w="108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(1,256)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959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(1,015)</w:t>
            </w:r>
          </w:p>
        </w:tc>
        <w:tc>
          <w:tcPr>
            <w:tcW w:w="6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(74)</w:t>
            </w:r>
          </w:p>
        </w:tc>
        <w:tc>
          <w:tcPr>
            <w:tcW w:w="2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(98)</w:t>
            </w:r>
          </w:p>
        </w:tc>
      </w:tr>
      <w:tr>
        <w:trPr>
          <w:trHeight w:val="21"/>
        </w:trPr>
        <w:tc>
          <w:tcPr>
            <w:tcW w:w="2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Cost (income) of postretirement</w:t>
            </w:r>
          </w:p>
        </w:tc>
        <w:tc>
          <w:tcPr>
            <w:tcW w:w="4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56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4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520" w:type="dxa"/>
            <w:vAlign w:val="bottom"/>
            <w:shd w:val="clear" w:color="auto" w:fill="E4E4E4"/>
          </w:tcPr>
          <w:p>
            <w:pPr>
              <w:spacing w:after="0"/>
              <w:rPr>
                <w:sz w:val="18"/>
                <w:szCs w:val="18"/>
                <w:color w:val="auto"/>
              </w:rPr>
            </w:pPr>
          </w:p>
        </w:tc>
        <w:tc>
          <w:tcPr>
            <w:tcW w:w="106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420" w:type="dxa"/>
            <w:vAlign w:val="bottom"/>
            <w:shd w:val="clear" w:color="auto" w:fill="E4E4E4"/>
          </w:tcPr>
          <w:p>
            <w:pPr>
              <w:spacing w:after="0"/>
              <w:rPr>
                <w:sz w:val="18"/>
                <w:szCs w:val="18"/>
                <w:color w:val="auto"/>
              </w:rPr>
            </w:pPr>
          </w:p>
        </w:tc>
      </w:tr>
      <w:tr>
        <w:trPr>
          <w:trHeight w:val="203"/>
        </w:trPr>
        <w:tc>
          <w:tcPr>
            <w:tcW w:w="3000" w:type="dxa"/>
            <w:vAlign w:val="bottom"/>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benefit plans and changes in other</w:t>
            </w:r>
          </w:p>
        </w:tc>
        <w:tc>
          <w:tcPr>
            <w:tcW w:w="40" w:type="dxa"/>
            <w:vAlign w:val="bottom"/>
            <w:shd w:val="clear" w:color="auto" w:fill="E4E4E4"/>
          </w:tcPr>
          <w:p>
            <w:pPr>
              <w:spacing w:after="0"/>
              <w:rPr>
                <w:sz w:val="17"/>
                <w:szCs w:val="17"/>
                <w:color w:val="auto"/>
              </w:rPr>
            </w:pPr>
          </w:p>
        </w:tc>
        <w:tc>
          <w:tcPr>
            <w:tcW w:w="1040" w:type="dxa"/>
            <w:vAlign w:val="bottom"/>
            <w:shd w:val="clear" w:color="auto" w:fill="E4E4E4"/>
          </w:tcPr>
          <w:p>
            <w:pPr>
              <w:spacing w:after="0"/>
              <w:rPr>
                <w:sz w:val="17"/>
                <w:szCs w:val="17"/>
                <w:color w:val="auto"/>
              </w:rPr>
            </w:pPr>
          </w:p>
        </w:tc>
        <w:tc>
          <w:tcPr>
            <w:tcW w:w="56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142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34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520" w:type="dxa"/>
            <w:vAlign w:val="bottom"/>
            <w:shd w:val="clear" w:color="auto" w:fill="E4E4E4"/>
          </w:tcPr>
          <w:p>
            <w:pPr>
              <w:spacing w:after="0"/>
              <w:rPr>
                <w:sz w:val="17"/>
                <w:szCs w:val="17"/>
                <w:color w:val="auto"/>
              </w:rPr>
            </w:pPr>
          </w:p>
        </w:tc>
        <w:tc>
          <w:tcPr>
            <w:tcW w:w="1060" w:type="dxa"/>
            <w:vAlign w:val="bottom"/>
            <w:shd w:val="clear" w:color="auto" w:fill="E4E4E4"/>
          </w:tcPr>
          <w:p>
            <w:pPr>
              <w:spacing w:after="0"/>
              <w:rPr>
                <w:sz w:val="17"/>
                <w:szCs w:val="17"/>
                <w:color w:val="auto"/>
              </w:rPr>
            </w:pPr>
          </w:p>
        </w:tc>
        <w:tc>
          <w:tcPr>
            <w:tcW w:w="40" w:type="dxa"/>
            <w:vAlign w:val="bottom"/>
            <w:shd w:val="clear" w:color="auto" w:fill="E4E4E4"/>
          </w:tcPr>
          <w:p>
            <w:pPr>
              <w:spacing w:after="0"/>
              <w:rPr>
                <w:sz w:val="17"/>
                <w:szCs w:val="17"/>
                <w:color w:val="auto"/>
              </w:rPr>
            </w:pPr>
          </w:p>
        </w:tc>
        <w:tc>
          <w:tcPr>
            <w:tcW w:w="40" w:type="dxa"/>
            <w:vAlign w:val="bottom"/>
            <w:shd w:val="clear" w:color="auto" w:fill="E4E4E4"/>
          </w:tcPr>
          <w:p>
            <w:pPr>
              <w:spacing w:after="0"/>
              <w:rPr>
                <w:sz w:val="17"/>
                <w:szCs w:val="17"/>
                <w:color w:val="auto"/>
              </w:rPr>
            </w:pPr>
          </w:p>
        </w:tc>
        <w:tc>
          <w:tcPr>
            <w:tcW w:w="4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420" w:type="dxa"/>
            <w:vAlign w:val="bottom"/>
            <w:shd w:val="clear" w:color="auto" w:fill="E4E4E4"/>
          </w:tcPr>
          <w:p>
            <w:pPr>
              <w:spacing w:after="0"/>
              <w:rPr>
                <w:sz w:val="17"/>
                <w:szCs w:val="17"/>
                <w:color w:val="auto"/>
              </w:rPr>
            </w:pPr>
          </w:p>
        </w:tc>
      </w:tr>
      <w:tr>
        <w:trPr>
          <w:trHeight w:val="249"/>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1080" w:type="dxa"/>
            <w:vAlign w:val="bottom"/>
            <w:tcBorders>
              <w:bottom w:val="single" w:sz="8" w:color="E4E4E4"/>
            </w:tcBorders>
            <w:gridSpan w:val="2"/>
            <w:shd w:val="clear" w:color="auto" w:fill="E4E4E4"/>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(1,101)</w:t>
            </w:r>
          </w:p>
        </w:tc>
        <w:tc>
          <w:tcPr>
            <w:tcW w:w="600" w:type="dxa"/>
            <w:vAlign w:val="bottom"/>
            <w:tcBorders>
              <w:bottom w:val="single" w:sz="8" w:color="E4E4E4"/>
            </w:tcBorders>
            <w:gridSpan w:val="2"/>
            <w:shd w:val="clear" w:color="auto" w:fill="E4E4E4"/>
          </w:tcPr>
          <w:p>
            <w:pPr>
              <w:jc w:val="right"/>
              <w:ind w:right="3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b w:val="1"/>
                <w:bCs w:val="1"/>
                <w:color w:val="auto"/>
              </w:rPr>
              <w:t>(65)</w:t>
            </w:r>
          </w:p>
        </w:tc>
        <w:tc>
          <w:tcPr>
            <w:tcW w:w="26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r>
      <w:tr>
        <w:trPr>
          <w:trHeight w:val="594"/>
        </w:trPr>
        <w:tc>
          <w:tcPr>
            <w:tcW w:w="30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Assumptions</w:t>
            </w:r>
          </w:p>
        </w:tc>
        <w:tc>
          <w:tcPr>
            <w:tcW w:w="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7"/>
        </w:trPr>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2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2023</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454545"/>
                <w:w w:val="95"/>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2021</w:t>
            </w:r>
          </w:p>
        </w:tc>
      </w:tr>
      <w:tr>
        <w:trPr>
          <w:trHeight w:val="21"/>
        </w:trPr>
        <w:tc>
          <w:tcPr>
            <w:tcW w:w="290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gridSpan w:val="3"/>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09"/>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Principal Pension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3"/>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54545"/>
              </w:rPr>
              <w:t>Plans</w:t>
            </w:r>
          </w:p>
        </w:tc>
        <w:tc>
          <w:tcPr>
            <w:tcW w:w="2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Other Pension Plans</w:t>
            </w:r>
          </w:p>
        </w:tc>
        <w:tc>
          <w:tcPr>
            <w:tcW w:w="18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454545"/>
              </w:rPr>
              <w:t>OPEB Plans</w:t>
            </w:r>
          </w:p>
        </w:tc>
        <w:tc>
          <w:tcPr>
            <w:tcW w:w="17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454545"/>
              </w:rPr>
              <w:t>Other Pension Plans</w:t>
            </w:r>
          </w:p>
        </w:tc>
        <w:tc>
          <w:tcPr>
            <w:tcW w:w="4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b w:val="1"/>
                <w:bCs w:val="1"/>
                <w:color w:val="454545"/>
              </w:rPr>
              <w:t>Other Pension Plans</w:t>
            </w:r>
          </w:p>
        </w:tc>
      </w:tr>
      <w:tr>
        <w:trPr>
          <w:trHeight w:val="21"/>
        </w:trPr>
        <w:tc>
          <w:tcPr>
            <w:tcW w:w="290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r>
      <w:tr>
        <w:trPr>
          <w:trHeight w:val="209"/>
        </w:trPr>
        <w:tc>
          <w:tcPr>
            <w:tcW w:w="3000" w:type="dxa"/>
            <w:vAlign w:val="bottom"/>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benefit</w:t>
            </w:r>
          </w:p>
        </w:tc>
        <w:tc>
          <w:tcPr>
            <w:tcW w:w="4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56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4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520" w:type="dxa"/>
            <w:vAlign w:val="bottom"/>
            <w:shd w:val="clear" w:color="auto" w:fill="E4E4E4"/>
          </w:tcPr>
          <w:p>
            <w:pPr>
              <w:spacing w:after="0"/>
              <w:rPr>
                <w:sz w:val="18"/>
                <w:szCs w:val="18"/>
                <w:color w:val="auto"/>
              </w:rPr>
            </w:pPr>
          </w:p>
        </w:tc>
        <w:tc>
          <w:tcPr>
            <w:tcW w:w="106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420" w:type="dxa"/>
            <w:vAlign w:val="bottom"/>
            <w:shd w:val="clear" w:color="auto" w:fill="E4E4E4"/>
          </w:tcPr>
          <w:p>
            <w:pPr>
              <w:spacing w:after="0"/>
              <w:rPr>
                <w:sz w:val="18"/>
                <w:szCs w:val="18"/>
                <w:color w:val="auto"/>
              </w:rPr>
            </w:pPr>
          </w:p>
        </w:tc>
      </w:tr>
      <w:tr>
        <w:trPr>
          <w:trHeight w:val="224"/>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obligations assumptions</w:t>
            </w:r>
          </w:p>
        </w:tc>
        <w:tc>
          <w:tcPr>
            <w:tcW w:w="40" w:type="dxa"/>
            <w:vAlign w:val="bottom"/>
            <w:tcBorders>
              <w:bottom w:val="single" w:sz="8" w:color="E4E4E4"/>
            </w:tcBorders>
            <w:shd w:val="clear" w:color="auto" w:fill="E4E4E4"/>
          </w:tcPr>
          <w:p>
            <w:pPr>
              <w:spacing w:after="0"/>
              <w:rPr>
                <w:sz w:val="19"/>
                <w:szCs w:val="19"/>
                <w:color w:val="auto"/>
              </w:rPr>
            </w:pPr>
          </w:p>
        </w:tc>
        <w:tc>
          <w:tcPr>
            <w:tcW w:w="1040" w:type="dxa"/>
            <w:vAlign w:val="bottom"/>
            <w:tcBorders>
              <w:bottom w:val="single" w:sz="8" w:color="E4E4E4"/>
            </w:tcBorders>
            <w:shd w:val="clear" w:color="auto" w:fill="E4E4E4"/>
          </w:tcPr>
          <w:p>
            <w:pPr>
              <w:spacing w:after="0"/>
              <w:rPr>
                <w:sz w:val="19"/>
                <w:szCs w:val="19"/>
                <w:color w:val="auto"/>
              </w:rPr>
            </w:pPr>
          </w:p>
        </w:tc>
        <w:tc>
          <w:tcPr>
            <w:tcW w:w="560" w:type="dxa"/>
            <w:vAlign w:val="bottom"/>
            <w:tcBorders>
              <w:bottom w:val="single" w:sz="8" w:color="E4E4E4"/>
            </w:tcBorders>
            <w:shd w:val="clear" w:color="auto" w:fill="E4E4E4"/>
          </w:tcPr>
          <w:p>
            <w:pPr>
              <w:spacing w:after="0"/>
              <w:rPr>
                <w:sz w:val="19"/>
                <w:szCs w:val="19"/>
                <w:color w:val="auto"/>
              </w:rPr>
            </w:pPr>
          </w:p>
        </w:tc>
        <w:tc>
          <w:tcPr>
            <w:tcW w:w="200" w:type="dxa"/>
            <w:vAlign w:val="bottom"/>
            <w:tcBorders>
              <w:bottom w:val="single" w:sz="8" w:color="E4E4E4"/>
            </w:tcBorders>
            <w:shd w:val="clear" w:color="auto" w:fill="E4E4E4"/>
          </w:tcPr>
          <w:p>
            <w:pPr>
              <w:spacing w:after="0"/>
              <w:rPr>
                <w:sz w:val="19"/>
                <w:szCs w:val="19"/>
                <w:color w:val="auto"/>
              </w:rPr>
            </w:pPr>
          </w:p>
        </w:tc>
        <w:tc>
          <w:tcPr>
            <w:tcW w:w="1420" w:type="dxa"/>
            <w:vAlign w:val="bottom"/>
            <w:tcBorders>
              <w:bottom w:val="single" w:sz="8" w:color="E4E4E4"/>
            </w:tcBorders>
            <w:shd w:val="clear" w:color="auto" w:fill="E4E4E4"/>
          </w:tcPr>
          <w:p>
            <w:pPr>
              <w:spacing w:after="0"/>
              <w:rPr>
                <w:sz w:val="19"/>
                <w:szCs w:val="19"/>
                <w:color w:val="auto"/>
              </w:rPr>
            </w:pPr>
          </w:p>
        </w:tc>
        <w:tc>
          <w:tcPr>
            <w:tcW w:w="180" w:type="dxa"/>
            <w:vAlign w:val="bottom"/>
            <w:tcBorders>
              <w:bottom w:val="single" w:sz="8" w:color="E4E4E4"/>
            </w:tcBorders>
            <w:shd w:val="clear" w:color="auto" w:fill="E4E4E4"/>
          </w:tcPr>
          <w:p>
            <w:pPr>
              <w:spacing w:after="0"/>
              <w:rPr>
                <w:sz w:val="19"/>
                <w:szCs w:val="19"/>
                <w:color w:val="auto"/>
              </w:rPr>
            </w:pPr>
          </w:p>
        </w:tc>
        <w:tc>
          <w:tcPr>
            <w:tcW w:w="1340" w:type="dxa"/>
            <w:vAlign w:val="bottom"/>
            <w:tcBorders>
              <w:bottom w:val="single" w:sz="8" w:color="E4E4E4"/>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c>
          <w:tcPr>
            <w:tcW w:w="520" w:type="dxa"/>
            <w:vAlign w:val="bottom"/>
            <w:tcBorders>
              <w:bottom w:val="single" w:sz="8" w:color="E4E4E4"/>
            </w:tcBorders>
            <w:shd w:val="clear" w:color="auto" w:fill="E4E4E4"/>
          </w:tcPr>
          <w:p>
            <w:pPr>
              <w:spacing w:after="0"/>
              <w:rPr>
                <w:sz w:val="19"/>
                <w:szCs w:val="19"/>
                <w:color w:val="auto"/>
              </w:rPr>
            </w:pPr>
          </w:p>
        </w:tc>
        <w:tc>
          <w:tcPr>
            <w:tcW w:w="1060" w:type="dxa"/>
            <w:vAlign w:val="bottom"/>
            <w:tcBorders>
              <w:bottom w:val="single" w:sz="8" w:color="E4E4E4"/>
            </w:tcBorders>
            <w:shd w:val="clear" w:color="auto" w:fill="E4E4E4"/>
          </w:tcPr>
          <w:p>
            <w:pPr>
              <w:spacing w:after="0"/>
              <w:rPr>
                <w:sz w:val="19"/>
                <w:szCs w:val="19"/>
                <w:color w:val="auto"/>
              </w:rPr>
            </w:pPr>
          </w:p>
        </w:tc>
        <w:tc>
          <w:tcPr>
            <w:tcW w:w="40" w:type="dxa"/>
            <w:vAlign w:val="bottom"/>
            <w:tcBorders>
              <w:bottom w:val="single" w:sz="8" w:color="E4E4E4"/>
            </w:tcBorders>
            <w:shd w:val="clear" w:color="auto" w:fill="E4E4E4"/>
          </w:tcPr>
          <w:p>
            <w:pPr>
              <w:spacing w:after="0"/>
              <w:rPr>
                <w:sz w:val="19"/>
                <w:szCs w:val="19"/>
                <w:color w:val="auto"/>
              </w:rPr>
            </w:pPr>
          </w:p>
        </w:tc>
        <w:tc>
          <w:tcPr>
            <w:tcW w:w="40" w:type="dxa"/>
            <w:vAlign w:val="bottom"/>
            <w:tcBorders>
              <w:bottom w:val="single" w:sz="8" w:color="E4E4E4"/>
            </w:tcBorders>
            <w:shd w:val="clear" w:color="auto" w:fill="E4E4E4"/>
          </w:tcPr>
          <w:p>
            <w:pPr>
              <w:spacing w:after="0"/>
              <w:rPr>
                <w:sz w:val="19"/>
                <w:szCs w:val="19"/>
                <w:color w:val="auto"/>
              </w:rPr>
            </w:pPr>
          </w:p>
        </w:tc>
        <w:tc>
          <w:tcPr>
            <w:tcW w:w="40" w:type="dxa"/>
            <w:vAlign w:val="bottom"/>
            <w:tcBorders>
              <w:bottom w:val="single" w:sz="8" w:color="E4E4E4"/>
            </w:tcBorders>
            <w:shd w:val="clear" w:color="auto" w:fill="E4E4E4"/>
          </w:tcPr>
          <w:p>
            <w:pPr>
              <w:spacing w:after="0"/>
              <w:rPr>
                <w:sz w:val="19"/>
                <w:szCs w:val="19"/>
                <w:color w:val="auto"/>
              </w:rPr>
            </w:pPr>
          </w:p>
        </w:tc>
        <w:tc>
          <w:tcPr>
            <w:tcW w:w="180" w:type="dxa"/>
            <w:vAlign w:val="bottom"/>
            <w:tcBorders>
              <w:bottom w:val="single" w:sz="8" w:color="E4E4E4"/>
            </w:tcBorders>
            <w:shd w:val="clear" w:color="auto" w:fill="E4E4E4"/>
          </w:tcPr>
          <w:p>
            <w:pPr>
              <w:spacing w:after="0"/>
              <w:rPr>
                <w:sz w:val="19"/>
                <w:szCs w:val="19"/>
                <w:color w:val="auto"/>
              </w:rPr>
            </w:pPr>
          </w:p>
        </w:tc>
        <w:tc>
          <w:tcPr>
            <w:tcW w:w="1420" w:type="dxa"/>
            <w:vAlign w:val="bottom"/>
            <w:tcBorders>
              <w:bottom w:val="single" w:sz="8" w:color="E4E4E4"/>
            </w:tcBorders>
            <w:shd w:val="clear" w:color="auto" w:fill="E4E4E4"/>
          </w:tcPr>
          <w:p>
            <w:pPr>
              <w:spacing w:after="0"/>
              <w:rPr>
                <w:sz w:val="19"/>
                <w:szCs w:val="19"/>
                <w:color w:val="auto"/>
              </w:rPr>
            </w:pPr>
          </w:p>
        </w:tc>
      </w:tr>
      <w:tr>
        <w:trPr>
          <w:trHeight w:val="228"/>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5.2 %</w:t>
            </w:r>
          </w:p>
        </w:tc>
        <w:tc>
          <w:tcPr>
            <w:tcW w:w="2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4.5 %</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9"/>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Compensation increases</w:t>
            </w:r>
          </w:p>
        </w:tc>
        <w:tc>
          <w:tcPr>
            <w:tcW w:w="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3.9 %</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3.1 %</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c>
          <w:tcPr>
            <w:tcW w:w="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3.0 %</w:t>
            </w: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benefit cost</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assumptions</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300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Discount rate</w:t>
            </w:r>
          </w:p>
        </w:tc>
        <w:tc>
          <w:tcPr>
            <w:tcW w:w="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5.5 %</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4.9 %</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5.4 %</w:t>
            </w:r>
          </w:p>
        </w:tc>
        <w:tc>
          <w:tcPr>
            <w:tcW w:w="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1.9 %</w:t>
            </w: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1.4 %</w:t>
            </w:r>
          </w:p>
        </w:tc>
      </w:tr>
      <w:tr>
        <w:trPr>
          <w:trHeight w:val="228"/>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Expected rate of return on plan assets</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7.0 %</w:t>
            </w:r>
          </w:p>
        </w:tc>
        <w:tc>
          <w:tcPr>
            <w:tcW w:w="2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5.6 %</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9"/>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For the December 31, 2023 postretirement health care obligations remeasurement, the Company assumed a 6.5% initial weighted average rate of increase in the per capita cost of the various covered health care benefits, which applies primarily to non-Medicare eligible participants. The trend rate was assumed to decrease gradually to an ultimate rate of 5.0% in 2029 and remain at that level thereafter.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 Used in Calculations</w:t>
      </w:r>
    </w:p>
    <w:p>
      <w:pPr>
        <w:spacing w:after="0" w:line="19"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Accounting requirements necessitate the use of assumptions to reflect the uncertainties and the length of time over which the pension obligations will be paid. The actual amount of future benefit payments will depend upon when participants retire, the amount of their benefit at retirement, and how long they live. To reflect the obligation in today’s U.S. dollars, we discount the future payments using a rate that matches the time frame over which the payments are expected to be made. We also assume a long-term rate of return that will be earned on investments used to fund these payments.</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GE HealthCare engages third-party actuaries to assist in the determination of the pension and other postretirement plan assumptions. We evaluate these assumptions annually. We periodically evaluate other assumptions, such as retirement age, mortality, and turnover, and update them as necessary to reflect our actual experience and expectations for the future.</w:t>
      </w:r>
    </w:p>
    <w:p>
      <w:pPr>
        <w:spacing w:after="0" w:line="205"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determine the discount rate using the weighted average yields on high-quality fixed-income securities that have maturities consistent with the expected timing of benefit payments. Lower discount rates increase the size of the benefit obligations and generally increase pension expense in the following year; higher discount rates reduce the size of the benefit obligation and generally reduce subsequent-year pension expense.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5" w:name="page96"/>
    <w:bookmarkEnd w:id="95"/>
    <w:p>
      <w:pPr>
        <w:ind w:right="60"/>
        <w:spacing w:after="0" w:line="286" w:lineRule="auto"/>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 To determine this rate, we consider the current and target composition of plan investments, our historical returns earned, and our expectations about the future.</w:t>
      </w:r>
    </w:p>
    <w:p>
      <w:pPr>
        <w:spacing w:after="0" w:line="196"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compensation assumption is used to estimate the annual rate at which compensation of active plan participants will grow. If the rate of growth assumed increases, the size of the pension obligations will increase, as will the amount recorded in AOCI in our Consolidated and Combined Statements of Financial Position and amortized to earnings in subsequent periods.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With respect to the pension balances included on our Consolidated Statement of Financial Position as of December 31, 2023, we estimate that we will amortize $(116) million of net actuarial gain and $(81) million of prior service credit from AOCI into Non-operating benefit (income) cost in the Consolidated Statement of Income during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Expected Future Benefit Payments of Our Benefit Plans</w:t>
            </w: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6"/>
        </w:trPr>
        <w:tc>
          <w:tcPr>
            <w:tcW w:w="5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Principal Pension</w:t>
            </w:r>
          </w:p>
        </w:tc>
        <w:tc>
          <w:tcPr>
            <w:tcW w:w="200" w:type="dxa"/>
            <w:vAlign w:val="bottom"/>
          </w:tcPr>
          <w:p>
            <w:pPr>
              <w:spacing w:after="0"/>
              <w:rPr>
                <w:sz w:val="20"/>
                <w:szCs w:val="20"/>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454545"/>
              </w:rPr>
              <w:t>Other Pension</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454545"/>
              </w:rPr>
              <w:t>Plans</w:t>
            </w:r>
          </w:p>
        </w:tc>
        <w:tc>
          <w:tcPr>
            <w:tcW w:w="200" w:type="dxa"/>
            <w:vAlign w:val="bottom"/>
          </w:tcPr>
          <w:p>
            <w:pPr>
              <w:spacing w:after="0"/>
              <w:rPr>
                <w:sz w:val="19"/>
                <w:szCs w:val="19"/>
                <w:color w:val="auto"/>
              </w:rPr>
            </w:pPr>
          </w:p>
        </w:tc>
        <w:tc>
          <w:tcPr>
            <w:tcW w:w="1420" w:type="dxa"/>
            <w:vAlign w:val="bottom"/>
          </w:tcPr>
          <w:p>
            <w:pPr>
              <w:jc w:val="right"/>
              <w:ind w:right="499"/>
              <w:spacing w:after="0"/>
              <w:rPr>
                <w:sz w:val="20"/>
                <w:szCs w:val="20"/>
                <w:color w:val="auto"/>
              </w:rPr>
            </w:pPr>
            <w:r>
              <w:rPr>
                <w:rFonts w:ascii="Arial" w:cs="Arial" w:eastAsia="Arial" w:hAnsi="Arial"/>
                <w:sz w:val="16"/>
                <w:szCs w:val="16"/>
                <w:b w:val="1"/>
                <w:bCs w:val="1"/>
                <w:color w:val="454545"/>
              </w:rPr>
              <w:t>Plans</w:t>
            </w:r>
          </w:p>
        </w:tc>
        <w:tc>
          <w:tcPr>
            <w:tcW w:w="240" w:type="dxa"/>
            <w:vAlign w:val="bottom"/>
          </w:tcPr>
          <w:p>
            <w:pPr>
              <w:spacing w:after="0"/>
              <w:rPr>
                <w:sz w:val="19"/>
                <w:szCs w:val="19"/>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5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148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4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400" w:type="dxa"/>
            <w:vAlign w:val="bottom"/>
            <w:tcBorders>
              <w:bottom w:val="single" w:sz="8" w:color="6400A0"/>
            </w:tcBorders>
          </w:tcPr>
          <w:p>
            <w:pPr>
              <w:spacing w:after="0" w:line="20" w:lineRule="exact"/>
              <w:rPr>
                <w:sz w:val="1"/>
                <w:szCs w:val="1"/>
                <w:color w:val="auto"/>
              </w:rPr>
            </w:pPr>
          </w:p>
        </w:tc>
      </w:tr>
      <w:tr>
        <w:trPr>
          <w:trHeight w:val="230"/>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2024</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1,277</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226</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r>
      <w:tr>
        <w:trPr>
          <w:trHeight w:val="227"/>
        </w:trPr>
        <w:tc>
          <w:tcPr>
            <w:tcW w:w="5360" w:type="dxa"/>
            <w:vAlign w:val="bottom"/>
          </w:tcPr>
          <w:p>
            <w:pPr>
              <w:ind w:left="20"/>
              <w:spacing w:after="0"/>
              <w:rPr>
                <w:sz w:val="20"/>
                <w:szCs w:val="20"/>
                <w:color w:val="auto"/>
              </w:rPr>
            </w:pPr>
            <w:r>
              <w:rPr>
                <w:rFonts w:ascii="Arial" w:cs="Arial" w:eastAsia="Arial" w:hAnsi="Arial"/>
                <w:sz w:val="16"/>
                <w:szCs w:val="16"/>
                <w:color w:val="auto"/>
              </w:rPr>
              <w:t>2025</w:t>
            </w:r>
          </w:p>
        </w:tc>
        <w:tc>
          <w:tcPr>
            <w:tcW w:w="1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1,289</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9"/>
        </w:trPr>
        <w:tc>
          <w:tcPr>
            <w:tcW w:w="5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2026</w:t>
            </w:r>
          </w:p>
        </w:tc>
        <w:tc>
          <w:tcPr>
            <w:tcW w:w="11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1,300</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2027</w:t>
            </w:r>
          </w:p>
        </w:tc>
        <w:tc>
          <w:tcPr>
            <w:tcW w:w="1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1,307</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243</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9"/>
        </w:trPr>
        <w:tc>
          <w:tcPr>
            <w:tcW w:w="5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2028</w:t>
            </w:r>
          </w:p>
        </w:tc>
        <w:tc>
          <w:tcPr>
            <w:tcW w:w="11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1,310</w:t>
            </w:r>
          </w:p>
        </w:tc>
        <w:tc>
          <w:tcPr>
            <w:tcW w:w="20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2029-2033</w:t>
            </w:r>
          </w:p>
        </w:tc>
        <w:tc>
          <w:tcPr>
            <w:tcW w:w="1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6,449</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9"/>
        </w:trPr>
        <w:tc>
          <w:tcPr>
            <w:tcW w:w="5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 ASSETS.</w:t>
      </w:r>
    </w:p>
    <w:p>
      <w:pPr>
        <w:spacing w:after="0" w:line="26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GE HealthCare Employee Benefits Investment Committee (the “Investment Committee”) oversees and monitors the investment of the assets of our U.S. funded pension plans. The Investment Committee retains independent investment managers and advisors and uses documented policies and procedures relating to investment goals, targeted asset allocations, risk management practices, allowable and prohibited investment holdings, diversification, use of derivatives, the relationship between plan assets and benefit obligations, the funded status of the plans, and other relevant factors and considerations.</w:t>
      </w:r>
    </w:p>
    <w:p>
      <w:pPr>
        <w:spacing w:after="0" w:line="200"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assets of our U.S. funded pension plans are invested in a portfolio that includes U.S. and international equity securities; U.S. government, agency and corporate debt securities; asset-backed debt securities; private equity; real estate and other alternative investments; as well as cash and cash equivalents and derivatives contracts. This combination of assets and derivatives is utilized to implement the investment strategies as well as for hedging asset and liability risks. The Investment Committee sets target allocation percentages at an asset class level, including permitted ranges above or below the target allocation percentages.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for international plans are managed and allocated by the entities in each country.</w:t>
      </w:r>
    </w:p>
    <w:p>
      <w:pPr>
        <w:spacing w:after="0" w:line="26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following tables summarize our pension plan financial instruments that are measured at fair value on a recurring basis. There are no plan assets associated with our OPEB Plans. The inputs and valuation techniques used to measure the fair value of the assets are consistent with the valuation methodologies we use to measure financial assets at fair value on a recurring basis, as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3"/>
        </w:trPr>
        <w:tc>
          <w:tcPr>
            <w:tcW w:w="4140" w:type="dxa"/>
            <w:vAlign w:val="bottom"/>
            <w:gridSpan w:val="6"/>
          </w:tcPr>
          <w:p>
            <w:pPr>
              <w:ind w:left="40"/>
              <w:spacing w:after="0"/>
              <w:rPr>
                <w:sz w:val="20"/>
                <w:szCs w:val="20"/>
                <w:color w:val="auto"/>
              </w:rPr>
            </w:pPr>
            <w:r>
              <w:rPr>
                <w:rFonts w:ascii="Arial" w:cs="Arial" w:eastAsia="Arial" w:hAnsi="Arial"/>
                <w:sz w:val="16"/>
                <w:szCs w:val="16"/>
                <w:b w:val="1"/>
                <w:bCs w:val="1"/>
                <w:color w:val="auto"/>
              </w:rPr>
              <w:t>Composition of Plan Assets as of December 31, 2023</w:t>
            </w: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454545"/>
              </w:rPr>
              <w:t>Principal Pension Plans</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454545"/>
              </w:rPr>
              <w:t>Other Pension Plans</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660" w:type="dxa"/>
            <w:vAlign w:val="bottom"/>
            <w:tcBorders>
              <w:bottom w:val="single" w:sz="8" w:color="454545"/>
            </w:tcBorders>
            <w:gridSpan w:val="5"/>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600" w:type="dxa"/>
            <w:vAlign w:val="bottom"/>
            <w:tcBorders>
              <w:bottom w:val="single" w:sz="8" w:color="454545"/>
            </w:tcBorders>
            <w:gridSpan w:val="6"/>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gridSpan w:val="5"/>
          </w:tcPr>
          <w:p>
            <w:pPr>
              <w:jc w:val="right"/>
              <w:spacing w:after="0"/>
              <w:rPr>
                <w:sz w:val="20"/>
                <w:szCs w:val="20"/>
                <w:color w:val="auto"/>
              </w:rPr>
            </w:pPr>
            <w:r>
              <w:rPr>
                <w:rFonts w:ascii="Arial" w:cs="Arial" w:eastAsia="Arial" w:hAnsi="Arial"/>
                <w:sz w:val="16"/>
                <w:szCs w:val="16"/>
                <w:b w:val="1"/>
                <w:bCs w:val="1"/>
                <w:color w:val="454545"/>
              </w:rPr>
              <w:t>Basis of fair value measurement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0" w:type="dxa"/>
            <w:vAlign w:val="bottom"/>
            <w:gridSpan w:val="6"/>
          </w:tcPr>
          <w:p>
            <w:pPr>
              <w:jc w:val="right"/>
              <w:spacing w:after="0"/>
              <w:rPr>
                <w:sz w:val="20"/>
                <w:szCs w:val="20"/>
                <w:color w:val="auto"/>
              </w:rPr>
            </w:pPr>
            <w:r>
              <w:rPr>
                <w:rFonts w:ascii="Arial" w:cs="Arial" w:eastAsia="Arial" w:hAnsi="Arial"/>
                <w:sz w:val="16"/>
                <w:szCs w:val="16"/>
                <w:b w:val="1"/>
                <w:bCs w:val="1"/>
                <w:color w:val="454545"/>
              </w:rPr>
              <w:t>Basis of fair value measurement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Balance as</w:t>
            </w:r>
          </w:p>
        </w:tc>
        <w:tc>
          <w:tcPr>
            <w:tcW w:w="10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Balance as</w:t>
            </w:r>
          </w:p>
        </w:tc>
        <w:tc>
          <w:tcPr>
            <w:tcW w:w="2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454545"/>
              </w:rPr>
              <w:t>of</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19"/>
              <w:spacing w:after="0"/>
              <w:rPr>
                <w:sz w:val="20"/>
                <w:szCs w:val="20"/>
                <w:color w:val="auto"/>
              </w:rPr>
            </w:pPr>
            <w:r>
              <w:rPr>
                <w:rFonts w:ascii="Arial" w:cs="Arial" w:eastAsia="Arial" w:hAnsi="Arial"/>
                <w:sz w:val="16"/>
                <w:szCs w:val="16"/>
                <w:b w:val="1"/>
                <w:bCs w:val="1"/>
                <w:color w:val="454545"/>
                <w:w w:val="92"/>
              </w:rPr>
              <w:t>of</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December</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Measured</w:t>
            </w: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December</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Measured</w:t>
            </w:r>
          </w:p>
        </w:tc>
        <w:tc>
          <w:tcPr>
            <w:tcW w:w="0" w:type="dxa"/>
            <w:vAlign w:val="bottom"/>
          </w:tcPr>
          <w:p>
            <w:pPr>
              <w:spacing w:after="0"/>
              <w:rPr>
                <w:sz w:val="1"/>
                <w:szCs w:val="1"/>
                <w:color w:val="auto"/>
              </w:rPr>
            </w:pPr>
          </w:p>
        </w:tc>
      </w:tr>
      <w:tr>
        <w:trPr>
          <w:trHeight w:val="244"/>
        </w:trPr>
        <w:tc>
          <w:tcPr>
            <w:tcW w:w="2300" w:type="dxa"/>
            <w:vAlign w:val="bottom"/>
            <w:tcBorders>
              <w:bottom w:val="single" w:sz="8" w:color="6022A6"/>
            </w:tcBorders>
          </w:tcPr>
          <w:p>
            <w:pPr>
              <w:spacing w:after="0"/>
              <w:rPr>
                <w:sz w:val="21"/>
                <w:szCs w:val="21"/>
                <w:color w:val="auto"/>
              </w:rPr>
            </w:pPr>
          </w:p>
        </w:tc>
        <w:tc>
          <w:tcPr>
            <w:tcW w:w="120" w:type="dxa"/>
            <w:vAlign w:val="bottom"/>
            <w:tcBorders>
              <w:bottom w:val="single" w:sz="8" w:color="6022A6"/>
            </w:tcBorders>
          </w:tcPr>
          <w:p>
            <w:pPr>
              <w:spacing w:after="0"/>
              <w:rPr>
                <w:sz w:val="21"/>
                <w:szCs w:val="21"/>
                <w:color w:val="auto"/>
              </w:rPr>
            </w:pPr>
          </w:p>
        </w:tc>
        <w:tc>
          <w:tcPr>
            <w:tcW w:w="78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rPr>
              <w:t>31, 2023</w:t>
            </w:r>
          </w:p>
        </w:tc>
        <w:tc>
          <w:tcPr>
            <w:tcW w:w="100" w:type="dxa"/>
            <w:vAlign w:val="bottom"/>
            <w:tcBorders>
              <w:bottom w:val="single" w:sz="8" w:color="6022A6"/>
            </w:tcBorders>
          </w:tcPr>
          <w:p>
            <w:pPr>
              <w:spacing w:after="0"/>
              <w:rPr>
                <w:sz w:val="21"/>
                <w:szCs w:val="21"/>
                <w:color w:val="auto"/>
              </w:rPr>
            </w:pPr>
          </w:p>
        </w:tc>
        <w:tc>
          <w:tcPr>
            <w:tcW w:w="64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9"/>
              </w:rPr>
              <w:t>Level 1</w:t>
            </w:r>
          </w:p>
        </w:tc>
        <w:tc>
          <w:tcPr>
            <w:tcW w:w="200" w:type="dxa"/>
            <w:vAlign w:val="bottom"/>
            <w:tcBorders>
              <w:bottom w:val="single" w:sz="8" w:color="6022A6"/>
            </w:tcBorders>
          </w:tcPr>
          <w:p>
            <w:pPr>
              <w:spacing w:after="0"/>
              <w:rPr>
                <w:sz w:val="21"/>
                <w:szCs w:val="21"/>
                <w:color w:val="auto"/>
              </w:rPr>
            </w:pPr>
          </w:p>
        </w:tc>
        <w:tc>
          <w:tcPr>
            <w:tcW w:w="94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Level 2</w:t>
            </w:r>
          </w:p>
        </w:tc>
        <w:tc>
          <w:tcPr>
            <w:tcW w:w="78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Level 3</w:t>
            </w:r>
          </w:p>
        </w:tc>
        <w:tc>
          <w:tcPr>
            <w:tcW w:w="120" w:type="dxa"/>
            <w:vAlign w:val="bottom"/>
            <w:tcBorders>
              <w:bottom w:val="single" w:sz="8" w:color="6022A6"/>
            </w:tcBorders>
          </w:tcPr>
          <w:p>
            <w:pPr>
              <w:spacing w:after="0"/>
              <w:rPr>
                <w:sz w:val="21"/>
                <w:szCs w:val="21"/>
                <w:color w:val="auto"/>
              </w:rPr>
            </w:pPr>
          </w:p>
        </w:tc>
        <w:tc>
          <w:tcPr>
            <w:tcW w:w="860" w:type="dxa"/>
            <w:vAlign w:val="bottom"/>
            <w:tcBorders>
              <w:bottom w:val="single" w:sz="8" w:color="6022A6"/>
            </w:tcBorders>
            <w:gridSpan w:val="2"/>
          </w:tcPr>
          <w:p>
            <w:pPr>
              <w:jc w:val="center"/>
              <w:ind w:right="180"/>
              <w:spacing w:after="0"/>
              <w:rPr>
                <w:sz w:val="20"/>
                <w:szCs w:val="20"/>
                <w:color w:val="auto"/>
              </w:rPr>
            </w:pPr>
            <w:r>
              <w:rPr>
                <w:rFonts w:ascii="Arial" w:cs="Arial" w:eastAsia="Arial" w:hAnsi="Arial"/>
                <w:sz w:val="16"/>
                <w:szCs w:val="16"/>
                <w:b w:val="1"/>
                <w:bCs w:val="1"/>
                <w:color w:val="454545"/>
                <w:w w:val="91"/>
              </w:rPr>
              <w:t>at NAV</w:t>
            </w:r>
            <w:r>
              <w:rPr>
                <w:rFonts w:ascii="Arial" w:cs="Arial" w:eastAsia="Arial" w:hAnsi="Arial"/>
                <w:sz w:val="21"/>
                <w:szCs w:val="21"/>
                <w:b w:val="1"/>
                <w:bCs w:val="1"/>
                <w:color w:val="454545"/>
                <w:w w:val="91"/>
                <w:vertAlign w:val="superscript"/>
              </w:rPr>
              <w:t>(1)</w:t>
            </w:r>
          </w:p>
        </w:tc>
        <w:tc>
          <w:tcPr>
            <w:tcW w:w="12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w w:val="99"/>
              </w:rPr>
              <w:t>31, 2023</w:t>
            </w:r>
          </w:p>
        </w:tc>
        <w:tc>
          <w:tcPr>
            <w:tcW w:w="74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Level 1</w:t>
            </w:r>
          </w:p>
        </w:tc>
        <w:tc>
          <w:tcPr>
            <w:tcW w:w="180" w:type="dxa"/>
            <w:vAlign w:val="bottom"/>
            <w:tcBorders>
              <w:bottom w:val="single" w:sz="8" w:color="6022A6"/>
            </w:tcBorders>
          </w:tcPr>
          <w:p>
            <w:pPr>
              <w:spacing w:after="0"/>
              <w:rPr>
                <w:sz w:val="21"/>
                <w:szCs w:val="21"/>
                <w:color w:val="auto"/>
              </w:rPr>
            </w:pPr>
          </w:p>
        </w:tc>
        <w:tc>
          <w:tcPr>
            <w:tcW w:w="74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Level 3</w:t>
            </w:r>
          </w:p>
        </w:tc>
        <w:tc>
          <w:tcPr>
            <w:tcW w:w="120" w:type="dxa"/>
            <w:vAlign w:val="bottom"/>
            <w:tcBorders>
              <w:bottom w:val="single" w:sz="8" w:color="6022A6"/>
            </w:tcBorders>
          </w:tcPr>
          <w:p>
            <w:pPr>
              <w:spacing w:after="0"/>
              <w:rPr>
                <w:sz w:val="21"/>
                <w:szCs w:val="21"/>
                <w:color w:val="auto"/>
              </w:rPr>
            </w:pPr>
          </w:p>
        </w:tc>
        <w:tc>
          <w:tcPr>
            <w:tcW w:w="78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w w:val="91"/>
              </w:rPr>
              <w:t>at NAV</w:t>
            </w:r>
            <w:r>
              <w:rPr>
                <w:rFonts w:ascii="Arial" w:cs="Arial" w:eastAsia="Arial" w:hAnsi="Arial"/>
                <w:sz w:val="21"/>
                <w:szCs w:val="21"/>
                <w:b w:val="1"/>
                <w:bCs w:val="1"/>
                <w:color w:val="454545"/>
                <w:w w:val="91"/>
                <w:vertAlign w:val="superscript"/>
              </w:rPr>
              <w:t>(1)</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Global equity securities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1,655</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467</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5"/>
        </w:trPr>
        <w:tc>
          <w:tcPr>
            <w:tcW w:w="2300" w:type="dxa"/>
            <w:vAlign w:val="bottom"/>
          </w:tcPr>
          <w:p>
            <w:pPr>
              <w:ind w:left="40"/>
              <w:spacing w:after="0"/>
              <w:rPr>
                <w:sz w:val="20"/>
                <w:szCs w:val="20"/>
                <w:color w:val="auto"/>
              </w:rPr>
            </w:pPr>
            <w:r>
              <w:rPr>
                <w:rFonts w:ascii="Arial" w:cs="Arial" w:eastAsia="Arial" w:hAnsi="Arial"/>
                <w:sz w:val="16"/>
                <w:szCs w:val="16"/>
                <w:color w:val="auto"/>
              </w:rPr>
              <w:t>Debt securities (including cash</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40"/>
              <w:spacing w:after="0"/>
              <w:rPr>
                <w:sz w:val="20"/>
                <w:szCs w:val="20"/>
                <w:color w:val="auto"/>
              </w:rPr>
            </w:pPr>
            <w:r>
              <w:rPr>
                <w:rFonts w:ascii="Arial" w:cs="Arial" w:eastAsia="Arial" w:hAnsi="Arial"/>
                <w:sz w:val="16"/>
                <w:szCs w:val="16"/>
                <w:color w:val="auto"/>
              </w:rPr>
              <w:t>and cash equivalents)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866</w:t>
            </w:r>
          </w:p>
        </w:tc>
        <w:tc>
          <w:tcPr>
            <w:tcW w:w="20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6,309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Real estate</w:t>
            </w:r>
          </w:p>
        </w:tc>
        <w:tc>
          <w:tcPr>
            <w:tcW w:w="1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530</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2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5"/>
        </w:trPr>
        <w:tc>
          <w:tcPr>
            <w:tcW w:w="2300" w:type="dxa"/>
            <w:vAlign w:val="bottom"/>
          </w:tcPr>
          <w:p>
            <w:pPr>
              <w:ind w:left="40"/>
              <w:spacing w:after="0"/>
              <w:rPr>
                <w:sz w:val="20"/>
                <w:szCs w:val="20"/>
                <w:color w:val="auto"/>
              </w:rPr>
            </w:pPr>
            <w:r>
              <w:rPr>
                <w:rFonts w:ascii="Arial" w:cs="Arial" w:eastAsia="Arial" w:hAnsi="Arial"/>
                <w:sz w:val="16"/>
                <w:szCs w:val="16"/>
                <w:color w:val="auto"/>
              </w:rPr>
              <w:t>Private equities and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78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9"/>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Fair value of plan assets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14,700</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6,318 $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5,967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4,518</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290</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1,992</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right="300" w:hanging="252"/>
        <w:spacing w:after="0" w:line="286" w:lineRule="auto"/>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Certain assets that are measured at fair value using the NAV per share (or its equivalent), as a practical expedient, have not been classified in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ind w:left="40"/>
              <w:spacing w:after="0"/>
              <w:rPr>
                <w:sz w:val="20"/>
                <w:szCs w:val="20"/>
                <w:color w:val="auto"/>
              </w:rPr>
            </w:pPr>
            <w:r>
              <w:rPr>
                <w:rFonts w:ascii="Arial" w:cs="Arial" w:eastAsia="Arial" w:hAnsi="Arial"/>
                <w:sz w:val="16"/>
                <w:szCs w:val="16"/>
                <w:b w:val="1"/>
                <w:bCs w:val="1"/>
                <w:color w:val="auto"/>
              </w:rPr>
              <w:t>Composition of Plan Assets as of December 31, 2022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454545"/>
              </w:rPr>
              <w:t>Other Pension Plans</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3640" w:type="dxa"/>
            <w:vAlign w:val="bottom"/>
            <w:tcBorders>
              <w:bottom w:val="single" w:sz="8" w:color="454545"/>
            </w:tcBorders>
            <w:gridSpan w:val="4"/>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454545"/>
              </w:rPr>
              <w:t>Basis of fair value measurement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Balance as of</w:t>
            </w:r>
          </w:p>
        </w:tc>
        <w:tc>
          <w:tcPr>
            <w:tcW w:w="2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454545"/>
                <w:w w:val="99"/>
              </w:rPr>
              <w:t>December 31,</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454545"/>
              </w:rPr>
              <w:t>Measured at</w:t>
            </w:r>
          </w:p>
        </w:tc>
        <w:tc>
          <w:tcPr>
            <w:tcW w:w="0" w:type="dxa"/>
            <w:vAlign w:val="bottom"/>
          </w:tcPr>
          <w:p>
            <w:pPr>
              <w:spacing w:after="0"/>
              <w:rPr>
                <w:sz w:val="1"/>
                <w:szCs w:val="1"/>
                <w:color w:val="auto"/>
              </w:rPr>
            </w:pPr>
          </w:p>
        </w:tc>
      </w:tr>
      <w:tr>
        <w:trPr>
          <w:trHeight w:val="254"/>
        </w:trPr>
        <w:tc>
          <w:tcPr>
            <w:tcW w:w="4740" w:type="dxa"/>
            <w:vAlign w:val="bottom"/>
            <w:tcBorders>
              <w:bottom w:val="single" w:sz="8" w:color="6022A6"/>
            </w:tcBorders>
          </w:tcPr>
          <w:p>
            <w:pPr>
              <w:spacing w:after="0"/>
              <w:rPr>
                <w:sz w:val="22"/>
                <w:szCs w:val="22"/>
                <w:color w:val="auto"/>
              </w:rPr>
            </w:pPr>
          </w:p>
        </w:tc>
        <w:tc>
          <w:tcPr>
            <w:tcW w:w="120" w:type="dxa"/>
            <w:vAlign w:val="bottom"/>
            <w:tcBorders>
              <w:bottom w:val="single" w:sz="8" w:color="6022A6"/>
            </w:tcBorders>
          </w:tcPr>
          <w:p>
            <w:pPr>
              <w:spacing w:after="0"/>
              <w:rPr>
                <w:sz w:val="22"/>
                <w:szCs w:val="22"/>
                <w:color w:val="auto"/>
              </w:rPr>
            </w:pPr>
          </w:p>
        </w:tc>
        <w:tc>
          <w:tcPr>
            <w:tcW w:w="118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rPr>
              <w:t>2022</w:t>
            </w:r>
          </w:p>
        </w:tc>
        <w:tc>
          <w:tcPr>
            <w:tcW w:w="240" w:type="dxa"/>
            <w:vAlign w:val="bottom"/>
            <w:tcBorders>
              <w:bottom w:val="single" w:sz="8" w:color="6022A6"/>
            </w:tcBorders>
          </w:tcPr>
          <w:p>
            <w:pPr>
              <w:spacing w:after="0"/>
              <w:rPr>
                <w:sz w:val="22"/>
                <w:szCs w:val="22"/>
                <w:color w:val="auto"/>
              </w:rPr>
            </w:pPr>
          </w:p>
        </w:tc>
        <w:tc>
          <w:tcPr>
            <w:tcW w:w="104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260" w:type="dxa"/>
            <w:vAlign w:val="bottom"/>
            <w:tcBorders>
              <w:bottom w:val="single" w:sz="8" w:color="6022A6"/>
            </w:tcBorders>
          </w:tcPr>
          <w:p>
            <w:pPr>
              <w:spacing w:after="0"/>
              <w:rPr>
                <w:sz w:val="22"/>
                <w:szCs w:val="22"/>
                <w:color w:val="auto"/>
              </w:rPr>
            </w:pPr>
          </w:p>
        </w:tc>
        <w:tc>
          <w:tcPr>
            <w:tcW w:w="1300" w:type="dxa"/>
            <w:vAlign w:val="bottom"/>
            <w:tcBorders>
              <w:bottom w:val="single" w:sz="8" w:color="6022A6"/>
            </w:tcBorders>
          </w:tcPr>
          <w:p>
            <w:pPr>
              <w:jc w:val="center"/>
              <w:ind w:right="399"/>
              <w:spacing w:after="0"/>
              <w:rPr>
                <w:sz w:val="20"/>
                <w:szCs w:val="20"/>
                <w:color w:val="auto"/>
              </w:rPr>
            </w:pPr>
            <w:r>
              <w:rPr>
                <w:rFonts w:ascii="Arial" w:cs="Arial" w:eastAsia="Arial" w:hAnsi="Arial"/>
                <w:sz w:val="16"/>
                <w:szCs w:val="16"/>
                <w:b w:val="1"/>
                <w:bCs w:val="1"/>
                <w:color w:val="454545"/>
                <w:w w:val="99"/>
              </w:rPr>
              <w:t>Level 2</w:t>
            </w:r>
          </w:p>
        </w:tc>
        <w:tc>
          <w:tcPr>
            <w:tcW w:w="104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Level 3</w:t>
            </w:r>
          </w:p>
        </w:tc>
        <w:tc>
          <w:tcPr>
            <w:tcW w:w="140" w:type="dxa"/>
            <w:vAlign w:val="bottom"/>
            <w:tcBorders>
              <w:bottom w:val="single" w:sz="8" w:color="6022A6"/>
            </w:tcBorders>
          </w:tcPr>
          <w:p>
            <w:pPr>
              <w:spacing w:after="0"/>
              <w:rPr>
                <w:sz w:val="22"/>
                <w:szCs w:val="22"/>
                <w:color w:val="auto"/>
              </w:rPr>
            </w:pPr>
          </w:p>
        </w:tc>
        <w:tc>
          <w:tcPr>
            <w:tcW w:w="1160" w:type="dxa"/>
            <w:vAlign w:val="bottom"/>
            <w:tcBorders>
              <w:bottom w:val="single" w:sz="8" w:color="6022A6"/>
            </w:tcBorders>
          </w:tcPr>
          <w:p>
            <w:pPr>
              <w:jc w:val="right"/>
              <w:ind w:right="339"/>
              <w:spacing w:after="0"/>
              <w:rPr>
                <w:sz w:val="20"/>
                <w:szCs w:val="20"/>
                <w:color w:val="auto"/>
              </w:rPr>
            </w:pPr>
            <w:r>
              <w:rPr>
                <w:rFonts w:ascii="Arial" w:cs="Arial" w:eastAsia="Arial" w:hAnsi="Arial"/>
                <w:sz w:val="16"/>
                <w:szCs w:val="16"/>
                <w:b w:val="1"/>
                <w:bCs w:val="1"/>
                <w:color w:val="454545"/>
              </w:rPr>
              <w:t>NAV</w:t>
            </w:r>
            <w:r>
              <w:rPr>
                <w:rFonts w:ascii="Arial" w:cs="Arial" w:eastAsia="Arial" w:hAnsi="Arial"/>
                <w:sz w:val="21"/>
                <w:szCs w:val="21"/>
                <w:b w:val="1"/>
                <w:bCs w:val="1"/>
                <w:color w:val="454545"/>
                <w:vertAlign w:val="superscript"/>
              </w:rPr>
              <w:t>(1)</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Global equity securities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8"/>
        </w:trPr>
        <w:tc>
          <w:tcPr>
            <w:tcW w:w="4740" w:type="dxa"/>
            <w:vAlign w:val="bottom"/>
          </w:tcPr>
          <w:p>
            <w:pPr>
              <w:ind w:left="40"/>
              <w:spacing w:after="0"/>
              <w:rPr>
                <w:sz w:val="20"/>
                <w:szCs w:val="20"/>
                <w:color w:val="auto"/>
              </w:rPr>
            </w:pPr>
            <w:r>
              <w:rPr>
                <w:rFonts w:ascii="Arial" w:cs="Arial" w:eastAsia="Arial" w:hAnsi="Arial"/>
                <w:sz w:val="16"/>
                <w:szCs w:val="16"/>
                <w:color w:val="auto"/>
              </w:rPr>
              <w:t>Debt securities (including cash and cash equivalents)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9"/>
                <w:szCs w:val="19"/>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150</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Real estate</w:t>
            </w:r>
          </w:p>
        </w:tc>
        <w:tc>
          <w:tcPr>
            <w:tcW w:w="1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8"/>
        </w:trPr>
        <w:tc>
          <w:tcPr>
            <w:tcW w:w="4740" w:type="dxa"/>
            <w:vAlign w:val="bottom"/>
          </w:tcPr>
          <w:p>
            <w:pPr>
              <w:ind w:left="40"/>
              <w:spacing w:after="0"/>
              <w:rPr>
                <w:sz w:val="20"/>
                <w:szCs w:val="20"/>
                <w:color w:val="auto"/>
              </w:rPr>
            </w:pPr>
            <w:r>
              <w:rPr>
                <w:rFonts w:ascii="Arial" w:cs="Arial" w:eastAsia="Arial" w:hAnsi="Arial"/>
                <w:sz w:val="16"/>
                <w:szCs w:val="16"/>
                <w:color w:val="auto"/>
              </w:rPr>
              <w:t>Private equities and other investments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9"/>
        </w:trPr>
        <w:tc>
          <w:tcPr>
            <w:tcW w:w="4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Fair value of plan assets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425</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157 $</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147</w:t>
            </w:r>
          </w:p>
        </w:tc>
        <w:tc>
          <w:tcPr>
            <w:tcW w:w="0" w:type="dxa"/>
            <w:vAlign w:val="bottom"/>
          </w:tcPr>
          <w:p>
            <w:pPr>
              <w:spacing w:after="0"/>
              <w:rPr>
                <w:sz w:val="1"/>
                <w:szCs w:val="1"/>
                <w:color w:val="auto"/>
              </w:rPr>
            </w:pPr>
          </w:p>
        </w:tc>
      </w:tr>
      <w:tr>
        <w:trPr>
          <w:trHeight w:val="20"/>
        </w:trPr>
        <w:tc>
          <w:tcPr>
            <w:tcW w:w="4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right="300" w:hanging="252"/>
        <w:spacing w:after="0" w:line="304"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Certain assets that are measured at fair value using the NAV per share (or its equivalent), as a practical expedient, have not been classified in the fair value hierarchy.</w:t>
      </w:r>
    </w:p>
    <w:p>
      <w:pPr>
        <w:spacing w:after="0" w:line="16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As of December 31, 2023 and 2022, the fair value of plan assets that used significant unobservable inputs (Level 3) was $626 million and $61 million, respectively. These assets primarily relate to real estate and private equity investments. The changes to the balances of Level 3 plan assets during 2023 were primarily a result of the transferred liabilities and assets to GE HealthCare on January 1, 2023. The changes to the balances of Level 3 plan assets during 2022 were not significant.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Weighted Average Asset Allocation of Pension Plans</w:t>
            </w: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5580" w:type="dxa"/>
            <w:vAlign w:val="bottom"/>
          </w:tcPr>
          <w:p>
            <w:pPr>
              <w:spacing w:after="0"/>
              <w:rPr>
                <w:sz w:val="22"/>
                <w:szCs w:val="22"/>
                <w:color w:val="auto"/>
              </w:rPr>
            </w:pPr>
          </w:p>
        </w:tc>
        <w:tc>
          <w:tcPr>
            <w:tcW w:w="2860" w:type="dxa"/>
            <w:vAlign w:val="bottom"/>
            <w:gridSpan w:val="3"/>
          </w:tcPr>
          <w:p>
            <w:pPr>
              <w:ind w:left="940"/>
              <w:spacing w:after="0"/>
              <w:rPr>
                <w:sz w:val="20"/>
                <w:szCs w:val="20"/>
                <w:color w:val="auto"/>
              </w:rPr>
            </w:pPr>
            <w:r>
              <w:rPr>
                <w:rFonts w:ascii="Arial" w:cs="Arial" w:eastAsia="Arial" w:hAnsi="Arial"/>
                <w:sz w:val="16"/>
                <w:szCs w:val="16"/>
                <w:b w:val="1"/>
                <w:bCs w:val="1"/>
                <w:color w:val="454545"/>
              </w:rPr>
              <w:t>2023 Target</w:t>
            </w:r>
          </w:p>
        </w:tc>
        <w:tc>
          <w:tcPr>
            <w:tcW w:w="280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454545"/>
              </w:rPr>
              <w:t>2023 Actual</w:t>
            </w:r>
          </w:p>
        </w:tc>
      </w:tr>
      <w:tr>
        <w:trPr>
          <w:trHeight w:val="21"/>
        </w:trPr>
        <w:tc>
          <w:tcPr>
            <w:tcW w:w="5580" w:type="dxa"/>
            <w:vAlign w:val="bottom"/>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09"/>
        </w:trPr>
        <w:tc>
          <w:tcPr>
            <w:tcW w:w="5580" w:type="dxa"/>
            <w:vAlign w:val="bottom"/>
          </w:tcPr>
          <w:p>
            <w:pPr>
              <w:spacing w:after="0"/>
              <w:rPr>
                <w:sz w:val="18"/>
                <w:szCs w:val="18"/>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454545"/>
              </w:rPr>
              <w:t>Principal</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454545"/>
              </w:rPr>
              <w:t>Other Pension</w:t>
            </w: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454545"/>
              </w:rPr>
              <w:t>Principal Pension</w:t>
            </w: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454545"/>
              </w:rPr>
              <w:t>Other Pension</w:t>
            </w:r>
          </w:p>
        </w:tc>
      </w:tr>
      <w:tr>
        <w:trPr>
          <w:trHeight w:val="223"/>
        </w:trPr>
        <w:tc>
          <w:tcPr>
            <w:tcW w:w="558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454545"/>
              </w:rPr>
              <w:t>Pension Plans</w:t>
            </w: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454545"/>
                <w:w w:val="98"/>
              </w:rPr>
              <w:t>Plans</w:t>
            </w: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454545"/>
              </w:rPr>
              <w:t>Plans</w:t>
            </w: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454545"/>
              </w:rPr>
              <w:t>Plans</w:t>
            </w:r>
          </w:p>
        </w:tc>
      </w:tr>
      <w:tr>
        <w:trPr>
          <w:trHeight w:val="21"/>
        </w:trPr>
        <w:tc>
          <w:tcPr>
            <w:tcW w:w="5580" w:type="dxa"/>
            <w:vAlign w:val="bottom"/>
            <w:tcBorders>
              <w:bottom w:val="single" w:sz="8" w:color="6400A0"/>
            </w:tcBorders>
          </w:tcPr>
          <w:p>
            <w:pPr>
              <w:spacing w:after="0" w:line="20" w:lineRule="exact"/>
              <w:rPr>
                <w:sz w:val="1"/>
                <w:szCs w:val="1"/>
                <w:color w:val="auto"/>
              </w:rPr>
            </w:pPr>
          </w:p>
        </w:tc>
        <w:tc>
          <w:tcPr>
            <w:tcW w:w="146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48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r>
      <w:tr>
        <w:trPr>
          <w:trHeight w:val="230"/>
        </w:trPr>
        <w:tc>
          <w:tcPr>
            <w:tcW w:w="5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Global equity securities</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18 %</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11 %</w:t>
            </w:r>
          </w:p>
        </w:tc>
        <w:tc>
          <w:tcPr>
            <w:tcW w:w="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18 %</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10 %</w:t>
            </w: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Debt securities (including cash and cash equivalents)</w:t>
            </w:r>
          </w:p>
        </w:tc>
        <w:tc>
          <w:tcPr>
            <w:tcW w:w="1460" w:type="dxa"/>
            <w:vAlign w:val="bottom"/>
          </w:tcPr>
          <w:p>
            <w:pPr>
              <w:jc w:val="right"/>
              <w:spacing w:after="0"/>
              <w:rPr>
                <w:sz w:val="20"/>
                <w:szCs w:val="20"/>
                <w:color w:val="auto"/>
              </w:rPr>
            </w:pPr>
            <w:r>
              <w:rPr>
                <w:rFonts w:ascii="Arial" w:cs="Arial" w:eastAsia="Arial" w:hAnsi="Arial"/>
                <w:sz w:val="16"/>
                <w:szCs w:val="16"/>
                <w:color w:val="auto"/>
              </w:rPr>
              <w:t>54 %</w:t>
            </w:r>
          </w:p>
        </w:tc>
        <w:tc>
          <w:tcPr>
            <w:tcW w:w="1320" w:type="dxa"/>
            <w:vAlign w:val="bottom"/>
          </w:tcPr>
          <w:p>
            <w:pPr>
              <w:jc w:val="right"/>
              <w:spacing w:after="0"/>
              <w:rPr>
                <w:sz w:val="20"/>
                <w:szCs w:val="20"/>
                <w:color w:val="auto"/>
              </w:rPr>
            </w:pPr>
            <w:r>
              <w:rPr>
                <w:rFonts w:ascii="Arial" w:cs="Arial" w:eastAsia="Arial" w:hAnsi="Arial"/>
                <w:sz w:val="16"/>
                <w:szCs w:val="16"/>
                <w:color w:val="auto"/>
              </w:rPr>
              <w:t>58 %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55 %</w:t>
            </w:r>
          </w:p>
        </w:tc>
        <w:tc>
          <w:tcPr>
            <w:tcW w:w="132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9"/>
        </w:trPr>
        <w:tc>
          <w:tcPr>
            <w:tcW w:w="5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Real estate</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7 %</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17 %</w:t>
            </w:r>
          </w:p>
        </w:tc>
        <w:tc>
          <w:tcPr>
            <w:tcW w:w="8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6 %</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11 %</w:t>
            </w: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Private equities and other instruments</w:t>
            </w:r>
          </w:p>
        </w:tc>
        <w:tc>
          <w:tcPr>
            <w:tcW w:w="1460" w:type="dxa"/>
            <w:vAlign w:val="bottom"/>
          </w:tcPr>
          <w:p>
            <w:pPr>
              <w:jc w:val="right"/>
              <w:spacing w:after="0"/>
              <w:rPr>
                <w:sz w:val="20"/>
                <w:szCs w:val="20"/>
                <w:color w:val="auto"/>
              </w:rPr>
            </w:pPr>
            <w:r>
              <w:rPr>
                <w:rFonts w:ascii="Arial" w:cs="Arial" w:eastAsia="Arial" w:hAnsi="Arial"/>
                <w:sz w:val="16"/>
                <w:szCs w:val="16"/>
                <w:color w:val="auto"/>
              </w:rPr>
              <w:t>21 %</w:t>
            </w:r>
          </w:p>
        </w:tc>
        <w:tc>
          <w:tcPr>
            <w:tcW w:w="132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21 %</w:t>
            </w: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9"/>
        </w:trPr>
        <w:tc>
          <w:tcPr>
            <w:tcW w:w="5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CONTRIBUTION PLAN.</w:t>
      </w:r>
    </w:p>
    <w:p>
      <w:pPr>
        <w:spacing w:after="0" w:line="26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a result of the Spin-Off, GE HealthCare established a defined contribution plan for its eligible U.S. employees that was largely consistent with the plan they participated in while GE HealthCare operated as a business of GE. Expenses associated with our employees’ participation in GE HealthCare’s defined contribution plan in 2023 and GE’s defined contribution plan in 2022 and 2021 represent the employer matching contributions for GE HealthCare employees and were $122 million, $123 million and $119 million for the years ended December 31, 2023, 2022, and 2021, respectively.</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11. INCOME TAXES</w:t>
      </w:r>
    </w:p>
    <w:p>
      <w:pPr>
        <w:spacing w:after="0" w:line="257"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Company is subject to income taxes in the U.S. (both federal and state) and in numerous foreign jurisdictions. Changes in the tax laws or regulations in these jurisdictions, or in positions by the relevant authorities regarding their application, administration, or interpretation, may affect our tax liability, return on investments, and business operations.</w:t>
      </w:r>
    </w:p>
    <w:p>
      <w:pPr>
        <w:spacing w:after="0" w:line="19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Tax Cuts and Jobs Act imposes tax on U.S. shareholders for global intangible low-taxed income (“GILTI”) earned by certain non-U.S. subsidiaries. The Company has elected to account for GILTI as a period cost.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6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100" w:type="dxa"/>
            <w:vAlign w:val="bottom"/>
            <w:gridSpan w:val="5"/>
          </w:tcPr>
          <w:p>
            <w:pPr>
              <w:jc w:val="center"/>
              <w:ind w:right="2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360" w:type="dxa"/>
            <w:vAlign w:val="bottom"/>
          </w:tcPr>
          <w:p>
            <w:pPr>
              <w:spacing w:after="0"/>
              <w:rPr>
                <w:sz w:val="19"/>
                <w:szCs w:val="19"/>
                <w:color w:val="auto"/>
              </w:rPr>
            </w:pPr>
          </w:p>
        </w:tc>
        <w:tc>
          <w:tcPr>
            <w:tcW w:w="114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2021</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17"/>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income</w:t>
            </w:r>
          </w:p>
        </w:tc>
        <w:tc>
          <w:tcPr>
            <w:tcW w:w="34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rPr>
              <w:t>816</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1,090</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1,587</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Non-U.S.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1,545</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1,422</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1,288</w:t>
            </w:r>
          </w:p>
        </w:tc>
      </w:tr>
      <w:tr>
        <w:trPr>
          <w:trHeight w:val="28"/>
        </w:trPr>
        <w:tc>
          <w:tcPr>
            <w:tcW w:w="6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2"/>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2,361</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2,512</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2,875</w:t>
            </w:r>
          </w:p>
        </w:tc>
      </w:tr>
      <w:tr>
        <w:trPr>
          <w:trHeight w:val="580"/>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43"/>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454545"/>
              </w:rPr>
              <w:t>For the years ended December 31</w:t>
            </w:r>
          </w:p>
        </w:tc>
        <w:tc>
          <w:tcPr>
            <w:tcW w:w="920" w:type="dxa"/>
            <w:vAlign w:val="bottom"/>
          </w:tcPr>
          <w:p>
            <w:pPr>
              <w:spacing w:after="0"/>
              <w:rPr>
                <w:sz w:val="21"/>
                <w:szCs w:val="21"/>
                <w:color w:val="auto"/>
              </w:rPr>
            </w:pPr>
          </w:p>
        </w:tc>
      </w:tr>
      <w:tr>
        <w:trPr>
          <w:trHeight w:val="21"/>
        </w:trPr>
        <w:tc>
          <w:tcPr>
            <w:tcW w:w="680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0"/>
        </w:trPr>
        <w:tc>
          <w:tcPr>
            <w:tcW w:w="6800" w:type="dxa"/>
            <w:vAlign w:val="bottom"/>
            <w:tcBorders>
              <w:bottom w:val="single" w:sz="8" w:color="6400A0"/>
            </w:tcBorders>
          </w:tcPr>
          <w:p>
            <w:pPr>
              <w:spacing w:after="0"/>
              <w:rPr>
                <w:sz w:val="19"/>
                <w:szCs w:val="19"/>
                <w:color w:val="auto"/>
              </w:rPr>
            </w:pPr>
          </w:p>
        </w:tc>
        <w:tc>
          <w:tcPr>
            <w:tcW w:w="20" w:type="dxa"/>
            <w:vAlign w:val="bottom"/>
            <w:tcBorders>
              <w:bottom w:val="single" w:sz="8" w:color="6400A0"/>
            </w:tcBorders>
          </w:tcPr>
          <w:p>
            <w:pPr>
              <w:spacing w:after="0"/>
              <w:rPr>
                <w:sz w:val="19"/>
                <w:szCs w:val="19"/>
                <w:color w:val="auto"/>
              </w:rPr>
            </w:pPr>
          </w:p>
        </w:tc>
        <w:tc>
          <w:tcPr>
            <w:tcW w:w="320" w:type="dxa"/>
            <w:vAlign w:val="bottom"/>
            <w:tcBorders>
              <w:bottom w:val="single" w:sz="8" w:color="6400A0"/>
            </w:tcBorders>
          </w:tcPr>
          <w:p>
            <w:pPr>
              <w:spacing w:after="0"/>
              <w:rPr>
                <w:sz w:val="19"/>
                <w:szCs w:val="19"/>
                <w:color w:val="auto"/>
              </w:rPr>
            </w:pPr>
          </w:p>
        </w:tc>
        <w:tc>
          <w:tcPr>
            <w:tcW w:w="1120" w:type="dxa"/>
            <w:vAlign w:val="bottom"/>
            <w:tcBorders>
              <w:bottom w:val="single" w:sz="8" w:color="6400A0"/>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60" w:type="dxa"/>
            <w:vAlign w:val="bottom"/>
            <w:tcBorders>
              <w:bottom w:val="single" w:sz="8" w:color="6400A0"/>
            </w:tcBorders>
          </w:tcPr>
          <w:p>
            <w:pPr>
              <w:spacing w:after="0"/>
              <w:rPr>
                <w:sz w:val="19"/>
                <w:szCs w:val="19"/>
                <w:color w:val="auto"/>
              </w:rPr>
            </w:pPr>
          </w:p>
        </w:tc>
        <w:tc>
          <w:tcPr>
            <w:tcW w:w="1140" w:type="dxa"/>
            <w:vAlign w:val="bottom"/>
            <w:tcBorders>
              <w:bottom w:val="single" w:sz="8" w:color="6400A0"/>
            </w:tcBorders>
          </w:tcPr>
          <w:p>
            <w:pPr>
              <w:jc w:val="center"/>
              <w:ind w:right="259"/>
              <w:spacing w:after="0"/>
              <w:rPr>
                <w:sz w:val="20"/>
                <w:szCs w:val="20"/>
                <w:color w:val="auto"/>
              </w:rPr>
            </w:pPr>
            <w:r>
              <w:rPr>
                <w:rFonts w:ascii="Arial" w:cs="Arial" w:eastAsia="Arial" w:hAnsi="Arial"/>
                <w:sz w:val="16"/>
                <w:szCs w:val="16"/>
                <w:b w:val="1"/>
                <w:bCs w:val="1"/>
                <w:color w:val="454545"/>
              </w:rPr>
              <w:t>2022</w:t>
            </w:r>
          </w:p>
        </w:tc>
        <w:tc>
          <w:tcPr>
            <w:tcW w:w="56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tcPr>
          <w:p>
            <w:pPr>
              <w:jc w:val="right"/>
              <w:ind w:right="479"/>
              <w:spacing w:after="0"/>
              <w:rPr>
                <w:sz w:val="20"/>
                <w:szCs w:val="20"/>
                <w:color w:val="auto"/>
              </w:rPr>
            </w:pPr>
            <w:r>
              <w:rPr>
                <w:rFonts w:ascii="Arial" w:cs="Arial" w:eastAsia="Arial" w:hAnsi="Arial"/>
                <w:sz w:val="16"/>
                <w:szCs w:val="16"/>
                <w:b w:val="1"/>
                <w:bCs w:val="1"/>
                <w:color w:val="454545"/>
                <w:w w:val="95"/>
              </w:rPr>
              <w:t>2021</w:t>
            </w:r>
          </w:p>
        </w:tc>
      </w:tr>
      <w:tr>
        <w:trPr>
          <w:trHeight w:val="226"/>
        </w:trPr>
        <w:tc>
          <w:tcPr>
            <w:tcW w:w="68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Current</w:t>
            </w:r>
          </w:p>
        </w:tc>
        <w:tc>
          <w:tcPr>
            <w:tcW w:w="2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396</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6800" w:type="dxa"/>
            <w:vAlign w:val="bottom"/>
            <w:shd w:val="clear" w:color="auto" w:fill="E4E4E4"/>
          </w:tcPr>
          <w:p>
            <w:pPr>
              <w:ind w:left="280"/>
              <w:spacing w:after="0"/>
              <w:rPr>
                <w:sz w:val="20"/>
                <w:szCs w:val="20"/>
                <w:color w:val="auto"/>
              </w:rPr>
            </w:pPr>
            <w:r>
              <w:rPr>
                <w:rFonts w:ascii="Arial" w:cs="Arial" w:eastAsia="Arial" w:hAnsi="Arial"/>
                <w:sz w:val="16"/>
                <w:szCs w:val="16"/>
                <w:color w:val="auto"/>
              </w:rPr>
              <w:t>Non – U.S.</w:t>
            </w:r>
          </w:p>
        </w:tc>
        <w:tc>
          <w:tcPr>
            <w:tcW w:w="2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345</w:t>
            </w:r>
          </w:p>
        </w:tc>
        <w:tc>
          <w:tcPr>
            <w:tcW w:w="360" w:type="dxa"/>
            <w:vAlign w:val="bottom"/>
            <w:shd w:val="clear" w:color="auto" w:fill="E4E4E4"/>
          </w:tcPr>
          <w:p>
            <w:pPr>
              <w:spacing w:after="0"/>
              <w:rPr>
                <w:sz w:val="20"/>
                <w:szCs w:val="20"/>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324</w:t>
            </w:r>
          </w:p>
        </w:tc>
        <w:tc>
          <w:tcPr>
            <w:tcW w:w="56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422</w:t>
            </w: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State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68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Deferred</w:t>
            </w:r>
          </w:p>
        </w:tc>
        <w:tc>
          <w:tcPr>
            <w:tcW w:w="2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120" w:type="dxa"/>
            <w:vAlign w:val="bottom"/>
            <w:shd w:val="clear" w:color="auto" w:fill="E4E4E4"/>
          </w:tcPr>
          <w:p>
            <w:pPr>
              <w:spacing w:after="0"/>
              <w:rPr>
                <w:sz w:val="20"/>
                <w:szCs w:val="20"/>
                <w:color w:val="auto"/>
              </w:rPr>
            </w:pPr>
          </w:p>
        </w:tc>
        <w:tc>
          <w:tcPr>
            <w:tcW w:w="360" w:type="dxa"/>
            <w:vAlign w:val="bottom"/>
            <w:shd w:val="clear" w:color="auto" w:fill="E4E4E4"/>
          </w:tcPr>
          <w:p>
            <w:pPr>
              <w:spacing w:after="0"/>
              <w:rPr>
                <w:sz w:val="20"/>
                <w:szCs w:val="20"/>
                <w:color w:val="auto"/>
              </w:rPr>
            </w:pPr>
          </w:p>
        </w:tc>
        <w:tc>
          <w:tcPr>
            <w:tcW w:w="1140" w:type="dxa"/>
            <w:vAlign w:val="bottom"/>
            <w:shd w:val="clear" w:color="auto" w:fill="E4E4E4"/>
          </w:tcPr>
          <w:p>
            <w:pPr>
              <w:spacing w:after="0"/>
              <w:rPr>
                <w:sz w:val="20"/>
                <w:szCs w:val="20"/>
                <w:color w:val="auto"/>
              </w:rPr>
            </w:pPr>
          </w:p>
        </w:tc>
        <w:tc>
          <w:tcPr>
            <w:tcW w:w="560" w:type="dxa"/>
            <w:vAlign w:val="bottom"/>
            <w:shd w:val="clear" w:color="auto" w:fill="E4E4E4"/>
          </w:tcPr>
          <w:p>
            <w:pPr>
              <w:spacing w:after="0"/>
              <w:rPr>
                <w:sz w:val="20"/>
                <w:szCs w:val="20"/>
                <w:color w:val="auto"/>
              </w:rPr>
            </w:pPr>
          </w:p>
        </w:tc>
        <w:tc>
          <w:tcPr>
            <w:tcW w:w="920" w:type="dxa"/>
            <w:vAlign w:val="bottom"/>
            <w:shd w:val="clear" w:color="auto" w:fill="E4E4E4"/>
          </w:tcPr>
          <w:p>
            <w:pPr>
              <w:spacing w:after="0"/>
              <w:rPr>
                <w:sz w:val="20"/>
                <w:szCs w:val="20"/>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6800" w:type="dxa"/>
            <w:vAlign w:val="bottom"/>
            <w:shd w:val="clear" w:color="auto" w:fill="E4E4E4"/>
          </w:tcPr>
          <w:p>
            <w:pPr>
              <w:ind w:left="280"/>
              <w:spacing w:after="0"/>
              <w:rPr>
                <w:sz w:val="20"/>
                <w:szCs w:val="20"/>
                <w:color w:val="auto"/>
              </w:rPr>
            </w:pPr>
            <w:r>
              <w:rPr>
                <w:rFonts w:ascii="Arial" w:cs="Arial" w:eastAsia="Arial" w:hAnsi="Arial"/>
                <w:sz w:val="16"/>
                <w:szCs w:val="16"/>
                <w:color w:val="auto"/>
              </w:rPr>
              <w:t>Non – U.S.</w:t>
            </w:r>
          </w:p>
        </w:tc>
        <w:tc>
          <w:tcPr>
            <w:tcW w:w="2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360" w:type="dxa"/>
            <w:vAlign w:val="bottom"/>
            <w:shd w:val="clear" w:color="auto" w:fill="E4E4E4"/>
          </w:tcPr>
          <w:p>
            <w:pPr>
              <w:spacing w:after="0"/>
              <w:rPr>
                <w:sz w:val="20"/>
                <w:szCs w:val="20"/>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56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(101)</w:t>
            </w:r>
          </w:p>
        </w:tc>
      </w:tr>
      <w:tr>
        <w:trPr>
          <w:trHeight w:val="223"/>
        </w:trPr>
        <w:tc>
          <w:tcPr>
            <w:tcW w:w="68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U.S. State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6"/>
        </w:trPr>
        <w:tc>
          <w:tcPr>
            <w:tcW w:w="68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gridSpan w:val="2"/>
            <w:shd w:val="clear" w:color="auto" w:fill="E4E4E4"/>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743</w:t>
            </w:r>
          </w:p>
        </w:tc>
        <w:tc>
          <w:tcPr>
            <w:tcW w:w="360" w:type="dxa"/>
            <w:vAlign w:val="bottom"/>
            <w:tcBorders>
              <w:bottom w:val="single" w:sz="8" w:color="auto"/>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563</w:t>
            </w:r>
          </w:p>
        </w:tc>
        <w:tc>
          <w:tcPr>
            <w:tcW w:w="560" w:type="dxa"/>
            <w:vAlign w:val="bottom"/>
            <w:tcBorders>
              <w:bottom w:val="single" w:sz="8" w:color="auto"/>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600</w:t>
            </w:r>
          </w:p>
        </w:tc>
      </w:tr>
      <w:tr>
        <w:trPr>
          <w:trHeight w:val="583"/>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U.S. Federal Statutory Income Tax Rate to Actual Income Tax Rate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454545"/>
              </w:rPr>
              <w:t>For the years ended December 31</w:t>
            </w:r>
          </w:p>
        </w:tc>
        <w:tc>
          <w:tcPr>
            <w:tcW w:w="920" w:type="dxa"/>
            <w:vAlign w:val="bottom"/>
          </w:tcPr>
          <w:p>
            <w:pPr>
              <w:spacing w:after="0"/>
              <w:rPr>
                <w:sz w:val="21"/>
                <w:szCs w:val="21"/>
                <w:color w:val="auto"/>
              </w:rPr>
            </w:pPr>
          </w:p>
        </w:tc>
      </w:tr>
      <w:tr>
        <w:trPr>
          <w:trHeight w:val="21"/>
        </w:trPr>
        <w:tc>
          <w:tcPr>
            <w:tcW w:w="680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60" w:type="dxa"/>
            <w:vAlign w:val="bottom"/>
          </w:tcPr>
          <w:p>
            <w:pPr>
              <w:spacing w:after="0"/>
              <w:rPr>
                <w:sz w:val="19"/>
                <w:szCs w:val="19"/>
                <w:color w:val="auto"/>
              </w:rPr>
            </w:pPr>
          </w:p>
        </w:tc>
        <w:tc>
          <w:tcPr>
            <w:tcW w:w="1140" w:type="dxa"/>
            <w:vAlign w:val="bottom"/>
          </w:tcPr>
          <w:p>
            <w:pPr>
              <w:jc w:val="center"/>
              <w:ind w:right="259"/>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2021</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gridSpan w:val="2"/>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41"/>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40" w:type="dxa"/>
            <w:vAlign w:val="bottom"/>
            <w:tcBorders>
              <w:bottom w:val="single" w:sz="8" w:color="E4E4E4"/>
            </w:tcBorders>
            <w:gridSpan w:val="2"/>
            <w:shd w:val="clear" w:color="auto" w:fill="E4E4E4"/>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2,361</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2,512</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2,875</w:t>
            </w:r>
          </w:p>
        </w:tc>
      </w:tr>
      <w:tr>
        <w:trPr>
          <w:trHeight w:val="208"/>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Tax expected at 21%</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operations</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Withholding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tax on foreign operations</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w w:val="98"/>
              </w:rPr>
              <w:t>(35)</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R&amp;D benefits</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w w:val="98"/>
              </w:rPr>
              <w:t>(33)</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Valuation allowance</w:t>
            </w:r>
          </w:p>
        </w:tc>
        <w:tc>
          <w:tcPr>
            <w:tcW w:w="20" w:type="dxa"/>
            <w:vAlign w:val="bottom"/>
            <w:tcBorders>
              <w:bottom w:val="single" w:sz="8" w:color="E4E4E4"/>
            </w:tcBorders>
            <w:shd w:val="clear" w:color="auto" w:fill="E4E4E4"/>
          </w:tcPr>
          <w:p>
            <w:pPr>
              <w:spacing w:after="0"/>
              <w:rPr>
                <w:sz w:val="19"/>
                <w:szCs w:val="19"/>
                <w:color w:val="auto"/>
              </w:rPr>
            </w:pPr>
          </w:p>
        </w:tc>
        <w:tc>
          <w:tcPr>
            <w:tcW w:w="320" w:type="dxa"/>
            <w:vAlign w:val="bottom"/>
            <w:tcBorders>
              <w:bottom w:val="single" w:sz="8" w:color="E4E4E4"/>
            </w:tcBorders>
            <w:shd w:val="clear" w:color="auto" w:fill="E4E4E4"/>
          </w:tcPr>
          <w:p>
            <w:pPr>
              <w:spacing w:after="0"/>
              <w:rPr>
                <w:sz w:val="19"/>
                <w:szCs w:val="19"/>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56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Spin-Off and separation costs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12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w w:val="98"/>
              </w:rPr>
              <w:t>(14)</w:t>
            </w:r>
          </w:p>
        </w:tc>
        <w:tc>
          <w:tcPr>
            <w:tcW w:w="36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6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3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743</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563</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600</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6"/>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Actual income tax rate</w:t>
            </w:r>
          </w:p>
        </w:tc>
        <w:tc>
          <w:tcPr>
            <w:tcW w:w="20" w:type="dxa"/>
            <w:vAlign w:val="bottom"/>
            <w:tcBorders>
              <w:bottom w:val="single" w:sz="8" w:color="E4E4E4"/>
            </w:tcBorders>
            <w:shd w:val="clear" w:color="auto" w:fill="E4E4E4"/>
          </w:tcPr>
          <w:p>
            <w:pPr>
              <w:spacing w:after="0"/>
              <w:rPr>
                <w:sz w:val="18"/>
                <w:szCs w:val="18"/>
                <w:color w:val="auto"/>
              </w:rPr>
            </w:pPr>
          </w:p>
        </w:tc>
        <w:tc>
          <w:tcPr>
            <w:tcW w:w="320" w:type="dxa"/>
            <w:vAlign w:val="bottom"/>
            <w:tcBorders>
              <w:bottom w:val="single" w:sz="8" w:color="E4E4E4"/>
            </w:tcBorders>
            <w:shd w:val="clear" w:color="auto" w:fill="E4E4E4"/>
          </w:tcPr>
          <w:p>
            <w:pPr>
              <w:spacing w:after="0"/>
              <w:rPr>
                <w:sz w:val="18"/>
                <w:szCs w:val="18"/>
                <w:color w:val="auto"/>
              </w:rPr>
            </w:pPr>
          </w:p>
        </w:tc>
        <w:tc>
          <w:tcPr>
            <w:tcW w:w="11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31.5%</w:t>
            </w:r>
          </w:p>
        </w:tc>
        <w:tc>
          <w:tcPr>
            <w:tcW w:w="360" w:type="dxa"/>
            <w:vAlign w:val="bottom"/>
            <w:tcBorders>
              <w:bottom w:val="single" w:sz="8" w:color="E4E4E4"/>
            </w:tcBorders>
            <w:shd w:val="clear" w:color="auto" w:fill="E4E4E4"/>
          </w:tcPr>
          <w:p>
            <w:pPr>
              <w:spacing w:after="0"/>
              <w:rPr>
                <w:sz w:val="18"/>
                <w:szCs w:val="18"/>
                <w:color w:val="auto"/>
              </w:rPr>
            </w:pPr>
          </w:p>
        </w:tc>
        <w:tc>
          <w:tcPr>
            <w:tcW w:w="11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22.4%</w:t>
            </w:r>
          </w:p>
        </w:tc>
        <w:tc>
          <w:tcPr>
            <w:tcW w:w="560" w:type="dxa"/>
            <w:vAlign w:val="bottom"/>
            <w:tcBorders>
              <w:bottom w:val="single" w:sz="8" w:color="E4E4E4"/>
            </w:tcBorders>
            <w:shd w:val="clear" w:color="auto" w:fill="E4E4E4"/>
          </w:tcPr>
          <w:p>
            <w:pPr>
              <w:spacing w:after="0"/>
              <w:rPr>
                <w:sz w:val="18"/>
                <w:szCs w:val="18"/>
                <w:color w:val="auto"/>
              </w:rPr>
            </w:pPr>
          </w:p>
        </w:tc>
        <w:tc>
          <w:tcPr>
            <w:tcW w:w="9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20.9%</w:t>
            </w:r>
          </w:p>
        </w:tc>
      </w:tr>
      <w:tr>
        <w:trPr>
          <w:trHeight w:val="20"/>
        </w:trPr>
        <w:tc>
          <w:tcPr>
            <w:tcW w:w="6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6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Company is subject to periodic tax audits by tax authorities in the U.S. (both federal and state) and the numerous countries in which we operate. In 2021, the Company settled with tax authorities in certain foreign jurisdictions. While the Company currently is being audited in a number of jurisdictions for tax years 2004-2022, including China, Germany, Norway, the United Kingdom, and the United States, we believe that there are no jurisdictions in which the ultimate outcome of unresolved issues or claims is likely to be material to the results of operations, financial position, or cash flows. We believe that we have made adequate provisions for all unrecognized tax benefits.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UNRECOGNIZED TAX BENEFITS RECONCILIATION.</w:t>
      </w:r>
    </w:p>
    <w:p>
      <w:pPr>
        <w:spacing w:after="0" w:line="2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balance of unrecognized tax benefits, the amount of related interest and penalties, and what we believe to be the range of reasonably possible changes in the next 12 months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4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2021</w:t>
            </w:r>
          </w:p>
        </w:tc>
      </w:tr>
      <w:tr>
        <w:trPr>
          <w:trHeight w:val="21"/>
        </w:trPr>
        <w:tc>
          <w:tcPr>
            <w:tcW w:w="5040" w:type="dxa"/>
            <w:vAlign w:val="bottom"/>
            <w:tcBorders>
              <w:bottom w:val="single" w:sz="8" w:color="6400A0"/>
            </w:tcBorders>
          </w:tcPr>
          <w:p>
            <w:pPr>
              <w:spacing w:after="0" w:line="20" w:lineRule="exact"/>
              <w:rPr>
                <w:sz w:val="1"/>
                <w:szCs w:val="1"/>
                <w:color w:val="auto"/>
              </w:rPr>
            </w:pPr>
          </w:p>
        </w:tc>
        <w:tc>
          <w:tcPr>
            <w:tcW w:w="2780" w:type="dxa"/>
            <w:vAlign w:val="bottom"/>
            <w:tcBorders>
              <w:bottom w:val="single" w:sz="8" w:color="6400A0"/>
            </w:tcBorders>
          </w:tcPr>
          <w:p>
            <w:pPr>
              <w:spacing w:after="0" w:line="20" w:lineRule="exact"/>
              <w:rPr>
                <w:sz w:val="1"/>
                <w:szCs w:val="1"/>
                <w:color w:val="auto"/>
              </w:rPr>
            </w:pPr>
          </w:p>
        </w:tc>
        <w:tc>
          <w:tcPr>
            <w:tcW w:w="48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17"/>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7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w:t>
            </w:r>
          </w:p>
        </w:tc>
        <w:tc>
          <w:tcPr>
            <w:tcW w:w="102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684</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Additions for tax positions of the current year</w:t>
            </w:r>
          </w:p>
        </w:tc>
        <w:tc>
          <w:tcPr>
            <w:tcW w:w="2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
        </w:trPr>
        <w:tc>
          <w:tcPr>
            <w:tcW w:w="5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2780" w:type="dxa"/>
            <w:vAlign w:val="bottom"/>
            <w:tcBorders>
              <w:bottom w:val="single" w:sz="8" w:color="E4E4E4"/>
            </w:tcBorders>
            <w:shd w:val="clear" w:color="auto" w:fill="E4E4E4"/>
          </w:tcPr>
          <w:p>
            <w:pPr>
              <w:spacing w:after="0"/>
              <w:rPr>
                <w:sz w:val="19"/>
                <w:szCs w:val="19"/>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102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2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(203)</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8"/>
        </w:trPr>
        <w:tc>
          <w:tcPr>
            <w:tcW w:w="5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Settlements with tax authorities</w:t>
            </w:r>
          </w:p>
        </w:tc>
        <w:tc>
          <w:tcPr>
            <w:tcW w:w="2780" w:type="dxa"/>
            <w:vAlign w:val="bottom"/>
            <w:tcBorders>
              <w:bottom w:val="single" w:sz="8" w:color="E4E4E4"/>
            </w:tcBorders>
            <w:shd w:val="clear" w:color="auto" w:fill="E4E4E4"/>
          </w:tcPr>
          <w:p>
            <w:pPr>
              <w:spacing w:after="0"/>
              <w:rPr>
                <w:sz w:val="19"/>
                <w:szCs w:val="19"/>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Expiration of the statute of limitations</w:t>
            </w:r>
          </w:p>
        </w:tc>
        <w:tc>
          <w:tcPr>
            <w:tcW w:w="2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8"/>
        </w:trPr>
        <w:tc>
          <w:tcPr>
            <w:tcW w:w="50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27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409</w:t>
            </w:r>
          </w:p>
        </w:tc>
        <w:tc>
          <w:tcPr>
            <w:tcW w:w="102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365</w:t>
            </w:r>
          </w:p>
        </w:tc>
      </w:tr>
      <w:tr>
        <w:trPr>
          <w:trHeight w:val="20"/>
        </w:trPr>
        <w:tc>
          <w:tcPr>
            <w:tcW w:w="50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During the year ended December 31, 2023, $134 million of unrecognized tax benefits were contributed to the Company by GE as a part of the opening balance sheet adjustments, and are included in the Additions for tax positions of the prior years line in the table above. Also during the year ended December 31, 2023, a matter was closed with local tax authorities which resulted in the reversal of a net operating loss deferred tax asset and the related $183 million unrecognized tax benefit, which is included in the Reductions for tax positions of prior years line above. During the year ended December 31, 2022, $132 million of unrecognized tax benefits were contributed to the Company by GE, which are included in the Combined Statement of Financial Position as of December 31, 2022, and are included in the Additions for tax positions of prior years line in the table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Unrecognized Tax Benefits</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6820" w:type="dxa"/>
            <w:vAlign w:val="bottom"/>
          </w:tcPr>
          <w:p>
            <w:pPr>
              <w:spacing w:after="0"/>
              <w:rPr>
                <w:sz w:val="22"/>
                <w:szCs w:val="22"/>
                <w:color w:val="auto"/>
              </w:rPr>
            </w:pPr>
          </w:p>
        </w:tc>
        <w:tc>
          <w:tcPr>
            <w:tcW w:w="4420" w:type="dxa"/>
            <w:vAlign w:val="bottom"/>
            <w:gridSpan w:val="6"/>
          </w:tcPr>
          <w:p>
            <w:pPr>
              <w:jc w:val="right"/>
              <w:ind w:right="8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2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29"/>
        </w:trPr>
        <w:tc>
          <w:tcPr>
            <w:tcW w:w="68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36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2021</w:t>
            </w:r>
          </w:p>
        </w:tc>
      </w:tr>
      <w:tr>
        <w:trPr>
          <w:trHeight w:val="21"/>
        </w:trPr>
        <w:tc>
          <w:tcPr>
            <w:tcW w:w="682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16"/>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Unrecognized tax benefits</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409</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465</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365</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Accrued interest on unrecognized tax benefits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8"/>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8"/>
        </w:trPr>
        <w:tc>
          <w:tcPr>
            <w:tcW w:w="68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Reasonably possible reduction to the balance of unrecognized tax benefits in succeeding 12</w:t>
            </w:r>
          </w:p>
        </w:tc>
        <w:tc>
          <w:tcPr>
            <w:tcW w:w="1020" w:type="dxa"/>
            <w:vAlign w:val="bottom"/>
            <w:shd w:val="clear" w:color="auto" w:fill="E4E4E4"/>
          </w:tcPr>
          <w:p>
            <w:pPr>
              <w:spacing w:after="0"/>
              <w:rPr>
                <w:sz w:val="16"/>
                <w:szCs w:val="16"/>
                <w:color w:val="auto"/>
              </w:rPr>
            </w:pPr>
          </w:p>
        </w:tc>
        <w:tc>
          <w:tcPr>
            <w:tcW w:w="440" w:type="dxa"/>
            <w:vAlign w:val="bottom"/>
            <w:shd w:val="clear" w:color="auto" w:fill="E4E4E4"/>
          </w:tcPr>
          <w:p>
            <w:pPr>
              <w:spacing w:after="0"/>
              <w:rPr>
                <w:sz w:val="16"/>
                <w:szCs w:val="16"/>
                <w:color w:val="auto"/>
              </w:rPr>
            </w:pPr>
          </w:p>
        </w:tc>
        <w:tc>
          <w:tcPr>
            <w:tcW w:w="340" w:type="dxa"/>
            <w:vAlign w:val="bottom"/>
            <w:shd w:val="clear" w:color="auto" w:fill="E4E4E4"/>
          </w:tcPr>
          <w:p>
            <w:pPr>
              <w:spacing w:after="0"/>
              <w:rPr>
                <w:sz w:val="16"/>
                <w:szCs w:val="16"/>
                <w:color w:val="auto"/>
              </w:rPr>
            </w:pPr>
          </w:p>
        </w:tc>
        <w:tc>
          <w:tcPr>
            <w:tcW w:w="1120" w:type="dxa"/>
            <w:vAlign w:val="bottom"/>
            <w:shd w:val="clear" w:color="auto" w:fill="E4E4E4"/>
          </w:tcPr>
          <w:p>
            <w:pPr>
              <w:spacing w:after="0"/>
              <w:rPr>
                <w:sz w:val="16"/>
                <w:szCs w:val="16"/>
                <w:color w:val="auto"/>
              </w:rPr>
            </w:pPr>
          </w:p>
        </w:tc>
        <w:tc>
          <w:tcPr>
            <w:tcW w:w="360" w:type="dxa"/>
            <w:vAlign w:val="bottom"/>
            <w:shd w:val="clear" w:color="auto" w:fill="E4E4E4"/>
          </w:tcPr>
          <w:p>
            <w:pPr>
              <w:spacing w:after="0"/>
              <w:rPr>
                <w:sz w:val="16"/>
                <w:szCs w:val="16"/>
                <w:color w:val="auto"/>
              </w:rPr>
            </w:pPr>
          </w:p>
        </w:tc>
        <w:tc>
          <w:tcPr>
            <w:tcW w:w="1140" w:type="dxa"/>
            <w:vAlign w:val="bottom"/>
            <w:shd w:val="clear" w:color="auto" w:fill="E4E4E4"/>
          </w:tcPr>
          <w:p>
            <w:pPr>
              <w:spacing w:after="0"/>
              <w:rPr>
                <w:sz w:val="16"/>
                <w:szCs w:val="16"/>
                <w:color w:val="auto"/>
              </w:rPr>
            </w:pPr>
          </w:p>
        </w:tc>
      </w:tr>
      <w:tr>
        <w:trPr>
          <w:trHeight w:val="230"/>
        </w:trPr>
        <w:tc>
          <w:tcPr>
            <w:tcW w:w="6820" w:type="dxa"/>
            <w:vAlign w:val="bottom"/>
            <w:shd w:val="clear" w:color="auto" w:fill="E4E4E4"/>
          </w:tcPr>
          <w:p>
            <w:pPr>
              <w:ind w:left="20"/>
              <w:spacing w:after="0"/>
              <w:rPr>
                <w:sz w:val="20"/>
                <w:szCs w:val="20"/>
                <w:color w:val="auto"/>
              </w:rPr>
            </w:pPr>
            <w:r>
              <w:rPr>
                <w:rFonts w:ascii="Arial" w:cs="Arial" w:eastAsia="Arial" w:hAnsi="Arial"/>
                <w:sz w:val="16"/>
                <w:szCs w:val="16"/>
                <w:color w:val="auto"/>
              </w:rPr>
              <w:t>months</w:t>
            </w:r>
          </w:p>
        </w:tc>
        <w:tc>
          <w:tcPr>
            <w:tcW w:w="1020" w:type="dxa"/>
            <w:vAlign w:val="bottom"/>
            <w:shd w:val="clear" w:color="auto" w:fill="E4E4E4"/>
          </w:tcPr>
          <w:p>
            <w:pPr>
              <w:spacing w:after="0"/>
              <w:rPr>
                <w:sz w:val="20"/>
                <w:szCs w:val="20"/>
                <w:color w:val="auto"/>
              </w:rPr>
            </w:pPr>
          </w:p>
        </w:tc>
        <w:tc>
          <w:tcPr>
            <w:tcW w:w="4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34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360" w:type="dxa"/>
            <w:vAlign w:val="bottom"/>
            <w:shd w:val="clear" w:color="auto" w:fill="E4E4E4"/>
          </w:tcPr>
          <w:p>
            <w:pPr>
              <w:spacing w:after="0"/>
              <w:rPr>
                <w:sz w:val="20"/>
                <w:szCs w:val="20"/>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Portion that, if recognized, would reduce tax expense and effective tax rate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8"/>
        </w:trPr>
        <w:tc>
          <w:tcPr>
            <w:tcW w:w="6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the first quarter of 2023, the Company changed its accounting policy for presentation of interest expense on uncertain tax positions from within Interest and other financial charges – net to within Benefit (provision) for income taxes. See Note 2, “Summary of Significant Accounting Policies” for further information. For the year ended December 31, 2023, $12 million of interest expense on uncertain tax positions was recorded in Benefit (provision) for income taxes and for the years ended December 31, 2022, and 2021, $12 million and $9 million of interest expense on uncertain tax positions were recorded in Interest and other financial charges – net, respectively, in the Consolidated and Combined Statements of Income. For the year ended December 31, 2023, $6 million of income tax penalties was recorded in (Benefit) provision for income taxes in the Consolidated Statement of Income. No accrual for penalties was made in the years ended December 31, 2022 or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regularly evaluate the recoverability of our deferred tax assets and establish a valuation allowance, if necessary, to reduce the deferred tax assets to an amount that is more likely than not to be realized (a likelihood of more than 50%). Significant judgment is required in determining whether a valuation allowance is necessary and the amount of such valuation allowance. In assessing the recoverability of our deferred tax assets at December 31, 2023, we considered all available evidence, including the nature of financial statement losses, reversing taxable temporary differences, estimated future operating profits, and tax planning actions and strategies.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3"/>
        </w:trPr>
        <w:tc>
          <w:tcPr>
            <w:tcW w:w="7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60" w:type="dxa"/>
            <w:vAlign w:val="bottom"/>
          </w:tcPr>
          <w:p>
            <w:pPr>
              <w:spacing w:after="0"/>
              <w:rPr>
                <w:sz w:val="21"/>
                <w:szCs w:val="21"/>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24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Borders>
              <w:bottom w:val="single" w:sz="8" w:color="6400A0"/>
            </w:tcBorders>
          </w:tcPr>
          <w:p>
            <w:pPr>
              <w:spacing w:after="0"/>
              <w:rPr>
                <w:sz w:val="19"/>
                <w:szCs w:val="19"/>
                <w:color w:val="auto"/>
              </w:rPr>
            </w:pPr>
          </w:p>
        </w:tc>
        <w:tc>
          <w:tcPr>
            <w:tcW w:w="176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December 31, 2022</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1,550</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8"/>
        </w:trPr>
        <w:tc>
          <w:tcPr>
            <w:tcW w:w="7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6"/>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4,406</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1,180</w:t>
            </w:r>
          </w:p>
        </w:tc>
      </w:tr>
      <w:tr>
        <w:trPr>
          <w:trHeight w:val="20"/>
        </w:trPr>
        <w:tc>
          <w:tcPr>
            <w:tcW w:w="7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2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Components of the Net Deferred Income Tax Asset (Liability)</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3"/>
        </w:trPr>
        <w:tc>
          <w:tcPr>
            <w:tcW w:w="7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60" w:type="dxa"/>
            <w:vAlign w:val="bottom"/>
          </w:tcPr>
          <w:p>
            <w:pPr>
              <w:spacing w:after="0"/>
              <w:rPr>
                <w:sz w:val="21"/>
                <w:szCs w:val="21"/>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240" w:type="dxa"/>
            <w:vAlign w:val="bottom"/>
            <w:tcBorders>
              <w:bottom w:val="single" w:sz="8" w:color="6400A0"/>
            </w:tcBorders>
          </w:tcPr>
          <w:p>
            <w:pPr>
              <w:spacing w:after="0"/>
              <w:rPr>
                <w:sz w:val="19"/>
                <w:szCs w:val="19"/>
                <w:color w:val="auto"/>
              </w:rPr>
            </w:pPr>
          </w:p>
        </w:tc>
        <w:tc>
          <w:tcPr>
            <w:tcW w:w="200" w:type="dxa"/>
            <w:vAlign w:val="bottom"/>
            <w:tcBorders>
              <w:bottom w:val="single" w:sz="8" w:color="640ACD"/>
            </w:tcBorders>
          </w:tcPr>
          <w:p>
            <w:pPr>
              <w:spacing w:after="0"/>
              <w:rPr>
                <w:sz w:val="19"/>
                <w:szCs w:val="19"/>
                <w:color w:val="auto"/>
              </w:rPr>
            </w:pPr>
          </w:p>
        </w:tc>
        <w:tc>
          <w:tcPr>
            <w:tcW w:w="1800" w:type="dxa"/>
            <w:vAlign w:val="bottom"/>
            <w:tcBorders>
              <w:bottom w:val="single" w:sz="8" w:color="640ACD"/>
            </w:tcBorders>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c>
          <w:tcPr>
            <w:tcW w:w="240" w:type="dxa"/>
            <w:vAlign w:val="bottom"/>
            <w:tcBorders>
              <w:bottom w:val="single" w:sz="8" w:color="640ACD"/>
            </w:tcBorders>
          </w:tcPr>
          <w:p>
            <w:pPr>
              <w:spacing w:after="0"/>
              <w:rPr>
                <w:sz w:val="19"/>
                <w:szCs w:val="19"/>
                <w:color w:val="auto"/>
              </w:rPr>
            </w:pPr>
          </w:p>
        </w:tc>
        <w:tc>
          <w:tcPr>
            <w:tcW w:w="1760" w:type="dxa"/>
            <w:vAlign w:val="bottom"/>
            <w:tcBorders>
              <w:bottom w:val="single" w:sz="8" w:color="640ACD"/>
            </w:tcBorders>
          </w:tcPr>
          <w:p>
            <w:pPr>
              <w:jc w:val="right"/>
              <w:ind w:right="199"/>
              <w:spacing w:after="0"/>
              <w:rPr>
                <w:sz w:val="20"/>
                <w:szCs w:val="20"/>
                <w:color w:val="auto"/>
              </w:rPr>
            </w:pPr>
            <w:r>
              <w:rPr>
                <w:rFonts w:ascii="Arial" w:cs="Arial" w:eastAsia="Arial" w:hAnsi="Arial"/>
                <w:sz w:val="16"/>
                <w:szCs w:val="16"/>
                <w:b w:val="1"/>
                <w:bCs w:val="1"/>
                <w:color w:val="454545"/>
              </w:rPr>
              <w:t>December 31, 2022</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spacing w:after="0"/>
              <w:rPr>
                <w:sz w:val="19"/>
                <w:szCs w:val="19"/>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Employee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1,418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loss carryforwards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648</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Other accrued expenses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 credit carryforwards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interest restriction carryforwards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1,461</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261</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338</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Capitalized R&amp;D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547</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E4E4E4"/>
            </w:tcBorders>
            <w:shd w:val="clear" w:color="auto" w:fill="E4E4E4"/>
          </w:tcPr>
          <w:p>
            <w:pPr>
              <w:spacing w:after="0"/>
              <w:rPr>
                <w:sz w:val="21"/>
                <w:szCs w:val="21"/>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asset</w:t>
            </w: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4,996</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1,963</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8"/>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Valuation allowances</w:t>
            </w:r>
          </w:p>
        </w:tc>
        <w:tc>
          <w:tcPr>
            <w:tcW w:w="20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(540)</w:t>
            </w:r>
          </w:p>
        </w:tc>
        <w:tc>
          <w:tcPr>
            <w:tcW w:w="240" w:type="dxa"/>
            <w:vAlign w:val="bottom"/>
            <w:tcBorders>
              <w:bottom w:val="single" w:sz="8" w:color="E4E4E4"/>
            </w:tcBorders>
            <w:shd w:val="clear" w:color="auto" w:fill="E4E4E4"/>
          </w:tcPr>
          <w:p>
            <w:pPr>
              <w:spacing w:after="0"/>
              <w:rPr>
                <w:sz w:val="21"/>
                <w:szCs w:val="21"/>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(272)</w:t>
            </w:r>
          </w:p>
        </w:tc>
      </w:tr>
      <w:tr>
        <w:trPr>
          <w:trHeight w:val="220"/>
        </w:trPr>
        <w:tc>
          <w:tcPr>
            <w:tcW w:w="7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asset after valuation allowance</w:t>
            </w: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4,456</w:t>
            </w:r>
          </w:p>
        </w:tc>
        <w:tc>
          <w:tcPr>
            <w:tcW w:w="2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1,691</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spacing w:after="0"/>
              <w:rPr>
                <w:sz w:val="19"/>
                <w:szCs w:val="19"/>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ROU assets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8"/>
        </w:trPr>
        <w:tc>
          <w:tcPr>
            <w:tcW w:w="7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2"/>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deferred income tax liability</w:t>
            </w:r>
          </w:p>
        </w:tc>
        <w:tc>
          <w:tcPr>
            <w:tcW w:w="20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w:t>
            </w:r>
          </w:p>
        </w:tc>
        <w:tc>
          <w:tcPr>
            <w:tcW w:w="240" w:type="dxa"/>
            <w:vAlign w:val="bottom"/>
            <w:tcBorders>
              <w:bottom w:val="single" w:sz="8" w:color="E4E4E4"/>
            </w:tcBorders>
            <w:shd w:val="clear" w:color="auto" w:fill="E4E4E4"/>
          </w:tcPr>
          <w:p>
            <w:pPr>
              <w:spacing w:after="0"/>
              <w:rPr>
                <w:sz w:val="20"/>
                <w:szCs w:val="20"/>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(511)</w:t>
            </w:r>
          </w:p>
        </w:tc>
      </w:tr>
      <w:tr>
        <w:trPr>
          <w:trHeight w:val="216"/>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4,406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1,180</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Effective January 1, 2022, U.S. taxpayers are required to capitalize certain R&amp;D expenses and amortize them over five or fifteen years pursuant to the Internal Revenue Code of 1986, as amended. This provision increased our taxable income for the years ended December 31, 2023 and 2022, and resulted in additional cash payments for U.S. federal and state income taxes. A deferred tax asset on 2023 R&amp;D expenses was recorded related to this provision with a balance of $267 million as of December 31, 2023. A deferred tax asset on 2022 R&amp;D expenses was recorded related to this provision with a balance of $197 million and $293 million as of December 31, 2023 and 2022, respectively. In the event the capitalization of research costs is adjusted through retroactive legislation effective for 2022, the Company expects to record a reduction to the 2022 deferred tax asset resulting in a charge to tax expense under the Tax Matters Agreement with GE.</w:t>
      </w:r>
    </w:p>
    <w:p>
      <w:pPr>
        <w:spacing w:after="0" w:line="20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connection with the Spin-Off, certain deferred income taxes were contributed to the Company by GE. During 2022, a net deferred income tax asset of $80 million was contributed to the Company by GE and are recognized within Deferred income taxes in the Combined Statement of Financial Position as of December 31, 2022.</w:t>
      </w:r>
    </w:p>
    <w:p>
      <w:pPr>
        <w:spacing w:after="0" w:line="211"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Also, in connection with the Spin-Off, our net deferred income tax assets increased by $3,099 million primarily due to transfers from GE, including $964 million related to pension and postretirement benefits, with the remainder primarily attributable to tax attributes that were not part of the Company’s stand-alone operations, and changes to valuation on a GE HealthCare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0" w:name="page101"/>
    <w:bookmarkEnd w:id="100"/>
    <w:p>
      <w:pPr>
        <w:ind w:right="20"/>
        <w:spacing w:after="0" w:line="286" w:lineRule="auto"/>
        <w:rPr>
          <w:sz w:val="20"/>
          <w:szCs w:val="20"/>
          <w:color w:val="auto"/>
        </w:rPr>
      </w:pPr>
      <w:r>
        <w:rPr>
          <w:rFonts w:ascii="Arial" w:cs="Arial" w:eastAsia="Arial" w:hAnsi="Arial"/>
          <w:sz w:val="16"/>
          <w:szCs w:val="16"/>
          <w:color w:val="auto"/>
        </w:rPr>
        <w:t>Valuation allowances primarily relate to non-U.S. deferred taxes where there were historical losses and U.S. federal and state credit carryforwards. Activity in the valuation allowance for the years ended December 31, 2023, 2022, and 2021 consists of the following:</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Valuation Allowances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Borders>
              <w:top w:val="single" w:sz="8" w:color="6400A0"/>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4120" w:type="dxa"/>
            <w:vAlign w:val="bottom"/>
            <w:tcBorders>
              <w:top w:val="single" w:sz="8" w:color="6400A0"/>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w:t>
            </w:r>
          </w:p>
        </w:tc>
      </w:tr>
      <w:tr>
        <w:trPr>
          <w:trHeight w:val="222"/>
        </w:trPr>
        <w:tc>
          <w:tcPr>
            <w:tcW w:w="62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0"/>
        </w:trPr>
        <w:tc>
          <w:tcPr>
            <w:tcW w:w="62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4120" w:type="dxa"/>
            <w:vAlign w:val="bottom"/>
            <w:tcBorders>
              <w:bottom w:val="single" w:sz="8" w:color="auto"/>
            </w:tcBorders>
            <w:shd w:val="clear" w:color="auto" w:fill="E4E4E4"/>
          </w:tcPr>
          <w:p>
            <w:pPr>
              <w:spacing w:after="0"/>
              <w:rPr>
                <w:sz w:val="20"/>
                <w:szCs w:val="20"/>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41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279</w:t>
            </w:r>
          </w:p>
        </w:tc>
      </w:tr>
      <w:tr>
        <w:trPr>
          <w:trHeight w:val="20"/>
        </w:trPr>
        <w:tc>
          <w:tcPr>
            <w:tcW w:w="6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6260" w:type="dxa"/>
            <w:vAlign w:val="bottom"/>
            <w:shd w:val="clear" w:color="auto" w:fill="E4E4E4"/>
          </w:tcPr>
          <w:p>
            <w:pPr>
              <w:ind w:left="20"/>
              <w:spacing w:after="0"/>
              <w:rPr>
                <w:sz w:val="20"/>
                <w:szCs w:val="20"/>
                <w:color w:val="auto"/>
              </w:rPr>
            </w:pPr>
            <w:r>
              <w:rPr>
                <w:rFonts w:ascii="Arial" w:cs="Arial" w:eastAsia="Arial" w:hAnsi="Arial"/>
                <w:sz w:val="16"/>
                <w:szCs w:val="16"/>
                <w:color w:val="auto"/>
              </w:rPr>
              <w:t>Provision for income taxes</w:t>
            </w:r>
          </w:p>
        </w:tc>
        <w:tc>
          <w:tcPr>
            <w:tcW w:w="412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and other</w:t>
            </w:r>
          </w:p>
        </w:tc>
        <w:tc>
          <w:tcPr>
            <w:tcW w:w="4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6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412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272</w:t>
            </w:r>
          </w:p>
        </w:tc>
      </w:tr>
      <w:tr>
        <w:trPr>
          <w:trHeight w:val="222"/>
        </w:trPr>
        <w:tc>
          <w:tcPr>
            <w:tcW w:w="62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62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4120" w:type="dxa"/>
            <w:vAlign w:val="bottom"/>
            <w:tcBorders>
              <w:bottom w:val="single" w:sz="8" w:color="auto"/>
            </w:tcBorders>
            <w:shd w:val="clear" w:color="auto" w:fill="E4E4E4"/>
          </w:tcPr>
          <w:p>
            <w:pPr>
              <w:spacing w:after="0"/>
              <w:rPr>
                <w:sz w:val="20"/>
                <w:szCs w:val="20"/>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280</w:t>
            </w:r>
          </w:p>
        </w:tc>
      </w:tr>
      <w:tr>
        <w:trPr>
          <w:trHeight w:val="223"/>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41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540</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As a result of the Spin-Off, there was an increase in the valuation allowance of $269 million, which is included in the Foreign currency exchange and other line of the table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LOSSES.</w:t>
      </w:r>
    </w:p>
    <w:p>
      <w:pPr>
        <w:spacing w:after="0" w:line="26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a result of the Spin-Off, there was an increase in the net operating loss deferred tax asset of $1,075 million. As of December 31, 2023, the Company had net operating loss carryforwards of $6,526 million primarily related to France, Ireland, Brazil, Germany, and the Netherlands, which can be carried forward indefinitely. The gross net operating loss carryforwards resulted in a deferred tax asset of $1,241 million as of December 31, 2023. This amount excludes accruals of $149 million for unrecognized tax benefits the Company has recorded related to the underlying tax positions which generated the net operating losses and expected impacts to U.S. foreign tax credits of $444 million.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UNDISTRIBUTED EARNINGS.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Post Spin-Off, the Company’s previously undistributed earnings of certain of our foreign subsidiaries are no longer indefinitely reinvested in non-U.S.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businesses due to current U.S. funding needs. Therefore, in 2023, an incremental deferred tax liability of $21 million was recorded for withholding and other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foreign taxes due upon future distribution of earnings. In addition, the Company is providing for withholding and other foreign taxes due upon future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distribution of current period earnings. However, the Company generally considers instances of outside basis differences in foreign subsidiaries that would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incur additional U.S. tax upon an unforeseen future reversal (e.g., capital gain distribution or disposition to an unrelated third party)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$7,729 million to be permanent in duration. Quantification of the deferred tax liability, if any, associated with indefinitely reinvested basis differences is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12. ACCUMULATED OTHER COMPREHENSIVE INCOME (LOSS) – NET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income taxes,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 (Loss)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6"/>
        </w:trPr>
        <w:tc>
          <w:tcPr>
            <w:tcW w:w="6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454545"/>
              </w:rPr>
              <w:t>Currency</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454545"/>
              </w:rPr>
              <w:t>translation</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454545"/>
              </w:rPr>
              <w:t>Cash flow</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6560" w:type="dxa"/>
            <w:vAlign w:val="bottom"/>
            <w:tcBorders>
              <w:bottom w:val="single" w:sz="8" w:color="6400A0"/>
            </w:tcBorders>
          </w:tcPr>
          <w:p>
            <w:pPr>
              <w:spacing w:after="0"/>
              <w:rPr>
                <w:sz w:val="21"/>
                <w:szCs w:val="21"/>
                <w:color w:val="auto"/>
              </w:rPr>
            </w:pPr>
          </w:p>
        </w:tc>
        <w:tc>
          <w:tcPr>
            <w:tcW w:w="1200" w:type="dxa"/>
            <w:vAlign w:val="bottom"/>
            <w:tcBorders>
              <w:bottom w:val="single" w:sz="8" w:color="6400A0"/>
            </w:tcBorders>
            <w:gridSpan w:val="2"/>
          </w:tcPr>
          <w:p>
            <w:pPr>
              <w:ind w:left="80"/>
              <w:spacing w:after="0"/>
              <w:rPr>
                <w:sz w:val="20"/>
                <w:szCs w:val="20"/>
                <w:color w:val="auto"/>
              </w:rPr>
            </w:pPr>
            <w:r>
              <w:rPr>
                <w:rFonts w:ascii="Arial" w:cs="Arial" w:eastAsia="Arial" w:hAnsi="Arial"/>
                <w:sz w:val="16"/>
                <w:szCs w:val="16"/>
                <w:b w:val="1"/>
                <w:bCs w:val="1"/>
                <w:color w:val="454545"/>
                <w:w w:val="98"/>
              </w:rPr>
              <w:t>adjustments</w:t>
            </w:r>
            <w:r>
              <w:rPr>
                <w:rFonts w:ascii="Arial" w:cs="Arial" w:eastAsia="Arial" w:hAnsi="Arial"/>
                <w:sz w:val="21"/>
                <w:szCs w:val="21"/>
                <w:b w:val="1"/>
                <w:bCs w:val="1"/>
                <w:color w:val="454545"/>
                <w:w w:val="98"/>
                <w:vertAlign w:val="superscript"/>
              </w:rPr>
              <w:t>(1)</w:t>
            </w:r>
          </w:p>
        </w:tc>
        <w:tc>
          <w:tcPr>
            <w:tcW w:w="116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Benefit plans</w:t>
            </w:r>
          </w:p>
        </w:tc>
        <w:tc>
          <w:tcPr>
            <w:tcW w:w="160" w:type="dxa"/>
            <w:vAlign w:val="bottom"/>
            <w:tcBorders>
              <w:bottom w:val="single" w:sz="8" w:color="6400A0"/>
            </w:tcBorders>
          </w:tcPr>
          <w:p>
            <w:pPr>
              <w:spacing w:after="0"/>
              <w:rPr>
                <w:sz w:val="21"/>
                <w:szCs w:val="21"/>
                <w:color w:val="auto"/>
              </w:rPr>
            </w:pPr>
          </w:p>
        </w:tc>
        <w:tc>
          <w:tcPr>
            <w:tcW w:w="100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hedges</w:t>
            </w:r>
          </w:p>
        </w:tc>
        <w:tc>
          <w:tcPr>
            <w:tcW w:w="140" w:type="dxa"/>
            <w:vAlign w:val="bottom"/>
            <w:tcBorders>
              <w:bottom w:val="single" w:sz="8" w:color="6400A0"/>
            </w:tcBorders>
          </w:tcPr>
          <w:p>
            <w:pPr>
              <w:spacing w:after="0"/>
              <w:rPr>
                <w:sz w:val="21"/>
                <w:szCs w:val="21"/>
                <w:color w:val="auto"/>
              </w:rPr>
            </w:pPr>
          </w:p>
        </w:tc>
        <w:tc>
          <w:tcPr>
            <w:tcW w:w="1020" w:type="dxa"/>
            <w:vAlign w:val="bottom"/>
            <w:tcBorders>
              <w:bottom w:val="single" w:sz="8" w:color="6400A0"/>
            </w:tcBorders>
          </w:tcPr>
          <w:p>
            <w:pPr>
              <w:jc w:val="right"/>
              <w:ind w:right="7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6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(643)</w:t>
            </w:r>
          </w:p>
        </w:tc>
        <w:tc>
          <w:tcPr>
            <w:tcW w:w="40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(180)</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(839)</w:t>
            </w:r>
          </w:p>
        </w:tc>
      </w:tr>
      <w:tr>
        <w:trPr>
          <w:trHeight w:val="209"/>
        </w:trPr>
        <w:tc>
          <w:tcPr>
            <w:tcW w:w="6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 of $(9), $(57), and</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9"/>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65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 $37, and $(3)</w:t>
            </w:r>
          </w:p>
        </w:tc>
        <w:tc>
          <w:tcPr>
            <w:tcW w:w="18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4E4E4"/>
          </w:tcPr>
          <w:p>
            <w:pPr>
              <w:spacing w:after="0"/>
              <w:rPr>
                <w:sz w:val="22"/>
                <w:szCs w:val="22"/>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shd w:val="clear" w:color="auto" w:fill="E4E4E4"/>
          </w:tcPr>
          <w:p>
            <w:pPr>
              <w:spacing w:after="0"/>
              <w:rPr>
                <w:sz w:val="22"/>
                <w:szCs w:val="22"/>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(198)</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5"/>
        </w:trPr>
        <w:tc>
          <w:tcPr>
            <w:tcW w:w="6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1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4E4E4"/>
            </w:tcBorders>
            <w:shd w:val="clear" w:color="auto" w:fill="E4E4E4"/>
          </w:tcPr>
          <w:p>
            <w:pPr>
              <w:spacing w:after="0"/>
              <w:rPr>
                <w:sz w:val="21"/>
                <w:szCs w:val="21"/>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(1,037)</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6560" w:type="dxa"/>
            <w:vAlign w:val="bottom"/>
            <w:shd w:val="clear" w:color="auto" w:fill="E4E4E4"/>
          </w:tcPr>
          <w:p>
            <w:pPr>
              <w:ind w:left="20"/>
              <w:spacing w:after="0"/>
              <w:rPr>
                <w:sz w:val="20"/>
                <w:szCs w:val="20"/>
                <w:color w:val="auto"/>
              </w:rPr>
            </w:pPr>
            <w:r>
              <w:rPr>
                <w:rFonts w:ascii="Arial" w:cs="Arial" w:eastAsia="Arial" w:hAnsi="Arial"/>
                <w:sz w:val="16"/>
                <w:szCs w:val="16"/>
                <w:color w:val="auto"/>
              </w:rPr>
              <w:t>Other comprehensive income (loss) before reclasses – net of taxes of $(5), $(39), and</w:t>
            </w:r>
          </w:p>
        </w:tc>
        <w:tc>
          <w:tcPr>
            <w:tcW w:w="18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r>
      <w:tr>
        <w:trPr>
          <w:trHeight w:val="224"/>
        </w:trPr>
        <w:tc>
          <w:tcPr>
            <w:tcW w:w="6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(878)</w:t>
            </w:r>
          </w:p>
        </w:tc>
        <w:tc>
          <w:tcPr>
            <w:tcW w:w="400" w:type="dxa"/>
            <w:vAlign w:val="bottom"/>
            <w:tcBorders>
              <w:bottom w:val="single" w:sz="8" w:color="E4E4E4"/>
            </w:tcBorders>
            <w:shd w:val="clear" w:color="auto" w:fill="E4E4E4"/>
          </w:tcPr>
          <w:p>
            <w:pPr>
              <w:spacing w:after="0"/>
              <w:rPr>
                <w:sz w:val="19"/>
                <w:szCs w:val="19"/>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w:t>
            </w:r>
          </w:p>
        </w:tc>
        <w:tc>
          <w:tcPr>
            <w:tcW w:w="160" w:type="dxa"/>
            <w:vAlign w:val="bottom"/>
            <w:tcBorders>
              <w:bottom w:val="single" w:sz="8" w:color="E4E4E4"/>
            </w:tcBorders>
            <w:shd w:val="clear" w:color="auto" w:fill="E4E4E4"/>
          </w:tcPr>
          <w:p>
            <w:pPr>
              <w:spacing w:after="0"/>
              <w:rPr>
                <w:sz w:val="19"/>
                <w:szCs w:val="19"/>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(793)</w:t>
            </w:r>
          </w:p>
        </w:tc>
      </w:tr>
      <w:tr>
        <w:trPr>
          <w:trHeight w:val="25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Reclasses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 $0, and $17</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55"/>
        </w:trPr>
        <w:tc>
          <w:tcPr>
            <w:tcW w:w="6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(878)</w:t>
            </w:r>
          </w:p>
        </w:tc>
        <w:tc>
          <w:tcPr>
            <w:tcW w:w="400" w:type="dxa"/>
            <w:vAlign w:val="bottom"/>
            <w:tcBorders>
              <w:bottom w:val="single" w:sz="8" w:color="E4E4E4"/>
            </w:tcBorders>
            <w:shd w:val="clear" w:color="auto" w:fill="E4E4E4"/>
          </w:tcPr>
          <w:p>
            <w:pPr>
              <w:spacing w:after="0"/>
              <w:rPr>
                <w:sz w:val="21"/>
                <w:szCs w:val="21"/>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w:t>
            </w:r>
          </w:p>
        </w:tc>
        <w:tc>
          <w:tcPr>
            <w:tcW w:w="1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1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(843)</w:t>
            </w:r>
          </w:p>
        </w:tc>
      </w:tr>
      <w:tr>
        <w:trPr>
          <w:trHeight w:val="221"/>
        </w:trPr>
        <w:tc>
          <w:tcPr>
            <w:tcW w:w="6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6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6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400" w:type="dxa"/>
            <w:vAlign w:val="bottom"/>
            <w:tcBorders>
              <w:bottom w:val="single" w:sz="8" w:color="E4E4E4"/>
            </w:tcBorders>
            <w:shd w:val="clear" w:color="auto" w:fill="E4E4E4"/>
          </w:tcPr>
          <w:p>
            <w:pPr>
              <w:spacing w:after="0"/>
              <w:rPr>
                <w:sz w:val="21"/>
                <w:szCs w:val="21"/>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1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r>
      <w:tr>
        <w:trPr>
          <w:trHeight w:val="250"/>
        </w:trPr>
        <w:tc>
          <w:tcPr>
            <w:tcW w:w="6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reclasses – net of taxes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$22, $186, and $1</w:t>
            </w: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4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w:t>
            </w:r>
          </w:p>
        </w:tc>
      </w:tr>
      <w:tr>
        <w:trPr>
          <w:trHeight w:val="256"/>
        </w:trPr>
        <w:tc>
          <w:tcPr>
            <w:tcW w:w="65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Reclasses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 $97, and $6</w:t>
            </w:r>
          </w:p>
        </w:tc>
        <w:tc>
          <w:tcPr>
            <w:tcW w:w="18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4E4E4"/>
          </w:tcPr>
          <w:p>
            <w:pPr>
              <w:spacing w:after="0"/>
              <w:rPr>
                <w:sz w:val="22"/>
                <w:szCs w:val="22"/>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Borders>
              <w:bottom w:val="single" w:sz="8" w:color="auto"/>
            </w:tcBorders>
            <w:shd w:val="clear" w:color="auto" w:fill="E4E4E4"/>
          </w:tcPr>
          <w:p>
            <w:pPr>
              <w:spacing w:after="0"/>
              <w:rPr>
                <w:sz w:val="22"/>
                <w:szCs w:val="22"/>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(318)</w:t>
            </w:r>
          </w:p>
        </w:tc>
      </w:tr>
      <w:tr>
        <w:trPr>
          <w:trHeight w:val="22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(897)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(850)</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6560" w:type="dxa"/>
            <w:vAlign w:val="bottom"/>
            <w:shd w:val="clear" w:color="auto" w:fill="E4E4E4"/>
          </w:tcPr>
          <w:p>
            <w:pPr>
              <w:ind w:left="20"/>
              <w:spacing w:after="0"/>
              <w:rPr>
                <w:sz w:val="20"/>
                <w:szCs w:val="20"/>
                <w:color w:val="auto"/>
              </w:rPr>
            </w:pPr>
            <w:r>
              <w:rPr>
                <w:rFonts w:ascii="Arial" w:cs="Arial" w:eastAsia="Arial" w:hAnsi="Arial"/>
                <w:sz w:val="16"/>
                <w:szCs w:val="16"/>
                <w:color w:val="auto"/>
              </w:rPr>
              <w:t>Spin-Off related adjustments – net of taxes</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of $0 $(509), and $0</w:t>
            </w:r>
          </w:p>
        </w:tc>
        <w:tc>
          <w:tcPr>
            <w:tcW w:w="180" w:type="dxa"/>
            <w:vAlign w:val="bottom"/>
            <w:shd w:val="clear" w:color="auto" w:fill="E4E4E4"/>
          </w:tcPr>
          <w:p>
            <w:pPr>
              <w:spacing w:after="0"/>
              <w:rPr>
                <w:sz w:val="21"/>
                <w:szCs w:val="21"/>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40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16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2,000</w:t>
            </w:r>
          </w:p>
        </w:tc>
      </w:tr>
      <w:tr>
        <w:trPr>
          <w:trHeight w:val="228"/>
        </w:trPr>
        <w:tc>
          <w:tcPr>
            <w:tcW w:w="6560" w:type="dxa"/>
            <w:vAlign w:val="bottom"/>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
        </w:trPr>
        <w:tc>
          <w:tcPr>
            <w:tcW w:w="6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40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0"/>
        </w:trPr>
        <w:tc>
          <w:tcPr>
            <w:tcW w:w="6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40" w:hanging="252"/>
        <w:spacing w:after="0" w:line="259"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 of Currency translation adjustments (“CTA”) recognized in Other comprehensive income (loss) (“OCI”) during the years ended December 31, 2023 and 2022 included net gains (losses) relating to net investment hedges, as further discussed in Note 13, “Financial Instruments and Fair Value Measurements.”</w:t>
      </w:r>
    </w:p>
    <w:p>
      <w:pPr>
        <w:ind w:left="260" w:right="520" w:hanging="252"/>
        <w:spacing w:after="0" w:line="255"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Reclassifications from AOCI into earnings for Benefit plans are recognized within Non-operating benefit (income) loss, while Cash flow hedges are recognized within Cost of products or Cost of services in our Consolidated and Combined Statements of Income.</w:t>
      </w:r>
    </w:p>
    <w:p>
      <w:pPr>
        <w:ind w:left="260" w:right="660" w:hanging="252"/>
        <w:spacing w:after="0" w:line="252"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pre-tax impact to Benefit plans of $(305) million for the pension plan amendment and related remeasurement of plan assets and benefit obligations. Refer to Note 10, “Postretirement Benefit Plans” for further information.</w:t>
      </w:r>
    </w:p>
    <w:p>
      <w:pPr>
        <w:spacing w:after="0" w:line="1" w:lineRule="exact"/>
        <w:rPr>
          <w:rFonts w:ascii="Arial" w:cs="Arial" w:eastAsia="Arial" w:hAnsi="Arial"/>
          <w:sz w:val="16"/>
          <w:szCs w:val="16"/>
          <w:color w:val="auto"/>
        </w:rPr>
      </w:pPr>
    </w:p>
    <w:p>
      <w:pPr>
        <w:ind w:left="260" w:right="140" w:hanging="252"/>
        <w:spacing w:after="0" w:line="293"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impact of $1,972 million to Benefit plans for unrecognized gain transferred from the GE pension and other postretirement plans and $28 million to CTA associated with other Spin-Off related adjustments. Refer to Note 10, “Postretirement Benefit Plans” for further information on the unrecognized gain transferred from the GE pension and other postretirement plans in connection with the Spin-Off.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equity prices, and commodity prices. These derivative contracts reduce, but do not entirely eliminate, the aforementioned risks. Our policy is to use derivative contracts solely for managing risks and not for speculative purposes.</w:t>
      </w:r>
    </w:p>
    <w:p>
      <w:pPr>
        <w:spacing w:after="0" w:line="21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fair values of derivative contracts are recognized within All other current assets, All other assets, All other current liabilities, and All other liabilities in the Consolidated and Combined Statements of Financial Position based upon the contractual timing of settlements for these contracts. We designate certain derivative contracts as hedging instruments in cash flow, fair value, or net investment hedges. We evaluate the effectiveness of our derivative contracts designated as hedging instruments on a quarterly basis.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420"/>
        <w:spacing w:after="0" w:line="267" w:lineRule="auto"/>
        <w:rPr>
          <w:sz w:val="20"/>
          <w:szCs w:val="20"/>
          <w:color w:val="auto"/>
        </w:rPr>
      </w:pPr>
      <w:r>
        <w:rPr>
          <w:rFonts w:ascii="Arial" w:cs="Arial" w:eastAsia="Arial" w:hAnsi="Arial"/>
          <w:sz w:val="16"/>
          <w:szCs w:val="16"/>
          <w:color w:val="auto"/>
        </w:rPr>
        <w:t>We use foreign currency forward contracts to hedge the volatility of cash flows related to forecasted transactions and firm commitments, including intercompany transactions, denominated in foreign currencies other than a subsidiary’s functional currency. The maximum length of time over which we hedge forecasted transactions is two years. As of December 31, 2023, these contracts have a maximum remaining maturity of 12 months.</w:t>
      </w:r>
    </w:p>
    <w:p>
      <w:pPr>
        <w:spacing w:after="0" w:line="19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occurs and to the same financial statement line item impacted by the hedged transaction. We expect to reclassify $21 million of pre-tax net deferred losses associated with designated cash flow hedges to earnings in the next 12 months, contemporaneously with the impact on earnings of the related hedged transactions.</w:t>
      </w:r>
    </w:p>
    <w:p>
      <w:pPr>
        <w:spacing w:after="0" w:line="2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cash flows associated with derivatives designated as cash flow hedges are recorded in Cash from (used for) operating activities in the Consolidated and Combined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The maximum length of time over which we are hedging our net investment in foreign operations is approximately five years. As of December 31, 2023, these contracts have a maximum remaining maturity of 52 months and were designated as hedges of our net investment in foreign operations with Euro, Japanese Yen, and Chinese Renminbi functional currencies.</w:t>
      </w: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use the spot method to assess hedge effectiveness for our net investment hedges. Changes in the fair value of the designated hedging instruments attributable to fluctuations in foreign currency to USD spot exchange rates are initially recorded and held as a component of the CTA portion of AOCI until the hedged foreign operation is either sold or substantially liquidated. Changes in fair value of the portion of net investment hedging derivatives excluded from the assessment of effectiveness are recorded in CTA and then recognized within Interest and other financial charges – net in the Consolidated and Combined Statements of Income using a systematic and rational method over the life of the hedge. Excluded components on the cross-currency swaps designated as net investment hedges, in the form of accrued interest, are recorded within Interest and other financial charges – net in the Consolidated and Combined Statements of Income.</w:t>
      </w: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cash flows associated with derivatives designated as net investment hedges are recorded in Cash from (used for) investing activities in the Consolidated and Combined Statements of Cash Flows. Cash flows from the periodic interest settlements on the cross-currency swaps are recorded in Cash from (used for) operating activities in the Consolidated and Combined Statements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29"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In the fourth quarter of 2023, we executed interest-rate swap contracts to hedge the benchmark interest rate risk of specific designated cash flows of a senior unsecured note.</w:t>
      </w:r>
    </w:p>
    <w:p>
      <w:pPr>
        <w:spacing w:after="0" w:line="197"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We record the changes in fair value on the swap contracts in Interest and other financial charges – net in our Consolidated and Combined Statements of Income, the same line item where the offsetting change in the fair value of the designated cash flows of the senior unsecured note is recorded as a basis adjustment.</w:t>
      </w:r>
    </w:p>
    <w:p>
      <w:pPr>
        <w:spacing w:after="0" w:line="19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Cash flows for the periodic interest settlements on the interest rate swaps are recorded in Cash from (used for) operating activities in the Consolidated and Combined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2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also execute derivative instruments, such as foreign currency forward contracts, equity-linked total return swaps, and commodity forward contracts that are not designated as qualifying hedges. These derivatives serve as economic hedges of the foreign currency rate risk, equity price risk and commodity price risk. We identify foreign currency-related features in our purchase or sales contracts where the currency is not the local or functional currency of a substantive party to the contract and record them as embedded derivatives.</w:t>
      </w:r>
    </w:p>
    <w:p>
      <w:pPr>
        <w:spacing w:after="0" w:line="200"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SG&amp;A, and Other (income) expense – net in the Consolidated and Combined Statements of Income based on the nature of the underlying hedged transaction. Changes in fair value of embedded derivatives are recognized in Other (income) expense – net in the Consolidated and Combined Statements of Income.</w:t>
      </w:r>
    </w:p>
    <w:p>
      <w:pPr>
        <w:spacing w:after="0" w:line="191"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The cash flows associated with derivatives not designated as hedges are recorded in Cash from (used for) operating activities and Cash from (used for) investing activities in the Consolidated and Combined Statements of Cash Flows based on the nature of the underlying hedged transaction.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4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454545"/>
              </w:rPr>
              <w:t>December 31, 2023</w:t>
            </w:r>
          </w:p>
        </w:tc>
        <w:tc>
          <w:tcPr>
            <w:tcW w:w="160" w:type="dxa"/>
            <w:vAlign w:val="bottom"/>
          </w:tcPr>
          <w:p>
            <w:pPr>
              <w:spacing w:after="0"/>
              <w:rPr>
                <w:sz w:val="22"/>
                <w:szCs w:val="22"/>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2022</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2,209</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2,132</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111</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 and options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2,132</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111</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exchange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660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5,116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9,591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269</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8,488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120" w:hanging="252"/>
        <w:spacing w:after="0" w:line="265"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Accrued interest was immaterial for the periods presented and is excluded from fair value. These amounts are recognized within All other current assets and All other current liabilities in the Consolidated and Combined Statements of Financial Position.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derivatives related to equity contracts, and commodity derivatives.</w:t>
      </w:r>
    </w:p>
    <w:p>
      <w:pPr>
        <w:spacing w:after="0" w:line="232"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The following table presents amounts recorded in Long-term borrowings on the Consolidated Statement of Financial Position related to cumulative basis adjustment for fair value hedges.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560" w:type="dxa"/>
            <w:vAlign w:val="bottom"/>
            <w:gridSpan w:val="2"/>
          </w:tcPr>
          <w:p>
            <w:pPr>
              <w:jc w:val="right"/>
              <w:ind w:right="1999"/>
              <w:spacing w:after="0"/>
              <w:rPr>
                <w:sz w:val="20"/>
                <w:szCs w:val="20"/>
                <w:color w:val="auto"/>
              </w:rPr>
            </w:pPr>
            <w:r>
              <w:rPr>
                <w:rFonts w:ascii="Arial" w:cs="Arial" w:eastAsia="Arial" w:hAnsi="Arial"/>
                <w:sz w:val="16"/>
                <w:szCs w:val="16"/>
                <w:b w:val="1"/>
                <w:bCs w:val="1"/>
                <w:color w:val="454545"/>
              </w:rPr>
              <w:t>December 31, 2023</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0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26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Carrying amount</w:t>
            </w:r>
          </w:p>
        </w:tc>
        <w:tc>
          <w:tcPr>
            <w:tcW w:w="900" w:type="dxa"/>
            <w:vAlign w:val="bottom"/>
          </w:tcPr>
          <w:p>
            <w:pPr>
              <w:spacing w:after="0"/>
              <w:rPr>
                <w:sz w:val="15"/>
                <w:szCs w:val="15"/>
                <w:color w:val="auto"/>
              </w:rPr>
            </w:pPr>
          </w:p>
        </w:tc>
        <w:tc>
          <w:tcPr>
            <w:tcW w:w="2660" w:type="dxa"/>
            <w:vAlign w:val="bottom"/>
          </w:tcPr>
          <w:p>
            <w:pPr>
              <w:jc w:val="center"/>
              <w:ind w:right="59"/>
              <w:spacing w:after="0" w:line="182" w:lineRule="exact"/>
              <w:rPr>
                <w:sz w:val="20"/>
                <w:szCs w:val="20"/>
                <w:color w:val="auto"/>
              </w:rPr>
            </w:pPr>
            <w:r>
              <w:rPr>
                <w:rFonts w:ascii="Arial" w:cs="Arial" w:eastAsia="Arial" w:hAnsi="Arial"/>
                <w:sz w:val="16"/>
                <w:szCs w:val="16"/>
                <w:b w:val="1"/>
                <w:bCs w:val="1"/>
                <w:color w:val="454545"/>
              </w:rPr>
              <w:t>Cumulative basis adjustment</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6022A6"/>
            </w:tcBorders>
          </w:tcPr>
          <w:p>
            <w:pPr>
              <w:spacing w:after="0"/>
              <w:rPr>
                <w:sz w:val="19"/>
                <w:szCs w:val="19"/>
                <w:color w:val="auto"/>
              </w:rPr>
            </w:pPr>
          </w:p>
        </w:tc>
        <w:tc>
          <w:tcPr>
            <w:tcW w:w="2060" w:type="dxa"/>
            <w:vAlign w:val="bottom"/>
            <w:tcBorders>
              <w:bottom w:val="single" w:sz="8" w:color="6022A6"/>
            </w:tcBorders>
            <w:vMerge w:val="continue"/>
          </w:tcPr>
          <w:p>
            <w:pPr>
              <w:spacing w:after="0"/>
              <w:rPr>
                <w:sz w:val="19"/>
                <w:szCs w:val="19"/>
                <w:color w:val="auto"/>
              </w:rPr>
            </w:pPr>
          </w:p>
        </w:tc>
        <w:tc>
          <w:tcPr>
            <w:tcW w:w="900" w:type="dxa"/>
            <w:vAlign w:val="bottom"/>
            <w:tcBorders>
              <w:bottom w:val="single" w:sz="8" w:color="6022A6"/>
            </w:tcBorders>
          </w:tcPr>
          <w:p>
            <w:pPr>
              <w:spacing w:after="0"/>
              <w:rPr>
                <w:sz w:val="19"/>
                <w:szCs w:val="19"/>
                <w:color w:val="auto"/>
              </w:rPr>
            </w:pPr>
          </w:p>
        </w:tc>
        <w:tc>
          <w:tcPr>
            <w:tcW w:w="26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included in the carrying amount</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2060" w:type="dxa"/>
            <w:vAlign w:val="bottom"/>
            <w:tcBorders>
              <w:bottom w:val="single" w:sz="8" w:color="E4E4E4"/>
            </w:tcBorders>
            <w:shd w:val="clear" w:color="auto" w:fill="E4E4E4"/>
          </w:tcPr>
          <w:p>
            <w:pPr>
              <w:jc w:val="right"/>
              <w:ind w:right="18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1,023 $</w:t>
            </w:r>
          </w:p>
        </w:tc>
        <w:tc>
          <w:tcPr>
            <w:tcW w:w="2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6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Consolidated and Combined Statements of Financial Position and in the table above.</w:t>
      </w:r>
    </w:p>
    <w:p>
      <w:pPr>
        <w:spacing w:after="0" w:line="191"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As of December 31, 2023, the potential effect of rights of offset associated with the derivative contracts would be an offset to both assets and liabilities by $41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gridSpan w:val="2"/>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454545"/>
              </w:rPr>
              <w:t>For the years ended December 31</w:t>
            </w:r>
          </w:p>
        </w:tc>
        <w:tc>
          <w:tcPr>
            <w:tcW w:w="1260" w:type="dxa"/>
            <w:vAlign w:val="bottom"/>
          </w:tcPr>
          <w:p>
            <w:pPr>
              <w:spacing w:after="0"/>
              <w:rPr>
                <w:sz w:val="21"/>
                <w:szCs w:val="21"/>
                <w:color w:val="auto"/>
              </w:rPr>
            </w:pPr>
          </w:p>
        </w:tc>
      </w:tr>
      <w:tr>
        <w:trPr>
          <w:trHeight w:val="21"/>
        </w:trPr>
        <w:tc>
          <w:tcPr>
            <w:tcW w:w="5820" w:type="dxa"/>
            <w:vAlign w:val="bottom"/>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5820" w:type="dxa"/>
            <w:vAlign w:val="bottom"/>
          </w:tcPr>
          <w:p>
            <w:pPr>
              <w:spacing w:after="0"/>
              <w:rPr>
                <w:sz w:val="19"/>
                <w:szCs w:val="19"/>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2021</w:t>
            </w:r>
          </w:p>
        </w:tc>
      </w:tr>
      <w:tr>
        <w:trPr>
          <w:trHeight w:val="21"/>
        </w:trPr>
        <w:tc>
          <w:tcPr>
            <w:tcW w:w="582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36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the effects of our derivative financial instruments and hedging activity in the Consolidated and Combined Statements of Income.</w:t>
      </w:r>
    </w:p>
    <w:p>
      <w:pPr>
        <w:sectPr>
          <w:pgSz w:w="11900" w:h="16838" w:orient="portrait"/>
          <w:cols w:equalWidth="0" w:num="1">
            <w:col w:w="11240"/>
          </w:cols>
          <w:pgMar w:left="320" w:top="1097" w:right="339" w:bottom="10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024"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6"/>
        </w:trPr>
        <w:tc>
          <w:tcPr>
            <w:tcW w:w="4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80" w:type="dxa"/>
            <w:vAlign w:val="bottom"/>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2023</w:t>
            </w:r>
          </w:p>
        </w:tc>
        <w:tc>
          <w:tcPr>
            <w:tcW w:w="1020" w:type="dxa"/>
            <w:vAlign w:val="bottom"/>
          </w:tcPr>
          <w:p>
            <w:pPr>
              <w:spacing w:after="0"/>
              <w:rPr>
                <w:sz w:val="22"/>
                <w:szCs w:val="22"/>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8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520" w:type="dxa"/>
            <w:vAlign w:val="bottom"/>
            <w:tcBorders>
              <w:bottom w:val="single" w:sz="8" w:color="6022A6"/>
            </w:tcBorders>
            <w:gridSpan w:val="2"/>
          </w:tcPr>
          <w:p>
            <w:pPr>
              <w:jc w:val="center"/>
              <w:ind w:right="1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 and options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37</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(1)</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ind w:left="740"/>
              <w:spacing w:after="0"/>
              <w:rPr>
                <w:sz w:val="20"/>
                <w:szCs w:val="20"/>
                <w:color w:val="auto"/>
              </w:rPr>
            </w:pPr>
            <w:r>
              <w:rPr>
                <w:rFonts w:ascii="Arial" w:cs="Arial" w:eastAsia="Arial" w:hAnsi="Arial"/>
                <w:sz w:val="16"/>
                <w:szCs w:val="16"/>
                <w:b w:val="1"/>
                <w:bCs w:val="1"/>
                <w:color w:val="auto"/>
              </w:rPr>
              <w:t>10</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r>
      <w:tr>
        <w:trPr>
          <w:trHeight w:val="323"/>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2022</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8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520" w:type="dxa"/>
            <w:vAlign w:val="bottom"/>
            <w:tcBorders>
              <w:bottom w:val="single" w:sz="8" w:color="6022A6"/>
            </w:tcBorders>
            <w:gridSpan w:val="2"/>
          </w:tcPr>
          <w:p>
            <w:pPr>
              <w:jc w:val="center"/>
              <w:ind w:right="1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 and options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36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b w:val="1"/>
                <w:bCs w:val="1"/>
                <w:color w:val="auto"/>
              </w:rPr>
              <w:t>— $</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r>
      <w:tr>
        <w:trPr>
          <w:trHeight w:val="324"/>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2021</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8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520" w:type="dxa"/>
            <w:vAlign w:val="bottom"/>
            <w:tcBorders>
              <w:bottom w:val="single" w:sz="8" w:color="6022A6"/>
            </w:tcBorders>
            <w:gridSpan w:val="2"/>
          </w:tcPr>
          <w:p>
            <w:pPr>
              <w:jc w:val="center"/>
              <w:ind w:right="1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exchange contracts and options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36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36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E4E4E4"/>
            </w:tcBorders>
            <w:gridSpan w:val="2"/>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 $</w:t>
            </w:r>
          </w:p>
        </w:tc>
        <w:tc>
          <w:tcPr>
            <w:tcW w:w="130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b w:val="1"/>
                <w:bCs w:val="1"/>
                <w:color w:val="auto"/>
              </w:rPr>
              <w:t>— $</w:t>
            </w:r>
          </w:p>
        </w:tc>
        <w:tc>
          <w:tcPr>
            <w:tcW w:w="1360" w:type="dxa"/>
            <w:vAlign w:val="bottom"/>
            <w:tcBorders>
              <w:bottom w:val="single" w:sz="8" w:color="E4E4E4"/>
            </w:tcBorders>
            <w:shd w:val="clear" w:color="auto" w:fill="E4E4E4"/>
          </w:tcPr>
          <w:p>
            <w:pPr>
              <w:ind w:left="900"/>
              <w:spacing w:after="0"/>
              <w:rPr>
                <w:sz w:val="20"/>
                <w:szCs w:val="20"/>
                <w:color w:val="auto"/>
              </w:rPr>
            </w:pPr>
            <w:r>
              <w:rPr>
                <w:rFonts w:ascii="Arial" w:cs="Arial" w:eastAsia="Arial" w:hAnsi="Arial"/>
                <w:sz w:val="16"/>
                <w:szCs w:val="16"/>
                <w:b w:val="1"/>
                <w:bCs w:val="1"/>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are excluded from effectiveness testing for 2023 and 2022.</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derivatives related to equity contracts, and commodity derivatives.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Consolidated and Combined Statements of Income.</w:t>
      </w:r>
    </w:p>
    <w:p>
      <w:pPr>
        <w:sectPr>
          <w:pgSz w:w="11900" w:h="16838" w:orient="portrait"/>
          <w:cols w:equalWidth="0" w:num="1">
            <w:col w:w="11240"/>
          </w:cols>
          <w:pgMar w:left="320" w:top="115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i w:val="1"/>
          <w:iCs w:val="1"/>
          <w:color w:val="auto"/>
        </w:rPr>
        <w:t>Counterparty Credit Risk</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 would be exposed to credit-related losses in the event of non-performance by counterparties on executed derivative instruments. The credit exposure of derivative contracts is represented by the fair value of contracts as of the reporting date. The fair value of the Company’s derivatives can change significantly from period to period based on, among other factors, market movements, and changes in our positions.</w:t>
      </w:r>
    </w:p>
    <w:p>
      <w:pPr>
        <w:spacing w:after="0" w:line="21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manage concentration of counterparty credit risk by limiting acceptable counterparties to major financial institutions with investment grade credit ratings, by limiting the amount of credit exposure to individual counterparties, and by actively monitoring counterparty credit ratings and the amount of individual credit exposure.</w:t>
      </w:r>
    </w:p>
    <w:p>
      <w:pPr>
        <w:spacing w:after="0" w:line="21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also employ master netting arrangements that limit the risk of counterparty non-payment on a particular settlement date to the net gain that would have otherwise been received from the counterparty. Although not completely eliminated, we do not consider the risk of counterparty default to be significant as a result of these protections. None of our derivative instruments are subject to collateral or other security arrangements, nor do they contain provisions that are dependent on our credit ratings from any credit rating agency.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gridSpan w:val="5"/>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As of December 31, 2023</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As of December 31, 2022</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1</w:t>
            </w:r>
          </w:p>
        </w:tc>
        <w:tc>
          <w:tcPr>
            <w:tcW w:w="18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454545"/>
              </w:rPr>
              <w:t>Level 1</w:t>
            </w:r>
          </w:p>
        </w:tc>
        <w:tc>
          <w:tcPr>
            <w:tcW w:w="20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7"/>
        </w:trPr>
        <w:tc>
          <w:tcPr>
            <w:tcW w:w="370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128</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66</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36"/>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compensation</w:t>
            </w:r>
          </w:p>
        </w:tc>
        <w:tc>
          <w:tcPr>
            <w:tcW w:w="1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w:t>
            </w: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2</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269</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203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44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42</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contingent consideration liabilities as of December 31, 2023 and 2022 were recorded in connection with business acquisitions. During the years ended December 31, 2023 and 2022, we recorded benefits of $17 million and $65 million, respectively, from fair value adjustments related to the remeasurement of contingent consideration liabilities. These benefits are recognized within SG&amp;A in the Consolidated and Combined Statements of Income. Changes in the Level 3 fair value measurement of contingent consideration were not material during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years ended December 31, 2023, 2022, and 2021.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The estimated fair value of borrowings as of December 31, 2023 and 2022 was $9,959 million and $8,521 million compared to a carrying value (which includes a reduction for amortized debt issuance costs and discounts) of $9,442 million and $8,249 million, respectively. The fair value of our borrowings includes accrued interest and is determined based on observable and quoted prices and spreads of comparable debt and benchmark securities and is considered Level 2 in the fair value hierarchy. See Note 9, “Borrowings” for further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PRODUCT WARRANTIES, AND OTHER LOSS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6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9, “Borrowings” for further information. In addition, prior to Spin-Off, GE had provided performance guarantees in certain jurisdictions where we lacked the legal structure to issue the requisite guarantees required on certain projects.</w:t>
      </w:r>
    </w:p>
    <w:p>
      <w:pPr>
        <w:spacing w:after="0" w:line="19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Following the Spin-Off, which was completed pursuant to a Separation and Distribution Agreement (the “Separation and Distribution Agreement”), the Company has remaining performance guarantees on behalf of GE. Under the Separation and Distribution Agreement, GE is obligated to use reasonable best efforts to replace the Company as the guarantor or terminate all such performance guarantees.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06" w:name="page107"/>
    <w:bookmarkEnd w:id="106"/>
    <w:p>
      <w:pPr>
        <w:ind w:right="240"/>
        <w:spacing w:after="0" w:line="275" w:lineRule="auto"/>
        <w:rPr>
          <w:sz w:val="20"/>
          <w:szCs w:val="20"/>
          <w:color w:val="auto"/>
        </w:rPr>
      </w:pPr>
      <w:r>
        <w:rPr>
          <w:rFonts w:ascii="Arial" w:cs="Arial" w:eastAsia="Arial" w:hAnsi="Arial"/>
          <w:sz w:val="16"/>
          <w:szCs w:val="16"/>
          <w:color w:val="auto"/>
        </w:rPr>
        <w:t>Until such termination or replacement, in the event of non-fulfillment of contractual obligations by the relevant obligors, the Company could be obligated to make payments under the applicable instruments for which GE is obligated to reimburse and indemnify the Company. As of December 31, 2023 the Company’s maximum aggregate exposure, subject to GE reimbursement, is approximately $114 million.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62"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Product Warranties</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5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454545"/>
              </w:rPr>
              <w:t>For the years ended December 31</w:t>
            </w:r>
          </w:p>
        </w:tc>
        <w:tc>
          <w:tcPr>
            <w:tcW w:w="1380" w:type="dxa"/>
            <w:vAlign w:val="bottom"/>
          </w:tcPr>
          <w:p>
            <w:pPr>
              <w:spacing w:after="0"/>
              <w:rPr>
                <w:sz w:val="22"/>
                <w:szCs w:val="22"/>
                <w:color w:val="auto"/>
              </w:rPr>
            </w:pPr>
          </w:p>
        </w:tc>
      </w:tr>
      <w:tr>
        <w:trPr>
          <w:trHeight w:val="21"/>
        </w:trPr>
        <w:tc>
          <w:tcPr>
            <w:tcW w:w="544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544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2023</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13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2021</w:t>
            </w:r>
          </w:p>
        </w:tc>
      </w:tr>
      <w:tr>
        <w:trPr>
          <w:trHeight w:val="21"/>
        </w:trPr>
        <w:tc>
          <w:tcPr>
            <w:tcW w:w="54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157</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238</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9"/>
        </w:trPr>
        <w:tc>
          <w:tcPr>
            <w:tcW w:w="5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(218)</w:t>
            </w:r>
          </w:p>
        </w:tc>
        <w:tc>
          <w:tcPr>
            <w:tcW w:w="4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(199)</w:t>
            </w:r>
          </w:p>
        </w:tc>
        <w:tc>
          <w:tcPr>
            <w:tcW w:w="56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w:t>
            </w:r>
          </w:p>
        </w:tc>
      </w:tr>
      <w:tr>
        <w:trPr>
          <w:trHeight w:val="227"/>
        </w:trPr>
        <w:tc>
          <w:tcPr>
            <w:tcW w:w="544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5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r>
      <w:tr>
        <w:trPr>
          <w:trHeight w:val="20"/>
        </w:trPr>
        <w:tc>
          <w:tcPr>
            <w:tcW w:w="5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Consolidated and Combined Statements of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October 2, 2023, the Supreme Court invited the Solicitor General to file a brief in this case expressing the views of the United States. The proceedings in the District Court are stayed.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19"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ENVIRONMENTAL AND ASSET RETIREMENT OBLIGATIONS.</w:t>
      </w: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operations, like operations of other companies engaged in similar businesses, involve the use, disposal, and cleanup of substances regulated under environmental protection laws and nuclear decommissioning regulations. We have obligations for ongoing and future environmental remediation activities. Liabilities for environmental remediation and nuclear decommissioning exclude possible insurance recoveries. Due to uncertainties or changes regarding the status of laws, regulations, technology, and information related to individual sites and lawsuits, it is reasonably possible that our exposure will exceed amounts accrued, and amounts not currently reasonably estimable and/or probable may need to be accrued in future periods. Our environmental remediation liabilities, which are measured on an undiscounted basis, were $19 million and $11 million as of December 31, 2023 and 2022, respectively, and are recognized within All other current liabilities and All other liabilities in the Consolidated and Combined Statements of Financial Position.</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record asset retirement obligations, which primarily relate to nuclear decommissioning, associated with the retirement of tangible long-lived assets as a liability in the period in which the obligation is incurred and its fair value can be reasonably estimated. The liability is measured at the present value of the obligation when incurred and is adjusted in subsequent periods. Corresponding asset retirement costs are generally capitalized as part of the carrying value of the related long-lived assets and depreciated over the assets’ useful lives. Our asset retirement obligations were $267 million and $274 million at December 31, 2023 and 2022, respectively, and are recognized within All other current liabilities and All other liabilities in the Consolidated and Combined Statements of Financial Position. Changes in the liability balance were mainly due to foreign exchange rates, settlement, accretion, and revisions in fair value, and were not material for the years ended December 31, 2023, 2022, and 2021.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UNRECOGNIZED CONTRACTUAL OBLIGATIONS.</w:t>
      </w:r>
    </w:p>
    <w:p>
      <w:pPr>
        <w:spacing w:after="0" w:line="26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have future contractual obligations and other minimum commercial commitments which represent take-or-pay contracts as well as purchase orders for goods and services utilized in the normal course of business such as capital expenditures, inventory, and services under contracts.</w:t>
      </w:r>
    </w:p>
    <w:p>
      <w:pPr>
        <w:spacing w:after="0" w:line="18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As of December 31, 2023, we had the following purchase commitments that are legally binding and specify minimum purchase quantities or spending amounts. These purchase commitments do not exceed our projected requirements and the amounts below exclude open purchase orders with a remaining term of less than one year.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Other Unrecognized Contractual Obligations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7"/>
        </w:trPr>
        <w:tc>
          <w:tcPr>
            <w:tcW w:w="3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2027</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2028</w:t>
            </w:r>
          </w:p>
        </w:tc>
        <w:tc>
          <w:tcPr>
            <w:tcW w:w="1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454545"/>
              </w:rPr>
              <w:t>Thereafter</w:t>
            </w:r>
          </w:p>
        </w:tc>
        <w:tc>
          <w:tcPr>
            <w:tcW w:w="260" w:type="dxa"/>
            <w:vAlign w:val="bottom"/>
          </w:tcPr>
          <w:p>
            <w:pPr>
              <w:spacing w:after="0"/>
              <w:rPr>
                <w:sz w:val="22"/>
                <w:szCs w:val="22"/>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66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Unrecognized Contractual Obligations</w:t>
            </w:r>
          </w:p>
        </w:tc>
        <w:tc>
          <w:tcPr>
            <w:tcW w:w="4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308</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875</w:t>
            </w:r>
          </w:p>
        </w:tc>
      </w:tr>
      <w:tr>
        <w:trPr>
          <w:trHeight w:val="20"/>
        </w:trPr>
        <w:tc>
          <w:tcPr>
            <w:tcW w:w="3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ACTIVITIES – NET</w:t>
      </w:r>
    </w:p>
    <w:p>
      <w:pPr>
        <w:spacing w:after="0" w:line="25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as a stand-alone company and mostly involve workforce reductions, organizational realignments, and revisions to our real estate footprint. Specifically, restructuring and other charges (gains) primarily include facility exit costs, employee-related termination benefits associated with workforce reductions, asset write-downs, and cease-use costs. For segment reporting, restructuring and other activities are not allocated.</w:t>
      </w:r>
    </w:p>
    <w:p>
      <w:pPr>
        <w:spacing w:after="0" w:line="2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 restructuring initiatives committed to by management through December 31, 2023, we recorded net expenses of $54 million, $146 million, and $155 million for the years ended December 31, 2023, 2022, and 2021. These restructuring initiatives are expected to result in additional expenses of approximately $20 million, to be incurred primarily over the next 12 months, substantially related to employee-related termination benefits and facility exit costs. Restructuring expenses (gains) are recognized within Cost of products, Cost of services, or SG&amp;A, as appropriate, in the Consolidated and Combined Statements of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Restructuring and Other Activities</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5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9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c>
          <w:tcPr>
            <w:tcW w:w="1240" w:type="dxa"/>
            <w:vAlign w:val="bottom"/>
          </w:tcPr>
          <w:p>
            <w:pPr>
              <w:spacing w:after="0"/>
              <w:rPr>
                <w:sz w:val="22"/>
                <w:szCs w:val="22"/>
                <w:color w:val="auto"/>
              </w:rPr>
            </w:pPr>
          </w:p>
        </w:tc>
      </w:tr>
      <w:tr>
        <w:trPr>
          <w:trHeight w:val="21"/>
        </w:trPr>
        <w:tc>
          <w:tcPr>
            <w:tcW w:w="582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29"/>
        </w:trPr>
        <w:tc>
          <w:tcPr>
            <w:tcW w:w="582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2022</w:t>
            </w:r>
          </w:p>
        </w:tc>
        <w:tc>
          <w:tcPr>
            <w:tcW w:w="580" w:type="dxa"/>
            <w:vAlign w:val="bottom"/>
          </w:tcPr>
          <w:p>
            <w:pPr>
              <w:spacing w:after="0"/>
              <w:rPr>
                <w:sz w:val="19"/>
                <w:szCs w:val="19"/>
                <w:color w:val="auto"/>
              </w:rPr>
            </w:pPr>
          </w:p>
        </w:tc>
        <w:tc>
          <w:tcPr>
            <w:tcW w:w="124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2021</w:t>
            </w:r>
          </w:p>
        </w:tc>
      </w:tr>
      <w:tr>
        <w:trPr>
          <w:trHeight w:val="21"/>
        </w:trPr>
        <w:tc>
          <w:tcPr>
            <w:tcW w:w="582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260" w:type="dxa"/>
            <w:vAlign w:val="bottom"/>
            <w:tcBorders>
              <w:bottom w:val="single" w:sz="8" w:color="E4E4E4"/>
            </w:tcBorders>
            <w:shd w:val="clear" w:color="auto" w:fill="E4E4E4"/>
          </w:tcPr>
          <w:p>
            <w:pPr>
              <w:jc w:val="right"/>
              <w:ind w:right="10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46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r>
      <w:tr>
        <w:trPr>
          <w:trHeight w:val="228"/>
        </w:trPr>
        <w:tc>
          <w:tcPr>
            <w:tcW w:w="582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1"/>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26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6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5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5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and other activities – net</w:t>
            </w:r>
          </w:p>
        </w:tc>
        <w:tc>
          <w:tcPr>
            <w:tcW w:w="126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4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5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connection with the Spin-Off, GE transferred employee termination obligations for services already rendered of $31 million to GE HealthCare of which $4 million was remaining as of December 31, 2023. Liabilities related to restructuring are recognized within All other current liabilities and All other liabilities in the Consolidated and Combined Statements of Financial Position and totaled $68 million and $75 million as of December 31, 2023 and 2022, respectively.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20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grant stock options, restricted stock units (“RSU”), and performance share units (“PSU”) to employees under the 2023 Long-Term Incentive Plan (“LTIP”). The Talent, Culture, and Compensation Committee of the Board of Directors approves grants under the LTIP. Under the LTIP, we are authorized to issue up to approximately 41 million shares. We record compensation expense for awards expected to vest over the vesting period. We estimate forfeitures based on experience and adjust expense to reflect actual forfeitures. When options are exercised, RSUs vest, and PSUs are earned, we issue shares from authorized unissued common stock.</w:t>
      </w:r>
    </w:p>
    <w:p>
      <w:pPr>
        <w:spacing w:after="0" w:line="19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Stock options provide employees the opportunity to purchase GE HealthCare shares in the future at the market price of our stock on the date the award is granted (the strike price). The options become exercisable over the vesting period, typically becoming fully vested in three to three and a half years, and expire ten years from the grant date if not exercised. We value stock options using a Black-Scholes option pricing model.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RSUs provide an employee the right to shares of GE HealthCare stock when the restrictions lapse over the vesting period of three to three and a half years.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Upon vesting, each RSU is converted into one share of GE HealthCare common stock. We value RSUs using the market price on the grant date.</w:t>
      </w:r>
    </w:p>
    <w:p>
      <w:pPr>
        <w:spacing w:after="0" w:line="23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PSUs provide an employee with the right to receive shares of GE HealthCare stock based upon achievement of certain performance metrics. PSUs are subject to an employee service period of three to three and a half years. PSUs may include a relative total shareholder return (“TSR”) modifier to determine the number of shares earned at the end of the performance period. We engage third-party valuation specialists to assist with the fair value estimate of the PSUs that include the TSR modifier using a Monte Carlo simulation to model the probability of possible outcomes.</w:t>
      </w:r>
    </w:p>
    <w:p>
      <w:pPr>
        <w:spacing w:after="0" w:line="20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following tables provide the weighted average fair value of options, RSUs, and PSUs granted to employees during the year ended December 31, 2023, and the related weighted average stock option valuation assumptions used in the Black-Scholes model.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Weighted Average Grant Date Fair Value</w:t>
            </w:r>
          </w:p>
        </w:tc>
        <w:tc>
          <w:tcPr>
            <w:tcW w:w="2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4"/>
        </w:trPr>
        <w:tc>
          <w:tcPr>
            <w:tcW w:w="732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dollars)</w:t>
            </w:r>
          </w:p>
        </w:tc>
        <w:tc>
          <w:tcPr>
            <w:tcW w:w="2220" w:type="dxa"/>
            <w:vAlign w:val="bottom"/>
            <w:tcBorders>
              <w:bottom w:val="single" w:sz="8" w:color="6022A6"/>
            </w:tcBorders>
          </w:tcPr>
          <w:p>
            <w:pPr>
              <w:spacing w:after="0"/>
              <w:rPr>
                <w:sz w:val="23"/>
                <w:szCs w:val="23"/>
                <w:color w:val="auto"/>
              </w:rPr>
            </w:pPr>
          </w:p>
        </w:tc>
        <w:tc>
          <w:tcPr>
            <w:tcW w:w="170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3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Stock options</w:t>
            </w:r>
          </w:p>
        </w:tc>
        <w:tc>
          <w:tcPr>
            <w:tcW w:w="2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RSUs</w:t>
            </w:r>
          </w:p>
        </w:tc>
        <w:tc>
          <w:tcPr>
            <w:tcW w:w="2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
        </w:trPr>
        <w:tc>
          <w:tcPr>
            <w:tcW w:w="7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PSUs</w:t>
            </w:r>
          </w:p>
        </w:tc>
        <w:tc>
          <w:tcPr>
            <w:tcW w:w="222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r>
      <w:tr>
        <w:trPr>
          <w:trHeight w:val="593"/>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Key Assumptions in the Black-Scholes Valuation for Stock Options</w:t>
            </w:r>
          </w:p>
        </w:tc>
        <w:tc>
          <w:tcPr>
            <w:tcW w:w="22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7"/>
        </w:trPr>
        <w:tc>
          <w:tcPr>
            <w:tcW w:w="73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700" w:type="dxa"/>
            <w:vAlign w:val="bottom"/>
          </w:tcPr>
          <w:p>
            <w:pPr>
              <w:jc w:val="right"/>
              <w:ind w:right="159"/>
              <w:spacing w:after="0"/>
              <w:rPr>
                <w:sz w:val="20"/>
                <w:szCs w:val="20"/>
                <w:color w:val="auto"/>
              </w:rPr>
            </w:pPr>
            <w:r>
              <w:rPr>
                <w:rFonts w:ascii="Arial" w:cs="Arial" w:eastAsia="Arial" w:hAnsi="Arial"/>
                <w:sz w:val="16"/>
                <w:szCs w:val="16"/>
                <w:b w:val="1"/>
                <w:bCs w:val="1"/>
                <w:color w:val="454545"/>
                <w:w w:val="99"/>
              </w:rPr>
              <w:t>December 31, 2023</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222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Risk-free rate</w:t>
            </w:r>
          </w:p>
        </w:tc>
        <w:tc>
          <w:tcPr>
            <w:tcW w:w="2220" w:type="dxa"/>
            <w:vAlign w:val="bottom"/>
            <w:tcBorders>
              <w:bottom w:val="single" w:sz="8" w:color="E4E4E4"/>
            </w:tcBorders>
            <w:shd w:val="clear" w:color="auto" w:fill="E4E4E4"/>
          </w:tcPr>
          <w:p>
            <w:pPr>
              <w:spacing w:after="0"/>
              <w:rPr>
                <w:sz w:val="20"/>
                <w:szCs w:val="20"/>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0.01 %</w:t>
            </w:r>
          </w:p>
        </w:tc>
      </w:tr>
      <w:tr>
        <w:trPr>
          <w:trHeight w:val="29"/>
        </w:trPr>
        <w:tc>
          <w:tcPr>
            <w:tcW w:w="7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volatility</w:t>
            </w:r>
          </w:p>
        </w:tc>
        <w:tc>
          <w:tcPr>
            <w:tcW w:w="2220" w:type="dxa"/>
            <w:vAlign w:val="bottom"/>
            <w:tcBorders>
              <w:bottom w:val="single" w:sz="8" w:color="E4E4E4"/>
            </w:tcBorders>
            <w:shd w:val="clear" w:color="auto" w:fill="E4E4E4"/>
          </w:tcPr>
          <w:p>
            <w:pPr>
              <w:spacing w:after="0"/>
              <w:rPr>
                <w:sz w:val="20"/>
                <w:szCs w:val="20"/>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26.2 %</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9"/>
        </w:trPr>
        <w:tc>
          <w:tcPr>
            <w:tcW w:w="73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For new awards granted in 2023, the expected volatility was derived from a peer group’s blended historical and implied volatility as GE HealthCare does not have sufficient historical volatility based on the expected term of the underlying options. The expected term of the stock options was determined using the simplified method. The risk-free interest rate was determined using the implied yield currently available for zero-coupon U.S. government issues with a remaining term approximating the expected life of the options. The dividend yield assumption is based on the expected annualized dividend payment at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Stock Option Activity</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4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9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Weighted average Weighted average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3"/>
        </w:trPr>
        <w:tc>
          <w:tcPr>
            <w:tcW w:w="4300" w:type="dxa"/>
            <w:vAlign w:val="bottom"/>
          </w:tcPr>
          <w:p>
            <w:pPr>
              <w:spacing w:after="0"/>
              <w:rPr>
                <w:sz w:val="17"/>
                <w:szCs w:val="17"/>
                <w:color w:val="auto"/>
              </w:rPr>
            </w:pPr>
          </w:p>
        </w:tc>
        <w:tc>
          <w:tcPr>
            <w:tcW w:w="2540" w:type="dxa"/>
            <w:vAlign w:val="bottom"/>
          </w:tcPr>
          <w:p>
            <w:pPr>
              <w:jc w:val="right"/>
              <w:ind w:right="259"/>
              <w:spacing w:after="0"/>
              <w:rPr>
                <w:sz w:val="20"/>
                <w:szCs w:val="20"/>
                <w:color w:val="auto"/>
              </w:rPr>
            </w:pPr>
            <w:r>
              <w:rPr>
                <w:rFonts w:ascii="Arial" w:cs="Arial" w:eastAsia="Arial" w:hAnsi="Arial"/>
                <w:sz w:val="16"/>
                <w:szCs w:val="16"/>
                <w:b w:val="1"/>
                <w:bCs w:val="1"/>
                <w:color w:val="454545"/>
              </w:rPr>
              <w:t>Shares (in</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exercise price (in</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454545"/>
              </w:rPr>
              <w:t>contractual term</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Intrinsic value (in</w:t>
            </w:r>
          </w:p>
        </w:tc>
      </w:tr>
      <w:tr>
        <w:trPr>
          <w:trHeight w:val="223"/>
        </w:trPr>
        <w:tc>
          <w:tcPr>
            <w:tcW w:w="4300" w:type="dxa"/>
            <w:vAlign w:val="bottom"/>
          </w:tcPr>
          <w:p>
            <w:pPr>
              <w:spacing w:after="0"/>
              <w:rPr>
                <w:sz w:val="19"/>
                <w:szCs w:val="19"/>
                <w:color w:val="auto"/>
              </w:rPr>
            </w:pPr>
          </w:p>
        </w:tc>
        <w:tc>
          <w:tcPr>
            <w:tcW w:w="2540" w:type="dxa"/>
            <w:vAlign w:val="bottom"/>
          </w:tcPr>
          <w:p>
            <w:pPr>
              <w:jc w:val="right"/>
              <w:ind w:right="219"/>
              <w:spacing w:after="0"/>
              <w:rPr>
                <w:sz w:val="20"/>
                <w:szCs w:val="20"/>
                <w:color w:val="auto"/>
              </w:rPr>
            </w:pPr>
            <w:r>
              <w:rPr>
                <w:rFonts w:ascii="Arial" w:cs="Arial" w:eastAsia="Arial" w:hAnsi="Arial"/>
                <w:sz w:val="16"/>
                <w:szCs w:val="16"/>
                <w:b w:val="1"/>
                <w:bCs w:val="1"/>
                <w:color w:val="454545"/>
              </w:rPr>
              <w:t>thousands)</w:t>
            </w:r>
          </w:p>
        </w:tc>
        <w:tc>
          <w:tcPr>
            <w:tcW w:w="280" w:type="dxa"/>
            <w:vAlign w:val="bottom"/>
          </w:tcPr>
          <w:p>
            <w:pPr>
              <w:spacing w:after="0"/>
              <w:rPr>
                <w:sz w:val="19"/>
                <w:szCs w:val="19"/>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454545"/>
              </w:rPr>
              <w:t>dollars)</w:t>
            </w: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454545"/>
              </w:rPr>
              <w:t>(in years)</w:t>
            </w:r>
          </w:p>
        </w:tc>
        <w:tc>
          <w:tcPr>
            <w:tcW w:w="260" w:type="dxa"/>
            <w:vAlign w:val="bottom"/>
          </w:tcPr>
          <w:p>
            <w:pPr>
              <w:spacing w:after="0"/>
              <w:rPr>
                <w:sz w:val="19"/>
                <w:szCs w:val="19"/>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454545"/>
              </w:rPr>
              <w:t>millions)</w:t>
            </w:r>
          </w:p>
        </w:tc>
      </w:tr>
      <w:tr>
        <w:trPr>
          <w:trHeight w:val="21"/>
        </w:trPr>
        <w:tc>
          <w:tcPr>
            <w:tcW w:w="4300" w:type="dxa"/>
            <w:vAlign w:val="bottom"/>
            <w:tcBorders>
              <w:bottom w:val="single" w:sz="8" w:color="6022A6"/>
            </w:tcBorders>
          </w:tcPr>
          <w:p>
            <w:pPr>
              <w:spacing w:after="0" w:line="20" w:lineRule="exact"/>
              <w:rPr>
                <w:sz w:val="1"/>
                <w:szCs w:val="1"/>
                <w:color w:val="auto"/>
              </w:rPr>
            </w:pPr>
          </w:p>
        </w:tc>
        <w:tc>
          <w:tcPr>
            <w:tcW w:w="25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50"/>
        </w:trPr>
        <w:tc>
          <w:tcPr>
            <w:tcW w:w="4300" w:type="dxa"/>
            <w:vAlign w:val="bottom"/>
            <w:shd w:val="clear" w:color="auto" w:fill="E4E4E4"/>
          </w:tcPr>
          <w:p>
            <w:pPr>
              <w:ind w:left="20"/>
              <w:spacing w:after="0"/>
              <w:rPr>
                <w:sz w:val="20"/>
                <w:szCs w:val="20"/>
                <w:color w:val="auto"/>
              </w:rPr>
            </w:pPr>
            <w:r>
              <w:rPr>
                <w:rFonts w:ascii="Arial" w:cs="Arial" w:eastAsia="Arial" w:hAnsi="Arial"/>
                <w:sz w:val="16"/>
                <w:szCs w:val="16"/>
                <w:color w:val="auto"/>
              </w:rPr>
              <w:t>Outstanding as of January 4, 2023</w:t>
            </w:r>
            <w:r>
              <w:rPr>
                <w:rFonts w:ascii="Arial" w:cs="Arial" w:eastAsia="Arial" w:hAnsi="Arial"/>
                <w:sz w:val="21"/>
                <w:szCs w:val="21"/>
                <w:color w:val="auto"/>
                <w:vertAlign w:val="superscript"/>
              </w:rPr>
              <w:t>(1)</w:t>
            </w:r>
          </w:p>
        </w:tc>
        <w:tc>
          <w:tcPr>
            <w:tcW w:w="25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3,738</w:t>
            </w:r>
          </w:p>
        </w:tc>
        <w:tc>
          <w:tcPr>
            <w:tcW w:w="28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90</w:t>
            </w:r>
          </w:p>
        </w:tc>
        <w:tc>
          <w:tcPr>
            <w:tcW w:w="14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1220" w:type="dxa"/>
            <w:vAlign w:val="bottom"/>
            <w:shd w:val="clear" w:color="auto" w:fill="E4E4E4"/>
          </w:tcPr>
          <w:p>
            <w:pPr>
              <w:spacing w:after="0"/>
              <w:rPr>
                <w:sz w:val="21"/>
                <w:szCs w:val="21"/>
                <w:color w:val="auto"/>
              </w:rPr>
            </w:pPr>
          </w:p>
        </w:tc>
      </w:tr>
      <w:tr>
        <w:trPr>
          <w:trHeight w:val="227"/>
        </w:trPr>
        <w:tc>
          <w:tcPr>
            <w:tcW w:w="4300" w:type="dxa"/>
            <w:vAlign w:val="bottom"/>
          </w:tcPr>
          <w:p>
            <w:pPr>
              <w:ind w:left="140"/>
              <w:spacing w:after="0"/>
              <w:rPr>
                <w:sz w:val="20"/>
                <w:szCs w:val="20"/>
                <w:color w:val="auto"/>
              </w:rPr>
            </w:pPr>
            <w:r>
              <w:rPr>
                <w:rFonts w:ascii="Arial" w:cs="Arial" w:eastAsia="Arial" w:hAnsi="Arial"/>
                <w:sz w:val="16"/>
                <w:szCs w:val="16"/>
                <w:color w:val="auto"/>
              </w:rPr>
              <w:t>Granted</w:t>
            </w:r>
          </w:p>
        </w:tc>
        <w:tc>
          <w:tcPr>
            <w:tcW w:w="2540" w:type="dxa"/>
            <w:vAlign w:val="bottom"/>
          </w:tcPr>
          <w:p>
            <w:pPr>
              <w:jc w:val="right"/>
              <w:spacing w:after="0"/>
              <w:rPr>
                <w:sz w:val="20"/>
                <w:szCs w:val="20"/>
                <w:color w:val="auto"/>
              </w:rPr>
            </w:pPr>
            <w:r>
              <w:rPr>
                <w:rFonts w:ascii="Arial" w:cs="Arial" w:eastAsia="Arial" w:hAnsi="Arial"/>
                <w:sz w:val="16"/>
                <w:szCs w:val="16"/>
                <w:color w:val="auto"/>
              </w:rPr>
              <w:t>2,155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4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3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2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(561)</w:t>
            </w: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14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8"/>
        </w:trPr>
        <w:tc>
          <w:tcPr>
            <w:tcW w:w="43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2540" w:type="dxa"/>
            <w:vAlign w:val="bottom"/>
          </w:tcPr>
          <w:p>
            <w:pPr>
              <w:jc w:val="right"/>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4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43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2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w:t>
            </w: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144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spacing w:after="0"/>
              <w:rPr>
                <w:sz w:val="22"/>
                <w:szCs w:val="22"/>
                <w:color w:val="auto"/>
              </w:rPr>
            </w:pPr>
          </w:p>
        </w:tc>
      </w:tr>
      <w:tr>
        <w:trPr>
          <w:trHeight w:val="229"/>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4,963</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5"/>
        </w:trPr>
        <w:tc>
          <w:tcPr>
            <w:tcW w:w="4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Exercisable as of December 31, 2023</w:t>
            </w:r>
          </w:p>
        </w:tc>
        <w:tc>
          <w:tcPr>
            <w:tcW w:w="2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2,810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r>
      <w:tr>
        <w:trPr>
          <w:trHeight w:val="229"/>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Expected to vest</w:t>
            </w: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1,755</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0" w:hanging="252"/>
        <w:spacing w:after="0" w:line="266" w:lineRule="auto"/>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common stock began “regular way” trading on The Nasdaq Stock Market LLC (“Nasdaq”) on January 4, 2023. The shares outstanding as of January 4, 2023 pertain to GE equity-based awards issued by GE in prior periods to employees of the Company that were converted to GE HealthCare equity-based awards as part of the Spin-Off.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RSU and PSU Activity</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2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454545"/>
              </w:rPr>
              <w:t>RSUs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2"/>
          </w:tcPr>
          <w:p>
            <w:pPr>
              <w:jc w:val="right"/>
              <w:ind w:right="759"/>
              <w:spacing w:after="0"/>
              <w:rPr>
                <w:sz w:val="20"/>
                <w:szCs w:val="20"/>
                <w:color w:val="auto"/>
              </w:rPr>
            </w:pPr>
            <w:r>
              <w:rPr>
                <w:rFonts w:ascii="Arial" w:cs="Arial" w:eastAsia="Arial" w:hAnsi="Arial"/>
                <w:sz w:val="16"/>
                <w:szCs w:val="16"/>
                <w:b w:val="1"/>
                <w:bCs w:val="1"/>
                <w:color w:val="454545"/>
              </w:rPr>
              <w:t>PSUs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09"/>
        </w:trPr>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Weighted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Weighted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average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average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grant 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vesting</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454545"/>
              </w:rPr>
              <w:t>Intrinsic</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grant 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vesting</w:t>
            </w:r>
          </w:p>
        </w:tc>
        <w:tc>
          <w:tcPr>
            <w:tcW w:w="1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6"/>
                <w:szCs w:val="16"/>
                <w:b w:val="1"/>
                <w:bCs w:val="1"/>
                <w:color w:val="454545"/>
              </w:rPr>
              <w:t>Intrinsic</w:t>
            </w:r>
          </w:p>
        </w:tc>
      </w:tr>
      <w:tr>
        <w:trPr>
          <w:trHeight w:val="203"/>
        </w:trPr>
        <w:tc>
          <w:tcPr>
            <w:tcW w:w="27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(in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period (in</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454545"/>
              </w:rPr>
              <w:t>value (in</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fair value (in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period (in</w:t>
            </w:r>
          </w:p>
        </w:tc>
        <w:tc>
          <w:tcPr>
            <w:tcW w:w="14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6"/>
                <w:szCs w:val="16"/>
                <w:b w:val="1"/>
                <w:bCs w:val="1"/>
                <w:color w:val="454545"/>
              </w:rPr>
              <w:t>value (in</w:t>
            </w:r>
          </w:p>
        </w:tc>
      </w:tr>
      <w:tr>
        <w:trPr>
          <w:trHeight w:val="223"/>
        </w:trPr>
        <w:tc>
          <w:tcPr>
            <w:tcW w:w="27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454545"/>
              </w:rPr>
              <w:t>thousands)</w:t>
            </w:r>
          </w:p>
        </w:tc>
        <w:tc>
          <w:tcPr>
            <w:tcW w:w="120" w:type="dxa"/>
            <w:vAlign w:val="bottom"/>
          </w:tcPr>
          <w:p>
            <w:pPr>
              <w:spacing w:after="0"/>
              <w:rPr>
                <w:sz w:val="19"/>
                <w:szCs w:val="19"/>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dollars)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454545"/>
              </w:rPr>
              <w:t>millions)</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454545"/>
              </w:rPr>
              <w:t>thousands)</w:t>
            </w:r>
          </w:p>
        </w:tc>
        <w:tc>
          <w:tcPr>
            <w:tcW w:w="120" w:type="dxa"/>
            <w:vAlign w:val="bottom"/>
          </w:tcPr>
          <w:p>
            <w:pPr>
              <w:spacing w:after="0"/>
              <w:rPr>
                <w:sz w:val="19"/>
                <w:szCs w:val="19"/>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454545"/>
              </w:rPr>
              <w:t>dollars)</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454545"/>
              </w:rPr>
              <w:t>years)</w:t>
            </w:r>
          </w:p>
        </w:tc>
        <w:tc>
          <w:tcPr>
            <w:tcW w:w="14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Arial" w:cs="Arial" w:eastAsia="Arial" w:hAnsi="Arial"/>
                <w:sz w:val="16"/>
                <w:szCs w:val="16"/>
                <w:b w:val="1"/>
                <w:bCs w:val="1"/>
                <w:color w:val="454545"/>
              </w:rPr>
              <w:t>millions)</w:t>
            </w:r>
          </w:p>
        </w:tc>
      </w:tr>
      <w:tr>
        <w:trPr>
          <w:trHeight w:val="21"/>
        </w:trPr>
        <w:tc>
          <w:tcPr>
            <w:tcW w:w="27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0"/>
        </w:trPr>
        <w:tc>
          <w:tcPr>
            <w:tcW w:w="2720" w:type="dxa"/>
            <w:vAlign w:val="bottom"/>
            <w:shd w:val="clear" w:color="auto" w:fill="E4E4E4"/>
          </w:tcPr>
          <w:p>
            <w:pPr>
              <w:ind w:left="20"/>
              <w:spacing w:after="0"/>
              <w:rPr>
                <w:sz w:val="20"/>
                <w:szCs w:val="20"/>
                <w:color w:val="auto"/>
              </w:rPr>
            </w:pPr>
            <w:r>
              <w:rPr>
                <w:rFonts w:ascii="Arial" w:cs="Arial" w:eastAsia="Arial" w:hAnsi="Arial"/>
                <w:sz w:val="16"/>
                <w:szCs w:val="16"/>
                <w:color w:val="auto"/>
              </w:rPr>
              <w:t>Outstanding as of January 4, 2023</w:t>
            </w:r>
            <w:r>
              <w:rPr>
                <w:rFonts w:ascii="Arial" w:cs="Arial" w:eastAsia="Arial" w:hAnsi="Arial"/>
                <w:sz w:val="21"/>
                <w:szCs w:val="21"/>
                <w:color w:val="auto"/>
                <w:vertAlign w:val="superscript"/>
              </w:rPr>
              <w:t>(1)</w:t>
            </w: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3,551</w:t>
            </w:r>
          </w:p>
        </w:tc>
        <w:tc>
          <w:tcPr>
            <w:tcW w:w="12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58</w:t>
            </w:r>
          </w:p>
        </w:tc>
        <w:tc>
          <w:tcPr>
            <w:tcW w:w="9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68</w:t>
            </w:r>
          </w:p>
        </w:tc>
        <w:tc>
          <w:tcPr>
            <w:tcW w:w="98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56</w:t>
            </w: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06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66</w:t>
            </w:r>
          </w:p>
        </w:tc>
        <w:tc>
          <w:tcPr>
            <w:tcW w:w="9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r>
      <w:tr>
        <w:trPr>
          <w:trHeight w:val="20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as of December 31,</w:t>
            </w: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3,729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67</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85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96</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Expected to vest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3,333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60</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258</w:t>
            </w:r>
          </w:p>
        </w:tc>
        <w:tc>
          <w:tcPr>
            <w:tcW w:w="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N/A</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N/A</w:t>
            </w: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center"/>
              <w:ind w:left="519"/>
              <w:spacing w:after="0"/>
              <w:rPr>
                <w:sz w:val="20"/>
                <w:szCs w:val="20"/>
                <w:color w:val="auto"/>
              </w:rPr>
            </w:pPr>
            <w:r>
              <w:rPr>
                <w:rFonts w:ascii="Arial" w:cs="Arial" w:eastAsia="Arial" w:hAnsi="Arial"/>
                <w:sz w:val="16"/>
                <w:szCs w:val="16"/>
                <w:b w:val="1"/>
                <w:bCs w:val="1"/>
                <w:color w:val="auto"/>
              </w:rPr>
              <w:t>N/A</w:t>
            </w:r>
          </w:p>
        </w:tc>
      </w:tr>
      <w:tr>
        <w:trPr>
          <w:trHeight w:val="20"/>
        </w:trPr>
        <w:tc>
          <w:tcPr>
            <w:tcW w:w="2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340" w:hanging="252"/>
        <w:spacing w:after="0" w:line="266"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common stock began “regular way” trading on Nasdaq on January 4, 2023. The shares outstanding as of January 4, 2023 pertain to GE equity-based awards issued by GE in prior periods to employees of the Company that were converted to GE HealthCare equity-based awards as part of the Spin-Off.</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Share-based compensation expense is recognized within Cost of products, Cost of services, SG&amp;A, or R&amp;D, as appropriate, in the Consolidated Statement of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Share-based Compensation Expense</w:t>
            </w:r>
          </w:p>
        </w:tc>
        <w:tc>
          <w:tcPr>
            <w:tcW w:w="260" w:type="dxa"/>
            <w:vAlign w:val="bottom"/>
          </w:tcPr>
          <w:p>
            <w:pPr>
              <w:spacing w:after="0"/>
              <w:rPr>
                <w:sz w:val="19"/>
                <w:szCs w:val="19"/>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454545"/>
              </w:rPr>
              <w:t>For the year ended</w:t>
            </w:r>
          </w:p>
        </w:tc>
      </w:tr>
      <w:tr>
        <w:trPr>
          <w:trHeight w:val="21"/>
        </w:trPr>
        <w:tc>
          <w:tcPr>
            <w:tcW w:w="904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940" w:type="dxa"/>
            <w:vAlign w:val="bottom"/>
            <w:tcBorders>
              <w:bottom w:val="single" w:sz="8" w:color="454545"/>
            </w:tcBorders>
          </w:tcPr>
          <w:p>
            <w:pPr>
              <w:spacing w:after="0" w:line="20" w:lineRule="exact"/>
              <w:rPr>
                <w:sz w:val="1"/>
                <w:szCs w:val="1"/>
                <w:color w:val="auto"/>
              </w:rPr>
            </w:pPr>
          </w:p>
        </w:tc>
      </w:tr>
      <w:tr>
        <w:trPr>
          <w:trHeight w:val="220"/>
        </w:trPr>
        <w:tc>
          <w:tcPr>
            <w:tcW w:w="9040" w:type="dxa"/>
            <w:vAlign w:val="bottom"/>
            <w:tcBorders>
              <w:bottom w:val="single" w:sz="8" w:color="6022A6"/>
            </w:tcBorders>
          </w:tcPr>
          <w:p>
            <w:pPr>
              <w:spacing w:after="0"/>
              <w:rPr>
                <w:sz w:val="19"/>
                <w:szCs w:val="19"/>
                <w:color w:val="auto"/>
              </w:rPr>
            </w:pPr>
          </w:p>
        </w:tc>
        <w:tc>
          <w:tcPr>
            <w:tcW w:w="260" w:type="dxa"/>
            <w:vAlign w:val="bottom"/>
            <w:tcBorders>
              <w:bottom w:val="single" w:sz="8" w:color="6022A6"/>
            </w:tcBorders>
          </w:tcPr>
          <w:p>
            <w:pPr>
              <w:spacing w:after="0"/>
              <w:rPr>
                <w:sz w:val="19"/>
                <w:szCs w:val="19"/>
                <w:color w:val="auto"/>
              </w:rPr>
            </w:pPr>
          </w:p>
        </w:tc>
        <w:tc>
          <w:tcPr>
            <w:tcW w:w="1940" w:type="dxa"/>
            <w:vAlign w:val="bottom"/>
            <w:tcBorders>
              <w:bottom w:val="single" w:sz="8" w:color="6022A6"/>
            </w:tcBorders>
          </w:tcPr>
          <w:p>
            <w:pPr>
              <w:jc w:val="right"/>
              <w:ind w:right="29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9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 (pre-tax)</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8"/>
        </w:trPr>
        <w:tc>
          <w:tcPr>
            <w:tcW w:w="9040" w:type="dxa"/>
            <w:vAlign w:val="bottom"/>
          </w:tcPr>
          <w:p>
            <w:pPr>
              <w:ind w:left="20"/>
              <w:spacing w:after="0"/>
              <w:rPr>
                <w:sz w:val="20"/>
                <w:szCs w:val="20"/>
                <w:color w:val="auto"/>
              </w:rPr>
            </w:pPr>
            <w:r>
              <w:rPr>
                <w:rFonts w:ascii="Arial" w:cs="Arial" w:eastAsia="Arial" w:hAnsi="Arial"/>
                <w:sz w:val="16"/>
                <w:szCs w:val="16"/>
                <w:color w:val="auto"/>
              </w:rPr>
              <w:t>Income tax benefits</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9"/>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5"/>
        </w:trPr>
        <w:tc>
          <w:tcPr>
            <w:tcW w:w="9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Share-based compensation expense (after-tax)</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r>
      <w:tr>
        <w:trPr>
          <w:trHeight w:val="580"/>
        </w:trPr>
        <w:tc>
          <w:tcPr>
            <w:tcW w:w="9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Share-based Compensation Data</w:t>
            </w:r>
          </w:p>
        </w:tc>
        <w:tc>
          <w:tcPr>
            <w:tcW w:w="2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91"/>
        </w:trPr>
        <w:tc>
          <w:tcPr>
            <w:tcW w:w="9040" w:type="dxa"/>
            <w:vAlign w:val="bottom"/>
            <w:tcBorders>
              <w:bottom w:val="single" w:sz="8" w:color="6022A6"/>
            </w:tcBorders>
          </w:tcPr>
          <w:p>
            <w:pPr>
              <w:spacing w:after="0"/>
              <w:rPr>
                <w:sz w:val="24"/>
                <w:szCs w:val="24"/>
                <w:color w:val="auto"/>
              </w:rPr>
            </w:pPr>
          </w:p>
        </w:tc>
        <w:tc>
          <w:tcPr>
            <w:tcW w:w="260" w:type="dxa"/>
            <w:vAlign w:val="bottom"/>
            <w:tcBorders>
              <w:bottom w:val="single" w:sz="8" w:color="6022A6"/>
            </w:tcBorders>
          </w:tcPr>
          <w:p>
            <w:pPr>
              <w:spacing w:after="0"/>
              <w:rPr>
                <w:sz w:val="24"/>
                <w:szCs w:val="24"/>
                <w:color w:val="auto"/>
              </w:rPr>
            </w:pPr>
          </w:p>
        </w:tc>
        <w:tc>
          <w:tcPr>
            <w:tcW w:w="1940" w:type="dxa"/>
            <w:vAlign w:val="bottom"/>
            <w:tcBorders>
              <w:bottom w:val="single" w:sz="8" w:color="6022A6"/>
            </w:tcBorders>
          </w:tcPr>
          <w:p>
            <w:pPr>
              <w:spacing w:after="0"/>
              <w:rPr>
                <w:sz w:val="24"/>
                <w:szCs w:val="24"/>
                <w:color w:val="auto"/>
              </w:rPr>
            </w:pPr>
          </w:p>
        </w:tc>
      </w:tr>
      <w:tr>
        <w:trPr>
          <w:trHeight w:val="250"/>
        </w:trPr>
        <w:tc>
          <w:tcPr>
            <w:tcW w:w="9040" w:type="dxa"/>
            <w:vAlign w:val="bottom"/>
            <w:shd w:val="clear" w:color="auto" w:fill="E4E4E4"/>
          </w:tcPr>
          <w:p>
            <w:pPr>
              <w:ind w:left="20"/>
              <w:spacing w:after="0"/>
              <w:rPr>
                <w:sz w:val="20"/>
                <w:szCs w:val="20"/>
                <w:color w:val="auto"/>
              </w:rPr>
            </w:pPr>
            <w:r>
              <w:rPr>
                <w:rFonts w:ascii="Arial" w:cs="Arial" w:eastAsia="Arial" w:hAnsi="Arial"/>
                <w:sz w:val="16"/>
                <w:szCs w:val="16"/>
                <w:color w:val="auto"/>
              </w:rPr>
              <w:t>Unrecognized compensation expense as of December 31, 2023</w:t>
            </w:r>
            <w:r>
              <w:rPr>
                <w:rFonts w:ascii="Arial" w:cs="Arial" w:eastAsia="Arial" w:hAnsi="Arial"/>
                <w:sz w:val="21"/>
                <w:szCs w:val="21"/>
                <w:color w:val="auto"/>
                <w:vertAlign w:val="superscript"/>
              </w:rPr>
              <w:t>(1)</w:t>
            </w:r>
          </w:p>
        </w:tc>
        <w:tc>
          <w:tcPr>
            <w:tcW w:w="26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149</w:t>
            </w:r>
          </w:p>
        </w:tc>
      </w:tr>
      <w:tr>
        <w:trPr>
          <w:trHeight w:val="228"/>
        </w:trPr>
        <w:tc>
          <w:tcPr>
            <w:tcW w:w="9040" w:type="dxa"/>
            <w:vAlign w:val="bottom"/>
          </w:tcPr>
          <w:p>
            <w:pPr>
              <w:ind w:left="20"/>
              <w:spacing w:after="0"/>
              <w:rPr>
                <w:sz w:val="20"/>
                <w:szCs w:val="20"/>
                <w:color w:val="auto"/>
              </w:rPr>
            </w:pPr>
            <w:r>
              <w:rPr>
                <w:rFonts w:ascii="Arial" w:cs="Arial" w:eastAsia="Arial" w:hAnsi="Arial"/>
                <w:sz w:val="16"/>
                <w:szCs w:val="16"/>
                <w:color w:val="auto"/>
              </w:rPr>
              <w:t>Cash received from stock options exercised in the year ended December 31, 2023</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9"/>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1"/>
        </w:trPr>
        <w:tc>
          <w:tcPr>
            <w:tcW w:w="9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Intrinsic value of stock options exercised and RSU/PSUs vested in the year ended December 31, 2023</w:t>
            </w:r>
          </w:p>
        </w:tc>
        <w:tc>
          <w:tcPr>
            <w:tcW w:w="260" w:type="dxa"/>
            <w:vAlign w:val="bottom"/>
            <w:tcBorders>
              <w:bottom w:val="single" w:sz="8" w:color="E4E4E4"/>
            </w:tcBorders>
            <w:shd w:val="clear" w:color="auto" w:fill="E4E4E4"/>
          </w:tcPr>
          <w:p>
            <w:pPr>
              <w:spacing w:after="0"/>
              <w:rPr>
                <w:sz w:val="22"/>
                <w:szCs w:val="22"/>
                <w:color w:val="auto"/>
              </w:rPr>
            </w:pPr>
          </w:p>
        </w:tc>
        <w:tc>
          <w:tcPr>
            <w:tcW w:w="1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w:t>
            </w:r>
          </w:p>
        </w:tc>
      </w:tr>
      <w:tr>
        <w:trPr>
          <w:trHeight w:val="289"/>
        </w:trPr>
        <w:tc>
          <w:tcPr>
            <w:tcW w:w="9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 Amortized over a weighted average period of 1.9 years.</w:t>
            </w:r>
          </w:p>
        </w:tc>
        <w:tc>
          <w:tcPr>
            <w:tcW w:w="2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17. EARNINGS PER SHARE</w:t>
      </w:r>
    </w:p>
    <w:p>
      <w:pPr>
        <w:spacing w:after="0" w:line="25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On January 3, 2023, there were approximately 454 million shares of GE HealthCare common stock outstanding, including the interest in our outstanding shares of common stock retained by GE following the Distribution. The computation of basic and diluted earnings per common share for all periods through December 31, 2022 was calculated using this same number of common shares outstanding since no GE HealthCare equity awards were outstanding as of the Distribution Date and is net of Net (income) loss attributable to noncontrolling interests which is fully associated with continuing operations. Subsequent to the Spin-Off, the dilutive effect of outstanding stock options, RSUs, and PSUs is reflected in the denominator for diluted earnings per share using the treasury stock method.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80" w:type="dxa"/>
            <w:vAlign w:val="bottom"/>
            <w:gridSpan w:val="5"/>
          </w:tcPr>
          <w:p>
            <w:pPr>
              <w:jc w:val="right"/>
              <w:ind w:right="77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6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2021</w:t>
            </w:r>
          </w:p>
        </w:tc>
        <w:tc>
          <w:tcPr>
            <w:tcW w:w="0" w:type="dxa"/>
            <w:vAlign w:val="bottom"/>
          </w:tcPr>
          <w:p>
            <w:pPr>
              <w:spacing w:after="0"/>
              <w:rPr>
                <w:sz w:val="1"/>
                <w:szCs w:val="1"/>
                <w:color w:val="auto"/>
              </w:rPr>
            </w:pPr>
          </w:p>
        </w:tc>
      </w:tr>
      <w:tr>
        <w:trPr>
          <w:trHeight w:val="21"/>
        </w:trPr>
        <w:tc>
          <w:tcPr>
            <w:tcW w:w="69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1,618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1,949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1,572</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 common stockholders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6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94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8"/>
        </w:trPr>
        <w:tc>
          <w:tcPr>
            <w:tcW w:w="694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94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8"/>
        </w:trPr>
        <w:tc>
          <w:tcPr>
            <w:tcW w:w="694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9"/>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2"/>
                <w:szCs w:val="22"/>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E4E4E4"/>
          </w:tcPr>
          <w:p>
            <w:pPr>
              <w:spacing w:after="0"/>
              <w:rPr>
                <w:sz w:val="22"/>
                <w:szCs w:val="22"/>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0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c>
          <w:tcPr>
            <w:tcW w:w="26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33"/>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2,494</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1,440</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7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Consolidated and</w:t>
            </w:r>
          </w:p>
        </w:tc>
        <w:tc>
          <w:tcPr>
            <w:tcW w:w="16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49"/>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Combined Statements of Financial Position</w:t>
            </w:r>
          </w:p>
        </w:tc>
        <w:tc>
          <w:tcPr>
            <w:tcW w:w="160" w:type="dxa"/>
            <w:vAlign w:val="bottom"/>
            <w:tcBorders>
              <w:bottom w:val="single" w:sz="8" w:color="E4E4E4"/>
            </w:tcBorders>
            <w:shd w:val="clear" w:color="auto" w:fill="E4E4E4"/>
          </w:tcPr>
          <w:p>
            <w:pPr>
              <w:spacing w:after="0"/>
              <w:rPr>
                <w:sz w:val="21"/>
                <w:szCs w:val="21"/>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2,504</w:t>
            </w:r>
          </w:p>
        </w:tc>
        <w:tc>
          <w:tcPr>
            <w:tcW w:w="26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1,445</w:t>
            </w:r>
          </w:p>
        </w:tc>
      </w:tr>
      <w:tr>
        <w:trPr>
          <w:trHeight w:val="250"/>
        </w:trPr>
        <w:tc>
          <w:tcPr>
            <w:tcW w:w="73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(1)</w:t>
            </w: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Consolidated and</w:t>
            </w:r>
          </w:p>
        </w:tc>
        <w:tc>
          <w:tcPr>
            <w:tcW w:w="16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Combined Statements of Cash Flows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2,506</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1,451</w:t>
            </w:r>
          </w:p>
        </w:tc>
      </w:tr>
      <w:tr>
        <w:trPr>
          <w:trHeight w:val="20"/>
        </w:trPr>
        <w:tc>
          <w:tcPr>
            <w:tcW w:w="7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Long-term restricted cash is recognized within All other assets in the Consolidated and Combined Statements of Financial Position.</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1,053</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1,011</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w:t>
            </w:r>
          </w:p>
        </w:tc>
      </w:tr>
    </w:tbl>
    <w:p>
      <w:pPr>
        <w:spacing w:after="0" w:line="80" w:lineRule="exact"/>
        <w:rPr>
          <w:sz w:val="20"/>
          <w:szCs w:val="20"/>
          <w:color w:val="auto"/>
        </w:rPr>
      </w:pPr>
    </w:p>
    <w:p>
      <w:pPr>
        <w:ind w:left="260" w:right="860" w:hanging="252"/>
        <w:spacing w:after="0" w:line="286"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assets in the Consolidated and Combined Statements of Financial Position. See the supplemental table “All Other Current and Non-Current Assets” for further information.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454545"/>
              </w:rPr>
              <w:t>Depreciable lives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4"/>
          </w:tcPr>
          <w:p>
            <w:pPr>
              <w:ind w:left="280"/>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454545"/>
              </w:rPr>
              <w:t>(in years)</w:t>
            </w:r>
          </w:p>
        </w:tc>
        <w:tc>
          <w:tcPr>
            <w:tcW w:w="200" w:type="dxa"/>
            <w:vAlign w:val="bottom"/>
          </w:tcPr>
          <w:p>
            <w:pPr>
              <w:spacing w:after="0"/>
              <w:rPr>
                <w:sz w:val="22"/>
                <w:szCs w:val="22"/>
                <w:color w:val="auto"/>
              </w:rPr>
            </w:pPr>
          </w:p>
        </w:tc>
        <w:tc>
          <w:tcPr>
            <w:tcW w:w="1840" w:type="dxa"/>
            <w:vAlign w:val="bottom"/>
            <w:gridSpan w:val="4"/>
          </w:tcPr>
          <w:p>
            <w:pPr>
              <w:ind w:left="260"/>
              <w:spacing w:after="0"/>
              <w:rPr>
                <w:sz w:val="20"/>
                <w:szCs w:val="20"/>
                <w:color w:val="auto"/>
              </w:rPr>
            </w:pPr>
            <w:r>
              <w:rPr>
                <w:rFonts w:ascii="Arial" w:cs="Arial" w:eastAsia="Arial" w:hAnsi="Arial"/>
                <w:sz w:val="16"/>
                <w:szCs w:val="16"/>
                <w:b w:val="1"/>
                <w:bCs w:val="1"/>
                <w:color w:val="454545"/>
              </w:rPr>
              <w:t>Original Cost</w:t>
            </w:r>
          </w:p>
        </w:tc>
        <w:tc>
          <w:tcPr>
            <w:tcW w:w="220" w:type="dxa"/>
            <w:vAlign w:val="bottom"/>
          </w:tcPr>
          <w:p>
            <w:pPr>
              <w:spacing w:after="0"/>
              <w:rPr>
                <w:sz w:val="22"/>
                <w:szCs w:val="22"/>
                <w:color w:val="auto"/>
              </w:rPr>
            </w:pPr>
          </w:p>
        </w:tc>
        <w:tc>
          <w:tcPr>
            <w:tcW w:w="1860" w:type="dxa"/>
            <w:vAlign w:val="bottom"/>
            <w:gridSpan w:val="4"/>
          </w:tcPr>
          <w:p>
            <w:pPr>
              <w:ind w:left="300"/>
              <w:spacing w:after="0"/>
              <w:rPr>
                <w:sz w:val="20"/>
                <w:szCs w:val="20"/>
                <w:color w:val="auto"/>
              </w:rPr>
            </w:pPr>
            <w:r>
              <w:rPr>
                <w:rFonts w:ascii="Arial" w:cs="Arial" w:eastAsia="Arial" w:hAnsi="Arial"/>
                <w:sz w:val="16"/>
                <w:szCs w:val="16"/>
                <w:b w:val="1"/>
                <w:bCs w:val="1"/>
                <w:color w:val="454545"/>
              </w:rPr>
              <w:t>Depreciation</w:t>
            </w:r>
          </w:p>
        </w:tc>
        <w:tc>
          <w:tcPr>
            <w:tcW w:w="200" w:type="dxa"/>
            <w:vAlign w:val="bottom"/>
          </w:tcPr>
          <w:p>
            <w:pPr>
              <w:spacing w:after="0"/>
              <w:rPr>
                <w:sz w:val="22"/>
                <w:szCs w:val="22"/>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Net Carrying Value</w:t>
            </w:r>
          </w:p>
        </w:tc>
        <w:tc>
          <w:tcPr>
            <w:tcW w:w="0" w:type="dxa"/>
            <w:vAlign w:val="bottom"/>
          </w:tcPr>
          <w:p>
            <w:pPr>
              <w:spacing w:after="0"/>
              <w:rPr>
                <w:sz w:val="1"/>
                <w:szCs w:val="1"/>
                <w:color w:val="auto"/>
              </w:rPr>
            </w:pPr>
          </w:p>
        </w:tc>
      </w:tr>
      <w:tr>
        <w:trPr>
          <w:trHeight w:val="21"/>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4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700" w:type="dxa"/>
            <w:vAlign w:val="bottom"/>
            <w:tcBorders>
              <w:bottom w:val="single" w:sz="8" w:color="6400A0"/>
            </w:tcBorders>
            <w:vMerge w:val="continue"/>
          </w:tcPr>
          <w:p>
            <w:pPr>
              <w:spacing w:after="0"/>
              <w:rPr>
                <w:sz w:val="19"/>
                <w:szCs w:val="19"/>
                <w:color w:val="auto"/>
              </w:rPr>
            </w:pPr>
          </w:p>
        </w:tc>
        <w:tc>
          <w:tcPr>
            <w:tcW w:w="142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74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24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80" w:type="dxa"/>
            <w:vAlign w:val="bottom"/>
            <w:tcBorders>
              <w:bottom w:val="single" w:sz="8" w:color="6400A0"/>
            </w:tcBorders>
          </w:tcPr>
          <w:p>
            <w:pPr>
              <w:spacing w:after="0"/>
              <w:rPr>
                <w:sz w:val="19"/>
                <w:szCs w:val="19"/>
                <w:color w:val="auto"/>
              </w:rPr>
            </w:pPr>
          </w:p>
        </w:tc>
        <w:tc>
          <w:tcPr>
            <w:tcW w:w="22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2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8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2023</w:t>
            </w:r>
          </w:p>
        </w:tc>
        <w:tc>
          <w:tcPr>
            <w:tcW w:w="24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0" w:type="dxa"/>
            <w:vAlign w:val="bottom"/>
          </w:tcPr>
          <w:p>
            <w:pPr>
              <w:spacing w:after="0"/>
              <w:rPr>
                <w:sz w:val="1"/>
                <w:szCs w:val="1"/>
                <w:color w:val="auto"/>
              </w:rPr>
            </w:pPr>
          </w:p>
        </w:tc>
      </w:tr>
      <w:tr>
        <w:trPr>
          <w:trHeight w:val="240"/>
        </w:trPr>
        <w:tc>
          <w:tcPr>
            <w:tcW w:w="370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Land and improvements</w:t>
            </w:r>
            <w:r>
              <w:rPr>
                <w:rFonts w:ascii="Arial" w:cs="Arial" w:eastAsia="Arial" w:hAnsi="Arial"/>
                <w:sz w:val="21"/>
                <w:szCs w:val="21"/>
                <w:color w:val="auto"/>
                <w:vertAlign w:val="superscript"/>
              </w:rPr>
              <w:t>(1)</w:t>
            </w:r>
          </w:p>
        </w:tc>
        <w:tc>
          <w:tcPr>
            <w:tcW w:w="1420" w:type="dxa"/>
            <w:vAlign w:val="bottom"/>
            <w:shd w:val="clear" w:color="auto" w:fill="E4E4E4"/>
          </w:tcPr>
          <w:p>
            <w:pPr>
              <w:jc w:val="center"/>
              <w:spacing w:after="0"/>
              <w:rPr>
                <w:sz w:val="20"/>
                <w:szCs w:val="20"/>
                <w:color w:val="auto"/>
              </w:rPr>
            </w:pPr>
            <w:r>
              <w:rPr>
                <w:rFonts w:ascii="Arial" w:cs="Arial" w:eastAsia="Arial" w:hAnsi="Arial"/>
                <w:sz w:val="16"/>
                <w:szCs w:val="16"/>
                <w:color w:val="auto"/>
              </w:rPr>
              <w:t>8</w:t>
            </w:r>
          </w:p>
        </w:tc>
        <w:tc>
          <w:tcPr>
            <w:tcW w:w="2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24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E4E4E4"/>
          </w:tcPr>
          <w:p>
            <w:pPr>
              <w:spacing w:after="0"/>
              <w:rPr>
                <w:sz w:val="20"/>
                <w:szCs w:val="20"/>
                <w:color w:val="auto"/>
              </w:rPr>
            </w:pPr>
          </w:p>
        </w:tc>
        <w:tc>
          <w:tcPr>
            <w:tcW w:w="22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4E4E4"/>
          </w:tcPr>
          <w:p>
            <w:pPr>
              <w:spacing w:after="0"/>
              <w:rPr>
                <w:sz w:val="20"/>
                <w:szCs w:val="20"/>
                <w:color w:val="auto"/>
              </w:rPr>
            </w:pP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1420" w:type="dxa"/>
            <w:vAlign w:val="bottom"/>
          </w:tcPr>
          <w:p>
            <w:pPr>
              <w:jc w:val="center"/>
              <w:spacing w:after="0"/>
              <w:rPr>
                <w:sz w:val="20"/>
                <w:szCs w:val="20"/>
                <w:color w:val="auto"/>
              </w:rPr>
            </w:pPr>
            <w:r>
              <w:rPr>
                <w:rFonts w:ascii="Arial" w:cs="Arial" w:eastAsia="Arial" w:hAnsi="Arial"/>
                <w:sz w:val="16"/>
                <w:szCs w:val="16"/>
                <w:color w:val="auto"/>
              </w:rPr>
              <w:t>8-40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8"/>
        </w:trPr>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E4E4E4"/>
          </w:tcPr>
          <w:p>
            <w:pPr>
              <w:ind w:left="20"/>
              <w:spacing w:after="0"/>
              <w:rPr>
                <w:sz w:val="20"/>
                <w:szCs w:val="20"/>
                <w:color w:val="auto"/>
              </w:rPr>
            </w:pPr>
            <w:r>
              <w:rPr>
                <w:rFonts w:ascii="Arial" w:cs="Arial" w:eastAsia="Arial" w:hAnsi="Arial"/>
                <w:sz w:val="16"/>
                <w:szCs w:val="16"/>
                <w:color w:val="auto"/>
              </w:rPr>
              <w:t>Machinery and equipment</w:t>
            </w:r>
            <w:r>
              <w:rPr>
                <w:rFonts w:ascii="Arial" w:cs="Arial" w:eastAsia="Arial" w:hAnsi="Arial"/>
                <w:sz w:val="21"/>
                <w:szCs w:val="21"/>
                <w:color w:val="auto"/>
                <w:vertAlign w:val="superscript"/>
              </w:rPr>
              <w:t>(2)</w:t>
            </w:r>
          </w:p>
        </w:tc>
        <w:tc>
          <w:tcPr>
            <w:tcW w:w="1420" w:type="dxa"/>
            <w:vAlign w:val="bottom"/>
            <w:shd w:val="clear" w:color="auto" w:fill="E4E4E4"/>
          </w:tcPr>
          <w:p>
            <w:pPr>
              <w:jc w:val="center"/>
              <w:spacing w:after="0"/>
              <w:rPr>
                <w:sz w:val="20"/>
                <w:szCs w:val="20"/>
                <w:color w:val="auto"/>
              </w:rPr>
            </w:pPr>
            <w:r>
              <w:rPr>
                <w:rFonts w:ascii="Arial" w:cs="Arial" w:eastAsia="Arial" w:hAnsi="Arial"/>
                <w:sz w:val="16"/>
                <w:szCs w:val="16"/>
                <w:color w:val="auto"/>
              </w:rPr>
              <w:t>4-20</w:t>
            </w:r>
          </w:p>
        </w:tc>
        <w:tc>
          <w:tcPr>
            <w:tcW w:w="200" w:type="dxa"/>
            <w:vAlign w:val="bottom"/>
            <w:shd w:val="clear" w:color="auto" w:fill="E4E4E4"/>
          </w:tcPr>
          <w:p>
            <w:pPr>
              <w:spacing w:after="0"/>
              <w:rPr>
                <w:sz w:val="21"/>
                <w:szCs w:val="21"/>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2,617</w:t>
            </w:r>
          </w:p>
        </w:tc>
        <w:tc>
          <w:tcPr>
            <w:tcW w:w="24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2,541</w:t>
            </w:r>
          </w:p>
        </w:tc>
        <w:tc>
          <w:tcPr>
            <w:tcW w:w="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(1,802)</w:t>
            </w:r>
          </w:p>
        </w:tc>
        <w:tc>
          <w:tcPr>
            <w:tcW w:w="22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(1,791)</w:t>
            </w:r>
          </w:p>
        </w:tc>
        <w:tc>
          <w:tcPr>
            <w:tcW w:w="8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815</w:t>
            </w:r>
          </w:p>
        </w:tc>
        <w:tc>
          <w:tcPr>
            <w:tcW w:w="24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5" w:lineRule="exact"/>
              <w:rPr>
                <w:sz w:val="20"/>
                <w:szCs w:val="20"/>
                <w:color w:val="auto"/>
              </w:rPr>
            </w:pPr>
            <w:r>
              <w:rPr>
                <w:rFonts w:ascii="Arial" w:cs="Arial" w:eastAsia="Arial" w:hAnsi="Arial"/>
                <w:sz w:val="16"/>
                <w:szCs w:val="16"/>
                <w:color w:val="auto"/>
              </w:rPr>
              <w:t>Leasehold costs and manufacturing plants under</w:t>
            </w:r>
          </w:p>
        </w:tc>
        <w:tc>
          <w:tcPr>
            <w:tcW w:w="1420" w:type="dxa"/>
            <w:vAlign w:val="bottom"/>
          </w:tcPr>
          <w:p>
            <w:pPr>
              <w:jc w:val="center"/>
              <w:spacing w:after="0" w:line="175" w:lineRule="exact"/>
              <w:rPr>
                <w:sz w:val="20"/>
                <w:szCs w:val="20"/>
                <w:color w:val="auto"/>
              </w:rPr>
            </w:pPr>
            <w:r>
              <w:rPr>
                <w:rFonts w:ascii="Arial" w:cs="Arial" w:eastAsia="Arial" w:hAnsi="Arial"/>
                <w:sz w:val="16"/>
                <w:szCs w:val="16"/>
                <w:color w:val="auto"/>
              </w:rPr>
              <w:t>1-40</w:t>
            </w:r>
          </w:p>
        </w:tc>
        <w:tc>
          <w:tcPr>
            <w:tcW w:w="2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565</w:t>
            </w:r>
          </w:p>
        </w:tc>
        <w:tc>
          <w:tcPr>
            <w:tcW w:w="2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(94)</w:t>
            </w:r>
          </w:p>
        </w:tc>
        <w:tc>
          <w:tcPr>
            <w:tcW w:w="2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471</w:t>
            </w:r>
          </w:p>
        </w:tc>
        <w:tc>
          <w:tcPr>
            <w:tcW w:w="2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700" w:type="dxa"/>
            <w:vAlign w:val="bottom"/>
            <w:shd w:val="clear" w:color="auto" w:fill="E4E4E4"/>
          </w:tcPr>
          <w:p>
            <w:pPr>
              <w:ind w:left="20"/>
              <w:spacing w:after="0" w:line="168" w:lineRule="exact"/>
              <w:rPr>
                <w:sz w:val="20"/>
                <w:szCs w:val="20"/>
                <w:color w:val="auto"/>
              </w:rPr>
            </w:pPr>
            <w:r>
              <w:rPr>
                <w:rFonts w:ascii="Arial" w:cs="Arial" w:eastAsia="Arial" w:hAnsi="Arial"/>
                <w:sz w:val="16"/>
                <w:szCs w:val="16"/>
                <w:b w:val="1"/>
                <w:bCs w:val="1"/>
                <w:color w:val="auto"/>
              </w:rPr>
              <w:t>Property, plant, and equipment – net, exclusive</w:t>
            </w:r>
          </w:p>
        </w:tc>
        <w:tc>
          <w:tcPr>
            <w:tcW w:w="1420" w:type="dxa"/>
            <w:vAlign w:val="bottom"/>
            <w:shd w:val="clear" w:color="auto" w:fill="E4E4E4"/>
          </w:tcPr>
          <w:p>
            <w:pPr>
              <w:spacing w:after="0"/>
              <w:rPr>
                <w:sz w:val="14"/>
                <w:szCs w:val="14"/>
                <w:color w:val="auto"/>
              </w:rPr>
            </w:pPr>
          </w:p>
        </w:tc>
        <w:tc>
          <w:tcPr>
            <w:tcW w:w="200" w:type="dxa"/>
            <w:vAlign w:val="bottom"/>
            <w:shd w:val="clear" w:color="auto" w:fill="E4E4E4"/>
          </w:tcPr>
          <w:p>
            <w:pPr>
              <w:jc w:val="right"/>
              <w:ind w:right="19"/>
              <w:spacing w:after="0" w:line="168" w:lineRule="exact"/>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5,208</w:t>
            </w:r>
          </w:p>
        </w:tc>
        <w:tc>
          <w:tcPr>
            <w:tcW w:w="240" w:type="dxa"/>
            <w:vAlign w:val="bottom"/>
            <w:shd w:val="clear" w:color="auto" w:fill="E4E4E4"/>
          </w:tcPr>
          <w:p>
            <w:pPr>
              <w:jc w:val="right"/>
              <w:ind w:right="1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4,989</w:t>
            </w:r>
          </w:p>
        </w:tc>
        <w:tc>
          <w:tcPr>
            <w:tcW w:w="80" w:type="dxa"/>
            <w:vAlign w:val="bottom"/>
            <w:shd w:val="clear" w:color="auto" w:fill="E4E4E4"/>
          </w:tcPr>
          <w:p>
            <w:pPr>
              <w:spacing w:after="0"/>
              <w:rPr>
                <w:sz w:val="14"/>
                <w:szCs w:val="14"/>
                <w:color w:val="auto"/>
              </w:rPr>
            </w:pPr>
          </w:p>
        </w:tc>
        <w:tc>
          <w:tcPr>
            <w:tcW w:w="220" w:type="dxa"/>
            <w:vAlign w:val="bottom"/>
            <w:shd w:val="clear" w:color="auto" w:fill="E4E4E4"/>
          </w:tcPr>
          <w:p>
            <w:pPr>
              <w:jc w:val="right"/>
              <w:ind w:right="1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(3,064)</w:t>
            </w:r>
          </w:p>
        </w:tc>
        <w:tc>
          <w:tcPr>
            <w:tcW w:w="220" w:type="dxa"/>
            <w:vAlign w:val="bottom"/>
            <w:shd w:val="clear" w:color="auto" w:fill="E4E4E4"/>
          </w:tcPr>
          <w:p>
            <w:pPr>
              <w:jc w:val="right"/>
              <w:ind w:right="1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(2,988)</w:t>
            </w:r>
          </w:p>
        </w:tc>
        <w:tc>
          <w:tcPr>
            <w:tcW w:w="80" w:type="dxa"/>
            <w:vAlign w:val="bottom"/>
            <w:shd w:val="clear" w:color="auto" w:fill="E4E4E4"/>
          </w:tcPr>
          <w:p>
            <w:pPr>
              <w:spacing w:after="0"/>
              <w:rPr>
                <w:sz w:val="14"/>
                <w:szCs w:val="14"/>
                <w:color w:val="auto"/>
              </w:rPr>
            </w:pPr>
          </w:p>
        </w:tc>
        <w:tc>
          <w:tcPr>
            <w:tcW w:w="20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2,144</w:t>
            </w:r>
          </w:p>
        </w:tc>
        <w:tc>
          <w:tcPr>
            <w:tcW w:w="240" w:type="dxa"/>
            <w:vAlign w:val="bottom"/>
            <w:shd w:val="clear" w:color="auto" w:fill="E4E4E4"/>
          </w:tcPr>
          <w:p>
            <w:pPr>
              <w:jc w:val="right"/>
              <w:ind w:right="3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4E4E4"/>
          </w:tcPr>
          <w:p>
            <w:pPr>
              <w:jc w:val="right"/>
              <w:spacing w:after="0" w:line="168" w:lineRule="exact"/>
              <w:rPr>
                <w:sz w:val="20"/>
                <w:szCs w:val="20"/>
                <w:color w:val="auto"/>
              </w:rPr>
            </w:pPr>
            <w:r>
              <w:rPr>
                <w:rFonts w:ascii="Arial" w:cs="Arial" w:eastAsia="Arial" w:hAnsi="Arial"/>
                <w:sz w:val="16"/>
                <w:szCs w:val="16"/>
                <w:b w:val="1"/>
                <w:bCs w:val="1"/>
                <w:color w:val="auto"/>
              </w:rPr>
              <w:t>2,001</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of ROU operating lease assets</w:t>
            </w:r>
          </w:p>
        </w:tc>
        <w:tc>
          <w:tcPr>
            <w:tcW w:w="14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78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auto"/>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ROU operating lease assets</w:t>
            </w:r>
            <w:r>
              <w:rPr>
                <w:rFonts w:ascii="Arial" w:cs="Arial" w:eastAsia="Arial" w:hAnsi="Arial"/>
                <w:sz w:val="21"/>
                <w:szCs w:val="21"/>
                <w:color w:val="auto"/>
                <w:vertAlign w:val="superscript"/>
              </w:rPr>
              <w:t>(3)</w:t>
            </w:r>
          </w:p>
        </w:tc>
        <w:tc>
          <w:tcPr>
            <w:tcW w:w="14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420" w:type="dxa"/>
            <w:vAlign w:val="bottom"/>
            <w:tcBorders>
              <w:bottom w:val="single" w:sz="8" w:color="E4E4E4"/>
            </w:tcBorders>
            <w:shd w:val="clear" w:color="auto" w:fill="E4E4E4"/>
          </w:tcPr>
          <w:p>
            <w:pPr>
              <w:spacing w:after="0"/>
              <w:rPr>
                <w:sz w:val="18"/>
                <w:szCs w:val="18"/>
                <w:color w:val="auto"/>
              </w:rPr>
            </w:pPr>
          </w:p>
        </w:tc>
        <w:tc>
          <w:tcPr>
            <w:tcW w:w="200" w:type="dxa"/>
            <w:vAlign w:val="bottom"/>
            <w:tcBorders>
              <w:bottom w:val="single" w:sz="8" w:color="E4E4E4"/>
            </w:tcBorders>
            <w:shd w:val="clear" w:color="auto" w:fill="E4E4E4"/>
          </w:tcPr>
          <w:p>
            <w:pPr>
              <w:spacing w:after="0"/>
              <w:rPr>
                <w:sz w:val="18"/>
                <w:szCs w:val="18"/>
                <w:color w:val="auto"/>
              </w:rPr>
            </w:pPr>
          </w:p>
        </w:tc>
        <w:tc>
          <w:tcPr>
            <w:tcW w:w="740" w:type="dxa"/>
            <w:vAlign w:val="bottom"/>
            <w:tcBorders>
              <w:bottom w:val="single" w:sz="8" w:color="E4E4E4"/>
            </w:tcBorders>
            <w:shd w:val="clear" w:color="auto" w:fill="E4E4E4"/>
          </w:tcPr>
          <w:p>
            <w:pPr>
              <w:spacing w:after="0"/>
              <w:rPr>
                <w:sz w:val="18"/>
                <w:szCs w:val="18"/>
                <w:color w:val="auto"/>
              </w:rPr>
            </w:pPr>
          </w:p>
        </w:tc>
        <w:tc>
          <w:tcPr>
            <w:tcW w:w="240" w:type="dxa"/>
            <w:vAlign w:val="bottom"/>
            <w:tcBorders>
              <w:bottom w:val="single" w:sz="8" w:color="E4E4E4"/>
            </w:tcBorders>
            <w:shd w:val="clear" w:color="auto" w:fill="E4E4E4"/>
          </w:tcPr>
          <w:p>
            <w:pPr>
              <w:spacing w:after="0"/>
              <w:rPr>
                <w:sz w:val="18"/>
                <w:szCs w:val="18"/>
                <w:color w:val="auto"/>
              </w:rPr>
            </w:pPr>
          </w:p>
        </w:tc>
        <w:tc>
          <w:tcPr>
            <w:tcW w:w="780" w:type="dxa"/>
            <w:vAlign w:val="bottom"/>
            <w:tcBorders>
              <w:bottom w:val="single" w:sz="8" w:color="E4E4E4"/>
            </w:tcBorders>
            <w:shd w:val="clear" w:color="auto" w:fill="E4E4E4"/>
          </w:tcPr>
          <w:p>
            <w:pPr>
              <w:spacing w:after="0"/>
              <w:rPr>
                <w:sz w:val="18"/>
                <w:szCs w:val="18"/>
                <w:color w:val="auto"/>
              </w:rPr>
            </w:pPr>
          </w:p>
        </w:tc>
        <w:tc>
          <w:tcPr>
            <w:tcW w:w="80" w:type="dxa"/>
            <w:vAlign w:val="bottom"/>
            <w:tcBorders>
              <w:bottom w:val="single" w:sz="8" w:color="E4E4E4"/>
            </w:tcBorders>
            <w:shd w:val="clear" w:color="auto" w:fill="E4E4E4"/>
          </w:tcPr>
          <w:p>
            <w:pPr>
              <w:spacing w:after="0"/>
              <w:rPr>
                <w:sz w:val="18"/>
                <w:szCs w:val="18"/>
                <w:color w:val="auto"/>
              </w:rPr>
            </w:pPr>
          </w:p>
        </w:tc>
        <w:tc>
          <w:tcPr>
            <w:tcW w:w="220" w:type="dxa"/>
            <w:vAlign w:val="bottom"/>
            <w:tcBorders>
              <w:bottom w:val="single" w:sz="8" w:color="E4E4E4"/>
            </w:tcBorders>
            <w:shd w:val="clear" w:color="auto" w:fill="E4E4E4"/>
          </w:tcPr>
          <w:p>
            <w:pPr>
              <w:spacing w:after="0"/>
              <w:rPr>
                <w:sz w:val="18"/>
                <w:szCs w:val="18"/>
                <w:color w:val="auto"/>
              </w:rPr>
            </w:pPr>
          </w:p>
        </w:tc>
        <w:tc>
          <w:tcPr>
            <w:tcW w:w="780" w:type="dxa"/>
            <w:vAlign w:val="bottom"/>
            <w:tcBorders>
              <w:bottom w:val="single" w:sz="8" w:color="E4E4E4"/>
            </w:tcBorders>
            <w:shd w:val="clear" w:color="auto" w:fill="E4E4E4"/>
          </w:tcPr>
          <w:p>
            <w:pPr>
              <w:spacing w:after="0"/>
              <w:rPr>
                <w:sz w:val="18"/>
                <w:szCs w:val="18"/>
                <w:color w:val="auto"/>
              </w:rPr>
            </w:pPr>
          </w:p>
        </w:tc>
        <w:tc>
          <w:tcPr>
            <w:tcW w:w="220" w:type="dxa"/>
            <w:vAlign w:val="bottom"/>
            <w:tcBorders>
              <w:bottom w:val="single" w:sz="8" w:color="E4E4E4"/>
            </w:tcBorders>
            <w:shd w:val="clear" w:color="auto" w:fill="E4E4E4"/>
          </w:tcPr>
          <w:p>
            <w:pPr>
              <w:spacing w:after="0"/>
              <w:rPr>
                <w:sz w:val="18"/>
                <w:szCs w:val="18"/>
                <w:color w:val="auto"/>
              </w:rPr>
            </w:pPr>
          </w:p>
        </w:tc>
        <w:tc>
          <w:tcPr>
            <w:tcW w:w="780" w:type="dxa"/>
            <w:vAlign w:val="bottom"/>
            <w:tcBorders>
              <w:bottom w:val="single" w:sz="8" w:color="E4E4E4"/>
            </w:tcBorders>
            <w:shd w:val="clear" w:color="auto" w:fill="E4E4E4"/>
          </w:tcPr>
          <w:p>
            <w:pPr>
              <w:spacing w:after="0"/>
              <w:rPr>
                <w:sz w:val="18"/>
                <w:szCs w:val="18"/>
                <w:color w:val="auto"/>
              </w:rPr>
            </w:pPr>
          </w:p>
        </w:tc>
        <w:tc>
          <w:tcPr>
            <w:tcW w:w="80" w:type="dxa"/>
            <w:vAlign w:val="bottom"/>
            <w:tcBorders>
              <w:bottom w:val="single" w:sz="8" w:color="E4E4E4"/>
            </w:tcBorders>
            <w:shd w:val="clear" w:color="auto" w:fill="E4E4E4"/>
          </w:tcPr>
          <w:p>
            <w:pPr>
              <w:spacing w:after="0"/>
              <w:rPr>
                <w:sz w:val="18"/>
                <w:szCs w:val="18"/>
                <w:color w:val="auto"/>
              </w:rPr>
            </w:pP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2,500</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2,314</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Depreciable lives exclude land.</w:t>
      </w:r>
    </w:p>
    <w:p>
      <w:pPr>
        <w:spacing w:after="0" w:line="30" w:lineRule="exact"/>
        <w:rPr>
          <w:rFonts w:ascii="Arial" w:cs="Arial" w:eastAsia="Arial" w:hAnsi="Arial"/>
          <w:sz w:val="16"/>
          <w:szCs w:val="16"/>
          <w:color w:val="auto"/>
        </w:rPr>
      </w:pPr>
    </w:p>
    <w:p>
      <w:pPr>
        <w:ind w:left="260" w:right="20" w:hanging="252"/>
        <w:spacing w:after="0" w:line="255"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Equipment leased to customers is classified as Machinery and equipment and is reported at cost less accumulated depreciation, and was $38 million and $39 million as of December 31, 2023 and 2022, respectively.</w:t>
      </w: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Note 7, “Leases” for further information.</w:t>
      </w:r>
    </w:p>
    <w:p>
      <w:pPr>
        <w:spacing w:after="0" w:line="18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Depreciation related to Property, plant, and equipment – net, exclusive of ROU operating lease assets, was $248 million, $228 million, and $225 million for the years ended December 31, 2023, 2022, and 2021,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Assets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0"/>
        </w:trPr>
        <w:tc>
          <w:tcPr>
            <w:tcW w:w="7620" w:type="dxa"/>
            <w:vAlign w:val="bottom"/>
            <w:tcBorders>
              <w:bottom w:val="single" w:sz="8" w:color="6400A0"/>
            </w:tcBorders>
          </w:tcPr>
          <w:p>
            <w:pPr>
              <w:spacing w:after="0"/>
              <w:rPr>
                <w:sz w:val="19"/>
                <w:szCs w:val="19"/>
                <w:color w:val="auto"/>
              </w:rPr>
            </w:pPr>
          </w:p>
        </w:tc>
        <w:tc>
          <w:tcPr>
            <w:tcW w:w="140" w:type="dxa"/>
            <w:vAlign w:val="bottom"/>
            <w:tcBorders>
              <w:bottom w:val="single" w:sz="8" w:color="6400A0"/>
            </w:tcBorders>
          </w:tcPr>
          <w:p>
            <w:pPr>
              <w:spacing w:after="0"/>
              <w:rPr>
                <w:sz w:val="19"/>
                <w:szCs w:val="19"/>
                <w:color w:val="auto"/>
              </w:rPr>
            </w:pPr>
          </w:p>
        </w:tc>
        <w:tc>
          <w:tcPr>
            <w:tcW w:w="1640" w:type="dxa"/>
            <w:vAlign w:val="bottom"/>
            <w:tcBorders>
              <w:bottom w:val="single" w:sz="8" w:color="6400A0"/>
            </w:tcBorders>
          </w:tcPr>
          <w:p>
            <w:pPr>
              <w:jc w:val="right"/>
              <w:ind w:right="59"/>
              <w:spacing w:after="0"/>
              <w:rPr>
                <w:sz w:val="20"/>
                <w:szCs w:val="20"/>
                <w:color w:val="auto"/>
              </w:rPr>
            </w:pPr>
            <w:r>
              <w:rPr>
                <w:rFonts w:ascii="Arial" w:cs="Arial" w:eastAsia="Arial" w:hAnsi="Arial"/>
                <w:sz w:val="16"/>
                <w:szCs w:val="16"/>
                <w:b w:val="1"/>
                <w:bCs w:val="1"/>
                <w:color w:val="454545"/>
              </w:rPr>
              <w:t>December 31, 2023</w:t>
            </w:r>
          </w:p>
        </w:tc>
        <w:tc>
          <w:tcPr>
            <w:tcW w:w="16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December 31, 2022</w:t>
            </w:r>
          </w:p>
        </w:tc>
      </w:tr>
      <w:tr>
        <w:trPr>
          <w:trHeight w:val="22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42"/>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389</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417</w:t>
            </w:r>
          </w:p>
        </w:tc>
      </w:tr>
      <w:tr>
        <w:trPr>
          <w:trHeight w:val="208"/>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Prepaid pension asset</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Equity method and other investments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36"/>
        </w:trPr>
        <w:tc>
          <w:tcPr>
            <w:tcW w:w="7620" w:type="dxa"/>
            <w:vAlign w:val="bottom"/>
            <w:tcBorders>
              <w:bottom w:val="single" w:sz="8" w:color="auto"/>
            </w:tcBorders>
            <w:shd w:val="clear" w:color="auto" w:fill="E4E4E4"/>
          </w:tcPr>
          <w:p>
            <w:pPr>
              <w:ind w:left="20"/>
              <w:spacing w:after="0" w:line="237" w:lineRule="exact"/>
              <w:rPr>
                <w:sz w:val="20"/>
                <w:szCs w:val="20"/>
                <w:color w:val="auto"/>
              </w:rPr>
            </w:pPr>
            <w:r>
              <w:rPr>
                <w:rFonts w:ascii="Arial" w:cs="Arial" w:eastAsia="Arial" w:hAnsi="Arial"/>
                <w:sz w:val="16"/>
                <w:szCs w:val="16"/>
                <w:b w:val="1"/>
                <w:bCs w:val="1"/>
                <w:color w:val="auto"/>
              </w:rPr>
              <w:t>All other non-current assets</w:t>
            </w:r>
            <w:r>
              <w:rPr>
                <w:rFonts w:ascii="Arial" w:cs="Arial" w:eastAsia="Arial" w:hAnsi="Arial"/>
                <w:sz w:val="21"/>
                <w:szCs w:val="21"/>
                <w:b w:val="1"/>
                <w:bCs w:val="1"/>
                <w:color w:val="auto"/>
                <w:vertAlign w:val="superscript"/>
              </w:rPr>
              <w:t>(3)</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1,024</w:t>
            </w:r>
          </w:p>
        </w:tc>
      </w:tr>
    </w:tbl>
    <w:p>
      <w:pPr>
        <w:spacing w:after="0" w:line="67"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Current Other primarily consists of tax receivables.</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Non-current Other primarily consists of indemnities due from GE and derivative instruments.</w:t>
      </w:r>
    </w:p>
    <w:p>
      <w:pPr>
        <w:spacing w:after="0" w:line="8" w:lineRule="exact"/>
        <w:rPr>
          <w:rFonts w:ascii="Arial" w:cs="Arial" w:eastAsia="Arial" w:hAnsi="Arial"/>
          <w:sz w:val="16"/>
          <w:szCs w:val="16"/>
          <w:color w:val="auto"/>
        </w:rPr>
      </w:pPr>
    </w:p>
    <w:p>
      <w:pPr>
        <w:ind w:left="260" w:right="380" w:hanging="252"/>
        <w:spacing w:after="0" w:line="283"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other non-current assets increased in the year ended December 31, 2023, primarily due to assets transferred from GE as a result of the Spin-Off. Refer to Note 1, “Organization and Basis of Presentation” for further information.</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Equity Method Investments</w:t>
            </w: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940" w:type="dxa"/>
            <w:vAlign w:val="bottom"/>
            <w:gridSpan w:val="5"/>
          </w:tcPr>
          <w:p>
            <w:pPr>
              <w:ind w:left="40"/>
              <w:spacing w:after="0"/>
              <w:rPr>
                <w:sz w:val="20"/>
                <w:szCs w:val="20"/>
                <w:color w:val="auto"/>
              </w:rPr>
            </w:pPr>
            <w:r>
              <w:rPr>
                <w:rFonts w:ascii="Arial" w:cs="Arial" w:eastAsia="Arial" w:hAnsi="Arial"/>
                <w:sz w:val="16"/>
                <w:szCs w:val="16"/>
                <w:b w:val="1"/>
                <w:bCs w:val="1"/>
                <w:color w:val="454545"/>
              </w:rPr>
              <w:t>Equity method investment balance</w:t>
            </w:r>
          </w:p>
        </w:tc>
        <w:tc>
          <w:tcPr>
            <w:tcW w:w="280" w:type="dxa"/>
            <w:vAlign w:val="bottom"/>
          </w:tcPr>
          <w:p>
            <w:pPr>
              <w:spacing w:after="0"/>
              <w:rPr>
                <w:sz w:val="22"/>
                <w:szCs w:val="22"/>
                <w:color w:val="auto"/>
              </w:rPr>
            </w:pPr>
          </w:p>
        </w:tc>
        <w:tc>
          <w:tcPr>
            <w:tcW w:w="348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454545"/>
              </w:rPr>
              <w:t>Equity method income (loss)</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454545"/>
              </w:rPr>
              <w:t>Ownership</w:t>
            </w:r>
          </w:p>
        </w:tc>
        <w:tc>
          <w:tcPr>
            <w:tcW w:w="3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72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820" w:type="dxa"/>
            <w:vAlign w:val="bottom"/>
            <w:tcBorders>
              <w:bottom w:val="single" w:sz="8" w:color="6400A0"/>
            </w:tcBorders>
          </w:tcPr>
          <w:p>
            <w:pPr>
              <w:jc w:val="center"/>
              <w:ind w:left="119"/>
              <w:spacing w:after="0"/>
              <w:rPr>
                <w:sz w:val="20"/>
                <w:szCs w:val="20"/>
                <w:color w:val="auto"/>
              </w:rPr>
            </w:pPr>
            <w:r>
              <w:rPr>
                <w:rFonts w:ascii="Arial" w:cs="Arial" w:eastAsia="Arial" w:hAnsi="Arial"/>
                <w:sz w:val="16"/>
                <w:szCs w:val="16"/>
                <w:b w:val="1"/>
                <w:bCs w:val="1"/>
                <w:color w:val="454545"/>
                <w:w w:val="99"/>
              </w:rPr>
              <w:t>Percentage</w:t>
            </w:r>
          </w:p>
        </w:tc>
        <w:tc>
          <w:tcPr>
            <w:tcW w:w="320" w:type="dxa"/>
            <w:vAlign w:val="bottom"/>
            <w:tcBorders>
              <w:bottom w:val="single" w:sz="8" w:color="6400A0"/>
            </w:tcBorders>
          </w:tcPr>
          <w:p>
            <w:pPr>
              <w:spacing w:after="0"/>
              <w:rPr>
                <w:sz w:val="20"/>
                <w:szCs w:val="20"/>
                <w:color w:val="auto"/>
              </w:rPr>
            </w:pPr>
          </w:p>
        </w:tc>
        <w:tc>
          <w:tcPr>
            <w:tcW w:w="1040" w:type="dxa"/>
            <w:vAlign w:val="bottom"/>
            <w:tcBorders>
              <w:bottom w:val="single" w:sz="8" w:color="6400A0"/>
            </w:tcBorders>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320" w:type="dxa"/>
            <w:vAlign w:val="bottom"/>
            <w:tcBorders>
              <w:bottom w:val="single" w:sz="8" w:color="6400A0"/>
            </w:tcBorders>
          </w:tcPr>
          <w:p>
            <w:pPr>
              <w:spacing w:after="0"/>
              <w:rPr>
                <w:sz w:val="20"/>
                <w:szCs w:val="20"/>
                <w:color w:val="auto"/>
              </w:rPr>
            </w:pPr>
          </w:p>
        </w:tc>
        <w:tc>
          <w:tcPr>
            <w:tcW w:w="1080" w:type="dxa"/>
            <w:vAlign w:val="bottom"/>
            <w:tcBorders>
              <w:bottom w:val="single" w:sz="8" w:color="6400A0"/>
            </w:tcBorders>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180" w:type="dxa"/>
            <w:vAlign w:val="bottom"/>
            <w:tcBorders>
              <w:bottom w:val="single" w:sz="8" w:color="6400A0"/>
            </w:tcBorders>
          </w:tcPr>
          <w:p>
            <w:pPr>
              <w:spacing w:after="0"/>
              <w:rPr>
                <w:sz w:val="20"/>
                <w:szCs w:val="20"/>
                <w:color w:val="auto"/>
              </w:rPr>
            </w:pPr>
          </w:p>
        </w:tc>
        <w:tc>
          <w:tcPr>
            <w:tcW w:w="280" w:type="dxa"/>
            <w:vAlign w:val="bottom"/>
            <w:tcBorders>
              <w:bottom w:val="single" w:sz="8" w:color="6400A0"/>
            </w:tcBorders>
          </w:tcPr>
          <w:p>
            <w:pPr>
              <w:spacing w:after="0"/>
              <w:rPr>
                <w:sz w:val="20"/>
                <w:szCs w:val="20"/>
                <w:color w:val="auto"/>
              </w:rPr>
            </w:pPr>
          </w:p>
        </w:tc>
        <w:tc>
          <w:tcPr>
            <w:tcW w:w="940" w:type="dxa"/>
            <w:vAlign w:val="bottom"/>
            <w:tcBorders>
              <w:bottom w:val="single" w:sz="8" w:color="6400A0"/>
            </w:tcBorders>
          </w:tcPr>
          <w:p>
            <w:pPr>
              <w:jc w:val="right"/>
              <w:ind w:right="339"/>
              <w:spacing w:after="0"/>
              <w:rPr>
                <w:sz w:val="20"/>
                <w:szCs w:val="20"/>
                <w:color w:val="auto"/>
              </w:rPr>
            </w:pPr>
            <w:r>
              <w:rPr>
                <w:rFonts w:ascii="Arial" w:cs="Arial" w:eastAsia="Arial" w:hAnsi="Arial"/>
                <w:sz w:val="16"/>
                <w:szCs w:val="16"/>
                <w:b w:val="1"/>
                <w:bCs w:val="1"/>
                <w:color w:val="454545"/>
              </w:rPr>
              <w:t>2023</w:t>
            </w:r>
          </w:p>
        </w:tc>
        <w:tc>
          <w:tcPr>
            <w:tcW w:w="300" w:type="dxa"/>
            <w:vAlign w:val="bottom"/>
            <w:tcBorders>
              <w:bottom w:val="single" w:sz="8" w:color="6400A0"/>
            </w:tcBorders>
          </w:tcPr>
          <w:p>
            <w:pPr>
              <w:spacing w:after="0"/>
              <w:rPr>
                <w:sz w:val="20"/>
                <w:szCs w:val="20"/>
                <w:color w:val="auto"/>
              </w:rPr>
            </w:pPr>
          </w:p>
        </w:tc>
        <w:tc>
          <w:tcPr>
            <w:tcW w:w="98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2022</w:t>
            </w:r>
          </w:p>
        </w:tc>
        <w:tc>
          <w:tcPr>
            <w:tcW w:w="280" w:type="dxa"/>
            <w:vAlign w:val="bottom"/>
            <w:tcBorders>
              <w:bottom w:val="single" w:sz="8" w:color="6400A0"/>
            </w:tcBorders>
          </w:tcPr>
          <w:p>
            <w:pPr>
              <w:spacing w:after="0"/>
              <w:rPr>
                <w:sz w:val="20"/>
                <w:szCs w:val="20"/>
                <w:color w:val="auto"/>
              </w:rPr>
            </w:pPr>
          </w:p>
        </w:tc>
        <w:tc>
          <w:tcPr>
            <w:tcW w:w="98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2021</w:t>
            </w:r>
          </w:p>
        </w:tc>
        <w:tc>
          <w:tcPr>
            <w:tcW w:w="0" w:type="dxa"/>
            <w:vAlign w:val="bottom"/>
          </w:tcPr>
          <w:p>
            <w:pPr>
              <w:spacing w:after="0"/>
              <w:rPr>
                <w:sz w:val="1"/>
                <w:szCs w:val="1"/>
                <w:color w:val="auto"/>
              </w:rPr>
            </w:pPr>
          </w:p>
        </w:tc>
      </w:tr>
      <w:tr>
        <w:trPr>
          <w:trHeight w:val="220"/>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Nihon Medi-Physics Co., Ltd</w:t>
            </w:r>
          </w:p>
        </w:tc>
        <w:tc>
          <w:tcPr>
            <w:tcW w:w="1820" w:type="dxa"/>
            <w:vAlign w:val="bottom"/>
            <w:tcBorders>
              <w:bottom w:val="single" w:sz="8" w:color="E4E4E4"/>
            </w:tcBorders>
            <w:shd w:val="clear" w:color="auto" w:fill="E4E4E4"/>
          </w:tcPr>
          <w:p>
            <w:pPr>
              <w:jc w:val="center"/>
              <w:ind w:left="99"/>
              <w:spacing w:after="0"/>
              <w:rPr>
                <w:sz w:val="20"/>
                <w:szCs w:val="20"/>
                <w:color w:val="auto"/>
              </w:rPr>
            </w:pPr>
            <w:r>
              <w:rPr>
                <w:rFonts w:ascii="Arial" w:cs="Arial" w:eastAsia="Arial" w:hAnsi="Arial"/>
                <w:sz w:val="16"/>
                <w:szCs w:val="16"/>
                <w:color w:val="auto"/>
                <w:w w:val="99"/>
              </w:rPr>
              <w:t>50%</w:t>
            </w:r>
          </w:p>
        </w:tc>
        <w:tc>
          <w:tcPr>
            <w:tcW w:w="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162</w:t>
            </w:r>
          </w:p>
        </w:tc>
        <w:tc>
          <w:tcPr>
            <w:tcW w:w="180" w:type="dxa"/>
            <w:vAlign w:val="bottom"/>
            <w:tcBorders>
              <w:bottom w:val="single" w:sz="8" w:color="E4E4E4"/>
            </w:tcBorders>
            <w:shd w:val="clear" w:color="auto" w:fill="E4E4E4"/>
          </w:tcPr>
          <w:p>
            <w:pPr>
              <w:spacing w:after="0"/>
              <w:rPr>
                <w:sz w:val="19"/>
                <w:szCs w:val="19"/>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6"/>
        </w:trPr>
        <w:tc>
          <w:tcPr>
            <w:tcW w:w="27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shd w:val="clear" w:color="auto" w:fill="E4E4E4"/>
          </w:tcPr>
          <w:p>
            <w:pPr>
              <w:spacing w:after="0"/>
              <w:rPr>
                <w:sz w:val="19"/>
                <w:szCs w:val="19"/>
                <w:color w:val="auto"/>
              </w:rPr>
            </w:pPr>
          </w:p>
        </w:tc>
        <w:tc>
          <w:tcPr>
            <w:tcW w:w="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w:t>
            </w:r>
          </w:p>
        </w:tc>
        <w:tc>
          <w:tcPr>
            <w:tcW w:w="32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w:t>
            </w:r>
          </w:p>
        </w:tc>
        <w:tc>
          <w:tcPr>
            <w:tcW w:w="180" w:type="dxa"/>
            <w:vAlign w:val="bottom"/>
            <w:tcBorders>
              <w:bottom w:val="single" w:sz="8" w:color="auto"/>
            </w:tcBorders>
            <w:shd w:val="clear" w:color="auto" w:fill="E4E4E4"/>
          </w:tcPr>
          <w:p>
            <w:pPr>
              <w:spacing w:after="0"/>
              <w:rPr>
                <w:sz w:val="19"/>
                <w:szCs w:val="19"/>
                <w:color w:val="auto"/>
              </w:rPr>
            </w:pPr>
          </w:p>
        </w:tc>
        <w:tc>
          <w:tcPr>
            <w:tcW w:w="280" w:type="dxa"/>
            <w:vAlign w:val="bottom"/>
            <w:tcBorders>
              <w:bottom w:val="single" w:sz="8" w:color="auto"/>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c>
          <w:tcPr>
            <w:tcW w:w="28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Liabilities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0"/>
        </w:trPr>
        <w:tc>
          <w:tcPr>
            <w:tcW w:w="7620" w:type="dxa"/>
            <w:vAlign w:val="bottom"/>
            <w:tcBorders>
              <w:bottom w:val="single" w:sz="8" w:color="6400A0"/>
            </w:tcBorders>
          </w:tcPr>
          <w:p>
            <w:pPr>
              <w:spacing w:after="0"/>
              <w:rPr>
                <w:sz w:val="19"/>
                <w:szCs w:val="19"/>
                <w:color w:val="auto"/>
              </w:rPr>
            </w:pPr>
          </w:p>
        </w:tc>
        <w:tc>
          <w:tcPr>
            <w:tcW w:w="140" w:type="dxa"/>
            <w:vAlign w:val="bottom"/>
            <w:tcBorders>
              <w:bottom w:val="single" w:sz="8" w:color="6400A0"/>
            </w:tcBorders>
          </w:tcPr>
          <w:p>
            <w:pPr>
              <w:spacing w:after="0"/>
              <w:rPr>
                <w:sz w:val="19"/>
                <w:szCs w:val="19"/>
                <w:color w:val="auto"/>
              </w:rPr>
            </w:pPr>
          </w:p>
        </w:tc>
        <w:tc>
          <w:tcPr>
            <w:tcW w:w="1640" w:type="dxa"/>
            <w:vAlign w:val="bottom"/>
            <w:tcBorders>
              <w:bottom w:val="single" w:sz="8" w:color="6400A0"/>
            </w:tcBorders>
          </w:tcPr>
          <w:p>
            <w:pPr>
              <w:jc w:val="right"/>
              <w:ind w:right="59"/>
              <w:spacing w:after="0"/>
              <w:rPr>
                <w:sz w:val="20"/>
                <w:szCs w:val="20"/>
                <w:color w:val="auto"/>
              </w:rPr>
            </w:pPr>
            <w:r>
              <w:rPr>
                <w:rFonts w:ascii="Arial" w:cs="Arial" w:eastAsia="Arial" w:hAnsi="Arial"/>
                <w:sz w:val="16"/>
                <w:szCs w:val="16"/>
                <w:b w:val="1"/>
                <w:bCs w:val="1"/>
                <w:color w:val="454545"/>
              </w:rPr>
              <w:t>December 31, 2023</w:t>
            </w:r>
          </w:p>
        </w:tc>
        <w:tc>
          <w:tcPr>
            <w:tcW w:w="16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December 31, 2022</w:t>
            </w:r>
          </w:p>
        </w:tc>
      </w:tr>
      <w:tr>
        <w:trPr>
          <w:trHeight w:val="240"/>
        </w:trPr>
        <w:tc>
          <w:tcPr>
            <w:tcW w:w="762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Employee compensation and benefit liabilities</w:t>
            </w:r>
            <w:r>
              <w:rPr>
                <w:rFonts w:ascii="Arial" w:cs="Arial" w:eastAsia="Arial" w:hAnsi="Arial"/>
                <w:sz w:val="21"/>
                <w:szCs w:val="21"/>
                <w:color w:val="auto"/>
                <w:vertAlign w:val="superscript"/>
              </w:rPr>
              <w:t>(1)</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1,518</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853</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Uncertain and other income taxes and related liabilities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260</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237</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Accrued freight and utilities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6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1"/>
                <w:szCs w:val="21"/>
                <w:color w:val="auto"/>
              </w:rPr>
            </w:pPr>
          </w:p>
        </w:tc>
        <w:tc>
          <w:tcPr>
            <w:tcW w:w="16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E4E4E4"/>
          </w:tcPr>
          <w:p>
            <w:pPr>
              <w:spacing w:after="0"/>
              <w:rPr>
                <w:sz w:val="21"/>
                <w:szCs w:val="21"/>
                <w:color w:val="auto"/>
              </w:rPr>
            </w:pP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Interest payable on borrowings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37"/>
        </w:trPr>
        <w:tc>
          <w:tcPr>
            <w:tcW w:w="7620" w:type="dxa"/>
            <w:vAlign w:val="bottom"/>
            <w:tcBorders>
              <w:bottom w:val="single" w:sz="8" w:color="auto"/>
            </w:tcBorders>
            <w:shd w:val="clear" w:color="auto" w:fill="E4E4E4"/>
          </w:tcPr>
          <w:p>
            <w:pPr>
              <w:ind w:left="20"/>
              <w:spacing w:after="0" w:line="237" w:lineRule="exact"/>
              <w:rPr>
                <w:sz w:val="20"/>
                <w:szCs w:val="20"/>
                <w:color w:val="auto"/>
              </w:rPr>
            </w:pPr>
            <w:r>
              <w:rPr>
                <w:rFonts w:ascii="Arial" w:cs="Arial" w:eastAsia="Arial" w:hAnsi="Arial"/>
                <w:sz w:val="16"/>
                <w:szCs w:val="16"/>
                <w:b w:val="1"/>
                <w:bCs w:val="1"/>
                <w:color w:val="auto"/>
              </w:rPr>
              <w:t>All other current liabilities</w:t>
            </w:r>
            <w:r>
              <w:rPr>
                <w:rFonts w:ascii="Arial" w:cs="Arial" w:eastAsia="Arial" w:hAnsi="Arial"/>
                <w:sz w:val="21"/>
                <w:szCs w:val="21"/>
                <w:b w:val="1"/>
                <w:bCs w:val="1"/>
                <w:color w:val="auto"/>
                <w:vertAlign w:val="superscript"/>
              </w:rPr>
              <w:t>(4)</w:t>
            </w:r>
          </w:p>
        </w:tc>
        <w:tc>
          <w:tcPr>
            <w:tcW w:w="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3,011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2,190</w:t>
            </w:r>
          </w:p>
        </w:tc>
      </w:tr>
      <w:tr>
        <w:trPr>
          <w:trHeight w:val="208"/>
        </w:trPr>
        <w:tc>
          <w:tcPr>
            <w:tcW w:w="762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705</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Uncertain and other income taxes and related liabilities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208</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Finance lease obligations</w:t>
            </w:r>
          </w:p>
        </w:tc>
        <w:tc>
          <w:tcPr>
            <w:tcW w:w="140" w:type="dxa"/>
            <w:vAlign w:val="bottom"/>
            <w:tcBorders>
              <w:bottom w:val="single" w:sz="8" w:color="E4E4E4"/>
            </w:tcBorders>
            <w:shd w:val="clear" w:color="auto" w:fill="E4E4E4"/>
          </w:tcPr>
          <w:p>
            <w:pPr>
              <w:spacing w:after="0"/>
              <w:rPr>
                <w:sz w:val="19"/>
                <w:szCs w:val="19"/>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8"/>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tc>
        <w:tc>
          <w:tcPr>
            <w:tcW w:w="140" w:type="dxa"/>
            <w:vAlign w:val="bottom"/>
            <w:tcBorders>
              <w:bottom w:val="single" w:sz="8" w:color="auto"/>
            </w:tcBorders>
            <w:shd w:val="clear" w:color="auto" w:fill="E4E4E4"/>
          </w:tcPr>
          <w:p>
            <w:pPr>
              <w:spacing w:after="0"/>
              <w:rPr>
                <w:sz w:val="21"/>
                <w:szCs w:val="21"/>
                <w:color w:val="auto"/>
              </w:rPr>
            </w:pP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Borders>
              <w:bottom w:val="single" w:sz="8" w:color="auto"/>
            </w:tcBorders>
            <w:shd w:val="clear" w:color="auto" w:fill="E4E4E4"/>
          </w:tcPr>
          <w:p>
            <w:pPr>
              <w:spacing w:after="0"/>
              <w:rPr>
                <w:sz w:val="21"/>
                <w:szCs w:val="21"/>
                <w:color w:val="auto"/>
              </w:rPr>
            </w:pP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762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b w:val="1"/>
                <w:bCs w:val="1"/>
                <w:color w:val="auto"/>
              </w:rPr>
              <w:t>All other non-current liabilities</w:t>
            </w:r>
            <w:r>
              <w:rPr>
                <w:rFonts w:ascii="Arial" w:cs="Arial" w:eastAsia="Arial" w:hAnsi="Arial"/>
                <w:sz w:val="21"/>
                <w:szCs w:val="21"/>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1,603</w:t>
            </w:r>
          </w:p>
        </w:tc>
      </w:tr>
    </w:tbl>
    <w:p>
      <w:pPr>
        <w:spacing w:after="0" w:line="67" w:lineRule="exact"/>
        <w:rPr>
          <w:sz w:val="20"/>
          <w:szCs w:val="20"/>
          <w:color w:val="auto"/>
        </w:rPr>
      </w:pPr>
    </w:p>
    <w:p>
      <w:pPr>
        <w:ind w:left="260" w:hanging="252"/>
        <w:spacing w:after="0" w:line="265" w:lineRule="auto"/>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 compensation and benefit liabilities consists of incentive compensation and commissions, pension and other postretirement benefit obligations, payroll accruals, deferred compensation, and other employee related liabilities.</w:t>
      </w:r>
    </w:p>
    <w:p>
      <w:pPr>
        <w:spacing w:after="0" w:line="1" w:lineRule="exact"/>
        <w:rPr>
          <w:rFonts w:ascii="Arial" w:cs="Arial" w:eastAsia="Arial" w:hAnsi="Arial"/>
          <w:sz w:val="16"/>
          <w:szCs w:val="16"/>
          <w:color w:val="auto"/>
        </w:rPr>
      </w:pPr>
    </w:p>
    <w:p>
      <w:pPr>
        <w:ind w:left="260" w:right="860" w:hanging="252"/>
        <w:spacing w:after="0" w:line="252" w:lineRule="auto"/>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13, “Financial Instruments and Fair Value Measurements”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accrued costs, dividends payable to shareholders, and contingent consideration liabilities.</w:t>
      </w:r>
    </w:p>
    <w:p>
      <w:pPr>
        <w:spacing w:after="0" w:line="8" w:lineRule="exact"/>
        <w:rPr>
          <w:rFonts w:ascii="Arial" w:cs="Arial" w:eastAsia="Arial" w:hAnsi="Arial"/>
          <w:sz w:val="16"/>
          <w:szCs w:val="16"/>
          <w:color w:val="auto"/>
        </w:rPr>
      </w:pPr>
    </w:p>
    <w:p>
      <w:pPr>
        <w:ind w:left="260" w:right="180" w:hanging="252"/>
        <w:spacing w:after="0" w:line="255" w:lineRule="auto"/>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other current and non-current liabilities increased in the year ended December 31, 2023, primarily due to liabilities transferred from GE as a result of the Spin-Off. Refer to Note 1, “Organization and Basis of Presentation” for further information.</w:t>
      </w: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Non-current Other primarily consists of miscellaneous accrued costs, contingent consideration liabilities, and indemnities due to GE.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Included within Accounts payable in the Consolidated and Combined Statements of Financial Position as of December 31, 2023 and 2022 were $365 million and $392 million, respectively, of confirmed supplier invoices that are outstanding and subject to third-party programs. See Note 2, “Summary of Significant Accounting Policies” for further information regarding our supply chain finance programs.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COLLABORATIVE ARRANGEMENTS.</w:t>
      </w:r>
    </w:p>
    <w:p>
      <w:pPr>
        <w:spacing w:after="0" w:line="262"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In October 2023, we entered into a Collaboration and License Agreement (“Agreement”) with Novo Nordisk (“Novo”) to pursue a collaboration on the development, regulatory approval and commercialization of an ultrasound therapy. Under the terms of the Agreement, in return for providing development activities associated with the development of the underlying ultrasound device to deliver Novo’s clinical therapies, we received an upfront nonrefundable payment with the potential for additional nonrefundable payments over the next four years. We will recognize the nonrefundable payments as an offset to R&amp;D expense as we perform activities contemplated under the Agreement. These nonrefundable payments are not material. We may also receive future payments based on the achievement of certain development milestones and regulatory approvals associated with the ultrasound therapy.</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Consolidated and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years ended December 31, 2023, 2022, and 2021 is presented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years ended December 31</w:t>
            </w:r>
          </w:p>
        </w:tc>
        <w:tc>
          <w:tcPr>
            <w:tcW w:w="1260" w:type="dxa"/>
            <w:vAlign w:val="bottom"/>
          </w:tcPr>
          <w:p>
            <w:pPr>
              <w:spacing w:after="0"/>
              <w:rPr>
                <w:sz w:val="21"/>
                <w:szCs w:val="21"/>
                <w:color w:val="auto"/>
              </w:rPr>
            </w:pPr>
          </w:p>
        </w:tc>
      </w:tr>
      <w:tr>
        <w:trPr>
          <w:trHeight w:val="21"/>
        </w:trPr>
        <w:tc>
          <w:tcPr>
            <w:tcW w:w="5820" w:type="dxa"/>
            <w:vAlign w:val="bottom"/>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0"/>
        </w:trPr>
        <w:tc>
          <w:tcPr>
            <w:tcW w:w="5820" w:type="dxa"/>
            <w:vAlign w:val="bottom"/>
            <w:tcBorders>
              <w:bottom w:val="single" w:sz="8" w:color="6022A6"/>
            </w:tcBorders>
          </w:tcPr>
          <w:p>
            <w:pPr>
              <w:spacing w:after="0"/>
              <w:rPr>
                <w:sz w:val="19"/>
                <w:szCs w:val="19"/>
                <w:color w:val="auto"/>
              </w:rPr>
            </w:pPr>
          </w:p>
        </w:tc>
        <w:tc>
          <w:tcPr>
            <w:tcW w:w="124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2023</w:t>
            </w:r>
          </w:p>
        </w:tc>
        <w:tc>
          <w:tcPr>
            <w:tcW w:w="560" w:type="dxa"/>
            <w:vAlign w:val="bottom"/>
            <w:tcBorders>
              <w:bottom w:val="single" w:sz="8" w:color="6022A6"/>
            </w:tcBorders>
          </w:tcPr>
          <w:p>
            <w:pPr>
              <w:spacing w:after="0"/>
              <w:rPr>
                <w:sz w:val="19"/>
                <w:szCs w:val="19"/>
                <w:color w:val="auto"/>
              </w:rPr>
            </w:pPr>
          </w:p>
        </w:tc>
        <w:tc>
          <w:tcPr>
            <w:tcW w:w="42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2022</w:t>
            </w:r>
          </w:p>
        </w:tc>
        <w:tc>
          <w:tcPr>
            <w:tcW w:w="560" w:type="dxa"/>
            <w:vAlign w:val="bottom"/>
            <w:tcBorders>
              <w:bottom w:val="single" w:sz="8" w:color="6022A6"/>
            </w:tcBorders>
          </w:tcPr>
          <w:p>
            <w:pPr>
              <w:spacing w:after="0"/>
              <w:rPr>
                <w:sz w:val="19"/>
                <w:szCs w:val="19"/>
                <w:color w:val="auto"/>
              </w:rPr>
            </w:pPr>
          </w:p>
        </w:tc>
        <w:tc>
          <w:tcPr>
            <w:tcW w:w="126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2021</w:t>
            </w:r>
          </w:p>
        </w:tc>
      </w:tr>
      <w:tr>
        <w:trPr>
          <w:trHeight w:val="233"/>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240" w:type="dxa"/>
            <w:vAlign w:val="bottom"/>
            <w:tcBorders>
              <w:bottom w:val="single" w:sz="8" w:color="E4E4E4"/>
            </w:tcBorders>
            <w:shd w:val="clear" w:color="auto" w:fill="E4E4E4"/>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223</w:t>
            </w:r>
          </w:p>
        </w:tc>
      </w:tr>
      <w:tr>
        <w:trPr>
          <w:trHeight w:val="228"/>
        </w:trPr>
        <w:tc>
          <w:tcPr>
            <w:tcW w:w="58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w:t>
            </w: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9"/>
        </w:trPr>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58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124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420" w:type="dxa"/>
            <w:vAlign w:val="bottom"/>
            <w:shd w:val="clear" w:color="auto" w:fill="E4E4E4"/>
          </w:tcPr>
          <w:p>
            <w:pPr>
              <w:spacing w:after="0"/>
              <w:rPr>
                <w:sz w:val="22"/>
                <w:szCs w:val="22"/>
                <w:color w:val="auto"/>
              </w:rPr>
            </w:pPr>
          </w:p>
        </w:tc>
        <w:tc>
          <w:tcPr>
            <w:tcW w:w="13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4E4E4"/>
          </w:tcPr>
          <w:p>
            <w:pPr>
              <w:spacing w:after="0"/>
              <w:rPr>
                <w:sz w:val="22"/>
                <w:szCs w:val="22"/>
                <w:color w:val="auto"/>
              </w:rPr>
            </w:pPr>
          </w:p>
        </w:tc>
        <w:tc>
          <w:tcPr>
            <w:tcW w:w="12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 and other</w:t>
            </w:r>
            <w:r>
              <w:rPr>
                <w:rFonts w:ascii="Arial" w:cs="Arial" w:eastAsia="Arial" w:hAnsi="Arial"/>
                <w:sz w:val="21"/>
                <w:szCs w:val="21"/>
                <w:color w:val="auto"/>
                <w:vertAlign w:val="superscript"/>
              </w:rPr>
              <w:t>(2)</w:t>
            </w:r>
          </w:p>
        </w:tc>
        <w:tc>
          <w:tcPr>
            <w:tcW w:w="1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240" w:type="dxa"/>
            <w:vAlign w:val="bottom"/>
            <w:tcBorders>
              <w:bottom w:val="single" w:sz="8" w:color="E4E4E4"/>
            </w:tcBorders>
            <w:shd w:val="clear" w:color="auto" w:fill="E4E4E4"/>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w:t>
            </w:r>
          </w:p>
        </w:tc>
      </w:tr>
      <w:tr>
        <w:trPr>
          <w:trHeight w:val="20"/>
        </w:trPr>
        <w:tc>
          <w:tcPr>
            <w:tcW w:w="58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0" w:hanging="252"/>
        <w:spacing w:after="0" w:line="259"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These redeemable noncontrolling interests were remeasured to their current redemption value resulting in a redemption value adjustment of $183 million. The remeasurement was accounted for as a deemed preferred stock dividend of redeemable noncontrolling interest and recorded as an adjustment to retained earnings.</w:t>
      </w:r>
    </w:p>
    <w:p>
      <w:pPr>
        <w:ind w:left="260" w:right="420" w:hanging="252"/>
        <w:spacing w:after="0" w:line="270"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redemption amount of $211 million was paid in the second quarter of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9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years ended December 31</w:t>
            </w:r>
          </w:p>
        </w:tc>
        <w:tc>
          <w:tcPr>
            <w:tcW w:w="1220" w:type="dxa"/>
            <w:vAlign w:val="bottom"/>
          </w:tcPr>
          <w:p>
            <w:pPr>
              <w:spacing w:after="0"/>
              <w:rPr>
                <w:sz w:val="21"/>
                <w:szCs w:val="21"/>
                <w:color w:val="auto"/>
              </w:rPr>
            </w:pPr>
          </w:p>
        </w:tc>
      </w:tr>
      <w:tr>
        <w:trPr>
          <w:trHeight w:val="21"/>
        </w:trPr>
        <w:tc>
          <w:tcPr>
            <w:tcW w:w="582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46"/>
        </w:trPr>
        <w:tc>
          <w:tcPr>
            <w:tcW w:w="5820" w:type="dxa"/>
            <w:vAlign w:val="bottom"/>
            <w:tcBorders>
              <w:bottom w:val="single" w:sz="8" w:color="6022A6"/>
            </w:tcBorders>
          </w:tcPr>
          <w:p>
            <w:pPr>
              <w:spacing w:after="0"/>
              <w:rPr>
                <w:sz w:val="21"/>
                <w:szCs w:val="21"/>
                <w:color w:val="auto"/>
              </w:rPr>
            </w:pPr>
          </w:p>
        </w:tc>
        <w:tc>
          <w:tcPr>
            <w:tcW w:w="126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2023</w:t>
            </w:r>
          </w:p>
        </w:tc>
        <w:tc>
          <w:tcPr>
            <w:tcW w:w="540" w:type="dxa"/>
            <w:vAlign w:val="bottom"/>
            <w:tcBorders>
              <w:bottom w:val="single" w:sz="8" w:color="6022A6"/>
            </w:tcBorders>
          </w:tcPr>
          <w:p>
            <w:pPr>
              <w:spacing w:after="0"/>
              <w:rPr>
                <w:sz w:val="21"/>
                <w:szCs w:val="21"/>
                <w:color w:val="auto"/>
              </w:rPr>
            </w:pPr>
          </w:p>
        </w:tc>
        <w:tc>
          <w:tcPr>
            <w:tcW w:w="420" w:type="dxa"/>
            <w:vAlign w:val="bottom"/>
            <w:tcBorders>
              <w:bottom w:val="single" w:sz="8" w:color="6022A6"/>
            </w:tcBorders>
          </w:tcPr>
          <w:p>
            <w:pPr>
              <w:spacing w:after="0"/>
              <w:rPr>
                <w:sz w:val="21"/>
                <w:szCs w:val="21"/>
                <w:color w:val="auto"/>
              </w:rPr>
            </w:pPr>
          </w:p>
        </w:tc>
        <w:tc>
          <w:tcPr>
            <w:tcW w:w="138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2022</w:t>
            </w:r>
          </w:p>
        </w:tc>
        <w:tc>
          <w:tcPr>
            <w:tcW w:w="600" w:type="dxa"/>
            <w:vAlign w:val="bottom"/>
            <w:tcBorders>
              <w:bottom w:val="single" w:sz="8" w:color="6022A6"/>
            </w:tcBorders>
          </w:tcPr>
          <w:p>
            <w:pPr>
              <w:spacing w:after="0"/>
              <w:rPr>
                <w:sz w:val="21"/>
                <w:szCs w:val="21"/>
                <w:color w:val="auto"/>
              </w:rPr>
            </w:pPr>
          </w:p>
        </w:tc>
        <w:tc>
          <w:tcPr>
            <w:tcW w:w="122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2021</w:t>
            </w:r>
          </w:p>
        </w:tc>
      </w:tr>
      <w:tr>
        <w:trPr>
          <w:trHeight w:val="234"/>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interest and investment income (expense)</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600" w:type="dxa"/>
            <w:vAlign w:val="bottom"/>
            <w:tcBorders>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8"/>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2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42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62</w:t>
            </w:r>
          </w:p>
        </w:tc>
        <w:tc>
          <w:tcPr>
            <w:tcW w:w="600" w:type="dxa"/>
            <w:vAlign w:val="bottom"/>
            <w:tcBorders>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123</w:t>
            </w:r>
          </w:p>
        </w:tc>
      </w:tr>
      <w:tr>
        <w:trPr>
          <w:trHeight w:val="20"/>
        </w:trPr>
        <w:tc>
          <w:tcPr>
            <w:tcW w:w="58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275" w:lineRule="auto"/>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Other items, net primarily consists of change in tax indemnities with GE, lease income, gains and losses related to derivatives, and licensing and royalty income for the year ended December 31, 2023, and licensing and royalty income and gains and losses related to derivatives for the years ended December 31, 2022 and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TO SPIN-OFF.</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Prior to the Spin-Off, GE provided the Company with significant corporate infrastructure and shared services. Some of these services continue to be provided by GE to the Company on a temporary basis under the Transition Services Agreement, as discussed below. The following disclosures summarize related party activity between GE HealthCare and GE. This activity, which occurred prior to the Spin-Off, is included in the combined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Pensions, Benefit, and Contribution Plans</w:t>
      </w:r>
    </w:p>
    <w:p>
      <w:pPr>
        <w:spacing w:after="0" w:line="19" w:lineRule="exact"/>
        <w:rPr>
          <w:sz w:val="20"/>
          <w:szCs w:val="20"/>
          <w:color w:val="auto"/>
        </w:rPr>
      </w:pPr>
    </w:p>
    <w:p>
      <w:pPr>
        <w:jc w:val="both"/>
        <w:ind w:right="440"/>
        <w:spacing w:after="0" w:line="264" w:lineRule="auto"/>
        <w:rPr>
          <w:sz w:val="20"/>
          <w:szCs w:val="20"/>
          <w:color w:val="auto"/>
        </w:rPr>
      </w:pPr>
      <w:r>
        <w:rPr>
          <w:rFonts w:ascii="Arial" w:cs="Arial" w:eastAsia="Arial" w:hAnsi="Arial"/>
          <w:sz w:val="16"/>
          <w:szCs w:val="16"/>
          <w:color w:val="auto"/>
        </w:rPr>
        <w:t>As discussed in Note 10, “Postretirement Benefit Plans”, employees of the Company participated in pensions, benefit, and contribution plans that were sponsored by GE. The Company was charged $207 million and $237 million for the years ended December 31, 2022 and 2021, respectively, related to employee participation in these plans. In connection with the Spin-Off, a portion of the plans was transferred to the Company.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i w:val="1"/>
          <w:iCs w:val="1"/>
          <w:color w:val="auto"/>
        </w:rPr>
        <w:t>Share-based Compensation</w:t>
      </w:r>
    </w:p>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GE granted various employee benefits to its group employees, including those of the Company, under the GE Long-Term Incentive Plan. These benefits primarily included stock options and restricted stock units. Compensation expense allocated to the Company was $67 million and $76 million for the years ended December 31, 2022 and 2021, respectively, and is primarily recognized within SG&amp;A in the Combined Statements of Income.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Overhead and Other Allocations from GE</w:t>
      </w:r>
    </w:p>
    <w:p>
      <w:pPr>
        <w:spacing w:after="0" w:line="19" w:lineRule="exact"/>
        <w:rPr>
          <w:sz w:val="20"/>
          <w:szCs w:val="20"/>
          <w:color w:val="auto"/>
        </w:rPr>
      </w:pPr>
    </w:p>
    <w:p>
      <w:pPr>
        <w:ind w:right="1100"/>
        <w:spacing w:after="0" w:line="265" w:lineRule="auto"/>
        <w:rPr>
          <w:sz w:val="20"/>
          <w:szCs w:val="20"/>
          <w:color w:val="auto"/>
        </w:rPr>
      </w:pPr>
      <w:r>
        <w:rPr>
          <w:rFonts w:ascii="Arial" w:cs="Arial" w:eastAsia="Arial" w:hAnsi="Arial"/>
          <w:sz w:val="16"/>
          <w:szCs w:val="16"/>
          <w:color w:val="auto"/>
        </w:rPr>
        <w:t>GE provided certain services described below that were charged to the Company based on employee headcount, revenue, or other allocation methodologies.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Corporate Allocations from GE</w:t>
            </w:r>
          </w:p>
        </w:tc>
        <w:tc>
          <w:tcPr>
            <w:tcW w:w="180" w:type="dxa"/>
            <w:vAlign w:val="bottom"/>
          </w:tcPr>
          <w:p>
            <w:pPr>
              <w:spacing w:after="0"/>
              <w:rPr>
                <w:sz w:val="19"/>
                <w:szCs w:val="19"/>
                <w:color w:val="auto"/>
              </w:rPr>
            </w:pPr>
          </w:p>
        </w:tc>
        <w:tc>
          <w:tcPr>
            <w:tcW w:w="36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454545"/>
              </w:rPr>
              <w:t>For the years ended</w:t>
            </w:r>
          </w:p>
        </w:tc>
      </w:tr>
      <w:tr>
        <w:trPr>
          <w:trHeight w:val="21"/>
        </w:trPr>
        <w:tc>
          <w:tcPr>
            <w:tcW w:w="73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38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72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December 31, 2022</w:t>
            </w:r>
          </w:p>
        </w:tc>
        <w:tc>
          <w:tcPr>
            <w:tcW w:w="200" w:type="dxa"/>
            <w:vAlign w:val="bottom"/>
            <w:tcBorders>
              <w:bottom w:val="single" w:sz="8" w:color="6022A6"/>
            </w:tcBorders>
          </w:tcPr>
          <w:p>
            <w:pPr>
              <w:spacing w:after="0"/>
              <w:rPr>
                <w:sz w:val="19"/>
                <w:szCs w:val="19"/>
                <w:color w:val="auto"/>
              </w:rPr>
            </w:pPr>
          </w:p>
        </w:tc>
        <w:tc>
          <w:tcPr>
            <w:tcW w:w="176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2021</w:t>
            </w:r>
          </w:p>
        </w:tc>
      </w:tr>
      <w:tr>
        <w:trPr>
          <w:trHeight w:val="240"/>
        </w:trPr>
        <w:tc>
          <w:tcPr>
            <w:tcW w:w="738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Costs for centralized services</w:t>
            </w:r>
            <w:r>
              <w:rPr>
                <w:rFonts w:ascii="Arial" w:cs="Arial" w:eastAsia="Arial" w:hAnsi="Arial"/>
                <w:sz w:val="21"/>
                <w:szCs w:val="21"/>
                <w:color w:val="auto"/>
                <w:vertAlign w:val="superscript"/>
              </w:rPr>
              <w:t>(1)</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56</w:t>
            </w:r>
          </w:p>
        </w:tc>
      </w:tr>
      <w:tr>
        <w:trPr>
          <w:trHeight w:val="243"/>
        </w:trPr>
        <w:tc>
          <w:tcPr>
            <w:tcW w:w="7380" w:type="dxa"/>
            <w:vAlign w:val="bottom"/>
          </w:tcPr>
          <w:p>
            <w:pPr>
              <w:ind w:left="20"/>
              <w:spacing w:after="0"/>
              <w:rPr>
                <w:sz w:val="20"/>
                <w:szCs w:val="20"/>
                <w:color w:val="auto"/>
              </w:rPr>
            </w:pPr>
            <w:r>
              <w:rPr>
                <w:rFonts w:ascii="Arial" w:cs="Arial" w:eastAsia="Arial" w:hAnsi="Arial"/>
                <w:sz w:val="16"/>
                <w:szCs w:val="16"/>
                <w:color w:val="auto"/>
              </w:rPr>
              <w:t>Costs associated with employee medical insurance</w:t>
            </w:r>
            <w:r>
              <w:rPr>
                <w:rFonts w:ascii="Arial" w:cs="Arial" w:eastAsia="Arial" w:hAnsi="Arial"/>
                <w:sz w:val="21"/>
                <w:szCs w:val="21"/>
                <w:color w:val="auto"/>
                <w:vertAlign w:val="superscript"/>
              </w:rPr>
              <w:t>(2)</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43"/>
        </w:trPr>
        <w:tc>
          <w:tcPr>
            <w:tcW w:w="73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Costs for corporate and shared services</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200" w:type="dxa"/>
            <w:vAlign w:val="bottom"/>
            <w:tcBorders>
              <w:bottom w:val="single" w:sz="8" w:color="auto"/>
            </w:tcBorders>
            <w:shd w:val="clear" w:color="auto" w:fill="E4E4E4"/>
          </w:tcPr>
          <w:p>
            <w:pPr>
              <w:spacing w:after="0"/>
              <w:rPr>
                <w:sz w:val="21"/>
                <w:szCs w:val="21"/>
                <w:color w:val="auto"/>
              </w:rPr>
            </w:pPr>
          </w:p>
        </w:tc>
        <w:tc>
          <w:tcPr>
            <w:tcW w:w="1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455</w:t>
            </w:r>
          </w:p>
        </w:tc>
      </w:tr>
    </w:tbl>
    <w:p>
      <w:pPr>
        <w:spacing w:after="0" w:line="80" w:lineRule="exact"/>
        <w:rPr>
          <w:sz w:val="20"/>
          <w:szCs w:val="20"/>
          <w:color w:val="auto"/>
        </w:rPr>
      </w:pPr>
    </w:p>
    <w:p>
      <w:pPr>
        <w:ind w:left="260" w:right="740" w:hanging="252"/>
        <w:spacing w:after="0" w:line="256"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Costs for centralized services such as public relations, treasury and cash management, and other services were recognized within SG&amp;A in the Combined Statements of Income.</w:t>
      </w:r>
    </w:p>
    <w:p>
      <w:pPr>
        <w:spacing w:after="0" w:line="1" w:lineRule="exact"/>
        <w:rPr>
          <w:rFonts w:ascii="Arial" w:cs="Arial" w:eastAsia="Arial" w:hAnsi="Arial"/>
          <w:sz w:val="16"/>
          <w:szCs w:val="16"/>
          <w:color w:val="auto"/>
        </w:rPr>
      </w:pPr>
    </w:p>
    <w:p>
      <w:pPr>
        <w:ind w:left="260" w:right="660" w:hanging="252"/>
        <w:spacing w:after="0" w:line="255"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Costs associated with employee medical insurance were recognized within Cost of products, Cost of services, SG&amp;A, and R&amp;D in the Combined Statements of Income based on the employee population.</w:t>
      </w:r>
    </w:p>
    <w:p>
      <w:pPr>
        <w:ind w:left="260" w:right="160" w:hanging="252"/>
        <w:spacing w:after="0" w:line="283"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Costs for corporate and shared services such as information technology, finance and other services were primarily recognized in SG&amp;A and R&amp;D in the Combined Statements of Income.</w:t>
      </w:r>
    </w:p>
    <w:p>
      <w:pPr>
        <w:spacing w:after="0" w:line="185"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Management believes that the expense and cost allocations have been determined on a basis that is a reasonable reflection of the utilization of services provided or the benefit received by the Company during the years ended December 31, 2022 and 2021. The amounts that would have been, or will be, incurred on a stand-alone basis could materially differ from the amounts allocated due to economies of scale, difference in management judgment, a requirement for more or fewer employees, or other factors.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SPIN-OFF.</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GE, including, but not limited to, the following which had activity during the year ended December 31, 2023:</w:t>
      </w:r>
    </w:p>
    <w:p>
      <w:pPr>
        <w:spacing w:after="0" w:line="246" w:lineRule="exact"/>
        <w:rPr>
          <w:sz w:val="20"/>
          <w:szCs w:val="20"/>
          <w:color w:val="auto"/>
        </w:rPr>
      </w:pPr>
    </w:p>
    <w:p>
      <w:pPr>
        <w:ind w:left="660" w:right="100" w:hanging="328"/>
        <w:spacing w:after="0" w:line="266"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 sets forth the principal actions to be taken in connection with the Spin-Off, including the transfer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assumption of liabilities, and establishes certain rights and obligations between the Company and GE following the Distribution, including procedures with respect to claims subject to indemnification and related matters.</w:t>
      </w:r>
    </w:p>
    <w:p>
      <w:pPr>
        <w:spacing w:after="0" w:line="211" w:lineRule="exact"/>
        <w:rPr>
          <w:rFonts w:ascii="Arial" w:cs="Arial" w:eastAsia="Arial" w:hAnsi="Arial"/>
          <w:sz w:val="16"/>
          <w:szCs w:val="16"/>
          <w:color w:val="auto"/>
        </w:rPr>
      </w:pPr>
    </w:p>
    <w:p>
      <w:pPr>
        <w:ind w:left="660" w:hanging="328"/>
        <w:spacing w:after="0" w:line="261"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 governs all matters relating to the provision of services between the Company and GE on a transitional basis.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Company receives include support for information technology, human resources, supply chain, finance, and facilities services, among others. Some of these costs were included in the Corporate allocations from GE prior to Spin-Off. The services generally commenced on the date of the Spin-Off and will terminate up to 24 months following the Distribution Date depending upon the related transitional service. For the year ended December 31, 2023, we incurred $372 million, net, which represents fees charged from GE to the Company primarily for information technology, human resources, and R&amp;D and is net of fees charged from the Company to GE for facilities and other shared services.</w:t>
      </w:r>
    </w:p>
    <w:p>
      <w:pPr>
        <w:spacing w:after="0" w:line="203" w:lineRule="exact"/>
        <w:rPr>
          <w:rFonts w:ascii="Arial" w:cs="Arial" w:eastAsia="Arial" w:hAnsi="Arial"/>
          <w:sz w:val="16"/>
          <w:szCs w:val="16"/>
          <w:color w:val="auto"/>
        </w:rPr>
      </w:pPr>
    </w:p>
    <w:p>
      <w:pPr>
        <w:ind w:left="660" w:right="20" w:hanging="328"/>
        <w:spacing w:after="0" w:line="272"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w:t>
      </w:r>
      <w:r>
        <w:rPr>
          <w:rFonts w:ascii="Arial" w:cs="Arial" w:eastAsia="Arial" w:hAnsi="Arial"/>
          <w:sz w:val="16"/>
          <w:szCs w:val="16"/>
          <w:color w:val="auto"/>
        </w:rPr>
        <w:t>– governs the respective rights, responsibilities, and obligations between the Company and GE with respect to all tax</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(excluding employee-related taxes covered under the Employee Matters Agreement),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strategic transactions. The Tax Matters Agreement specifies the portion of tax liability for which the Company will bear contractual responsibility, and the Company and GE will each agree to indemnify each other against any amounts for which such indemnified party is not responsible.</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Current amounts due from and to GE under the various agreements described above are recognized within Due from related parties or Due to related parties, as applicable, in the Consolidated and Combined Statements of Financial Position. Non-current amounts due from GE were $81 million and due to GE were $33 million, and were recognized within All other assets and All other liabilities, respectively, in the Consolidated Statement of Financial Position as of December 31, 2023. These amounts primarily relate to tax and other indemnities.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20. DISCONTINUED OPERATIONS</w:t>
      </w:r>
    </w:p>
    <w:p>
      <w:pPr>
        <w:spacing w:after="0" w:line="257"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On March 31, 2020, we completed the sale of our BioPharma business to Danaher Corporation for $20,718 million. Activity within discontinued operations for the years ended December 31, 2023, 2022, and 2021 primarily relates to gain on disposal and Benefit (provision) for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2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On January 8, 2024, we announced an agreement to acquire MIM Software, a global provider of medical imaging analysis and AI solutions for the practice of radiation oncology, molecular radiotherapy, diagnostic imaging, and urology at imaging centers, hospitals, specialty clinics, and research organizations worldwide. The transaction is subject to customary closing conditions, including regulatory approvals.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January 22, 2024, we repaid an additional $150 million of the outstanding Term Loan Facility.</w:t>
      </w:r>
    </w:p>
    <w:p>
      <w:pPr>
        <w:spacing w:after="0" w:line="2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January 22, 2024, we executed an additional $700 million of interest-rate swap contracts to hedge the benchmark interest rate risk of specific designated cash flows of our senior unsecured notes. These derivatives are designated as fair value hedges.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conducted an evaluation of its disclosure controls and procedures as defined under Rules 13a-15(e) and 15d-15(e) under the Exchange Act. Based on this evaluation, the Chief Executive Officer and Chief Financial Officer concluded that the Company’s disclosure controls and procedures were effective as of December 31, 2023,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Management has evaluated the effectiveness of the internal controls over financial reporting, based on the framework and criteria established in Internal Control – Integrated Framework (2013) issued by the Committee of Sponsoring Organizations of the Treadway Commission, and concluded that they were effective as of December 31, 2023. All internal control systems have inherent limitations; as such, they may not prevent or detect all misstatements or fraud. Therefore, even those internal controls systems determined to be effective can provide only reasonable assurance with respect to financial statements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21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effectiveness of such controls has been audited by Deloitte &amp; Touche LLP, our independent registered public accounting firm, as stated in their report included in Item 8, “Financial Statements and Supplementary Data”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the fourth quarter of 2023, the Company exited from various transition services arrangements with GE related to IT systems that impact financial reporting. Responsibility for execution of related internal controls transferred to the Company. Management has evaluated effectiveness of these controls as part of its overall internal control over financial reporting evaluation. Besides those previously discussed, there were no other changes in the Company’s internal control over financial reporting that occurred during the quarter ended December 31,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information required under this item, with the exception of “Information About Our Executive Officers” and “Ethics and Governance” located under Item 1 of this Annual Report on Form 10-K, is incorporated by reference to the Company’s definitive proxy statement pursuant to Regulation 14A, which will be filed with the Securities and Exchange Commission no later than 120 days after the close of the Company’s fiscal year ended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2023.</w:t>
      </w:r>
    </w:p>
    <w:p>
      <w:pPr>
        <w:spacing w:after="0" w:line="191"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for a listing of our financial statements.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SCHEDULES.</w:t>
      </w:r>
    </w:p>
    <w:p>
      <w:pPr>
        <w:spacing w:after="0" w:line="24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Schedules required by Regulation S-X (17 CFR 210) are omitted because they are either not applicable or the financial information is already included within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3"/>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454545"/>
              </w:rPr>
              <w:t>Number</w:t>
            </w:r>
          </w:p>
        </w:tc>
        <w:tc>
          <w:tcPr>
            <w:tcW w:w="10200" w:type="dxa"/>
            <w:vAlign w:val="bottom"/>
            <w:gridSpan w:val="33"/>
          </w:tcPr>
          <w:p>
            <w:pPr>
              <w:spacing w:after="0"/>
              <w:rPr>
                <w:sz w:val="20"/>
                <w:szCs w:val="20"/>
                <w:color w:val="auto"/>
              </w:rPr>
            </w:pPr>
            <w:r>
              <w:rPr>
                <w:rFonts w:ascii="Arial" w:cs="Arial" w:eastAsia="Arial" w:hAnsi="Arial"/>
                <w:sz w:val="16"/>
                <w:szCs w:val="16"/>
                <w:b w:val="1"/>
                <w:bCs w:val="1"/>
                <w:color w:val="454545"/>
              </w:rPr>
              <w:t>Description</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330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12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6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vMerge w:val="restart"/>
            <w:shd w:val="clear" w:color="auto" w:fill="E4E4E4"/>
          </w:tcPr>
          <w:p>
            <w:pPr>
              <w:jc w:val="center"/>
              <w:spacing w:after="0"/>
              <w:rPr>
                <w:sz w:val="20"/>
                <w:szCs w:val="20"/>
                <w:color w:val="auto"/>
              </w:rPr>
            </w:pPr>
            <w:r>
              <w:rPr>
                <w:rFonts w:ascii="Arial" w:cs="Arial" w:eastAsia="Arial" w:hAnsi="Arial"/>
                <w:sz w:val="16"/>
                <w:szCs w:val="16"/>
                <w:color w:val="auto"/>
              </w:rPr>
              <w:t>2.1</w:t>
            </w:r>
          </w:p>
        </w:tc>
        <w:tc>
          <w:tcPr>
            <w:tcW w:w="10200" w:type="dxa"/>
            <w:vAlign w:val="bottom"/>
            <w:tcBorders>
              <w:left w:val="single" w:sz="8" w:color="E4E4E4"/>
            </w:tcBorders>
            <w:gridSpan w:val="33"/>
            <w:shd w:val="clear" w:color="auto" w:fill="E4E4E4"/>
          </w:tcPr>
          <w:p>
            <w:pPr>
              <w:spacing w:after="0" w:line="183" w:lineRule="exact"/>
              <w:rPr>
                <w:rFonts w:ascii="Arial" w:cs="Arial" w:eastAsia="Arial" w:hAnsi="Arial"/>
                <w:sz w:val="16"/>
                <w:szCs w:val="16"/>
                <w:color w:val="0000FF"/>
              </w:rPr>
            </w:pPr>
            <w:hyperlink r:id="rId141">
              <w:r>
                <w:rPr>
                  <w:rFonts w:ascii="Arial" w:cs="Arial" w:eastAsia="Arial" w:hAnsi="Arial"/>
                  <w:sz w:val="16"/>
                  <w:szCs w:val="16"/>
                  <w:color w:val="0000FF"/>
                </w:rPr>
                <w:t>Separation and Distribution Agreement, dated November 7, 2022, by and between General Electric Company and the Registrant, as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vMerge w:val="continue"/>
            <w:shd w:val="clear" w:color="auto" w:fill="E4E4E4"/>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8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6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tcBorders>
              <w:left w:val="single" w:sz="8" w:color="E4E4E4"/>
            </w:tcBorders>
            <w:gridSpan w:val="33"/>
            <w:vMerge w:val="restart"/>
            <w:shd w:val="clear" w:color="auto" w:fill="E4E4E4"/>
          </w:tcPr>
          <w:p>
            <w:pPr>
              <w:spacing w:after="0" w:line="183" w:lineRule="exact"/>
              <w:rPr>
                <w:rFonts w:ascii="Arial" w:cs="Arial" w:eastAsia="Arial" w:hAnsi="Arial"/>
                <w:sz w:val="16"/>
                <w:szCs w:val="16"/>
                <w:color w:val="0000FF"/>
              </w:rPr>
            </w:pPr>
            <w:hyperlink r:id="rId141">
              <w:r>
                <w:rPr>
                  <w:rFonts w:ascii="Arial" w:cs="Arial" w:eastAsia="Arial" w:hAnsi="Arial"/>
                  <w:sz w:val="16"/>
                  <w:szCs w:val="16"/>
                  <w:color w:val="0000FF"/>
                </w:rPr>
                <w:t>amended (incorporated by reference to Exhibit 2.1 to the Registrant’s Current Report on Form 8-K filed with the SEC on January 4, 2023).</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tcBorders>
              <w:left w:val="single" w:sz="8" w:color="E4E4E4"/>
            </w:tcBorders>
            <w:gridSpan w:val="33"/>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64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1080" w:type="dxa"/>
            <w:vAlign w:val="bottom"/>
            <w:tcBorders>
              <w:top w:val="single" w:sz="8" w:color="0000FF"/>
            </w:tcBorders>
            <w:shd w:val="clear" w:color="auto" w:fill="E4E4E4"/>
          </w:tcPr>
          <w:p>
            <w:pPr>
              <w:spacing w:after="0"/>
              <w:rPr>
                <w:sz w:val="4"/>
                <w:szCs w:val="4"/>
                <w:color w:val="auto"/>
              </w:rPr>
            </w:pPr>
          </w:p>
        </w:tc>
        <w:tc>
          <w:tcPr>
            <w:tcW w:w="3300" w:type="dxa"/>
            <w:vAlign w:val="bottom"/>
            <w:tcBorders>
              <w:top w:val="single" w:sz="8" w:color="0000FF"/>
            </w:tcBorders>
            <w:shd w:val="clear" w:color="auto" w:fill="E4E4E4"/>
          </w:tcPr>
          <w:p>
            <w:pPr>
              <w:spacing w:after="0"/>
              <w:rPr>
                <w:sz w:val="4"/>
                <w:szCs w:val="4"/>
                <w:color w:val="auto"/>
              </w:rPr>
            </w:pPr>
          </w:p>
        </w:tc>
        <w:tc>
          <w:tcPr>
            <w:tcW w:w="88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1220" w:type="dxa"/>
            <w:vAlign w:val="bottom"/>
            <w:tcBorders>
              <w:top w:val="single" w:sz="8" w:color="0000FF"/>
            </w:tcBorders>
            <w:shd w:val="clear" w:color="auto" w:fill="E4E4E4"/>
          </w:tcPr>
          <w:p>
            <w:pPr>
              <w:spacing w:after="0"/>
              <w:rPr>
                <w:sz w:val="4"/>
                <w:szCs w:val="4"/>
                <w:color w:val="auto"/>
              </w:rPr>
            </w:pPr>
          </w:p>
        </w:tc>
        <w:tc>
          <w:tcPr>
            <w:tcW w:w="220" w:type="dxa"/>
            <w:vAlign w:val="bottom"/>
            <w:tcBorders>
              <w:top w:val="single" w:sz="8" w:color="0000FF"/>
            </w:tcBorders>
            <w:shd w:val="clear" w:color="auto" w:fill="E4E4E4"/>
          </w:tcPr>
          <w:p>
            <w:pPr>
              <w:spacing w:after="0"/>
              <w:rPr>
                <w:sz w:val="4"/>
                <w:szCs w:val="4"/>
                <w:color w:val="auto"/>
              </w:rPr>
            </w:pPr>
          </w:p>
        </w:tc>
        <w:tc>
          <w:tcPr>
            <w:tcW w:w="140" w:type="dxa"/>
            <w:vAlign w:val="bottom"/>
            <w:tcBorders>
              <w:top w:val="single" w:sz="8" w:color="0000FF"/>
            </w:tcBorders>
            <w:shd w:val="clear" w:color="auto" w:fill="E4E4E4"/>
          </w:tcPr>
          <w:p>
            <w:pPr>
              <w:spacing w:after="0"/>
              <w:rPr>
                <w:sz w:val="4"/>
                <w:szCs w:val="4"/>
                <w:color w:val="auto"/>
              </w:rPr>
            </w:pPr>
          </w:p>
        </w:tc>
        <w:tc>
          <w:tcPr>
            <w:tcW w:w="4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160" w:type="dxa"/>
            <w:vAlign w:val="bottom"/>
            <w:tcBorders>
              <w:bottom w:val="single" w:sz="8" w:color="0000FF"/>
            </w:tcBorders>
            <w:gridSpan w:val="31"/>
          </w:tcPr>
          <w:p>
            <w:pPr>
              <w:spacing w:after="0"/>
              <w:rPr>
                <w:rFonts w:ascii="Arial" w:cs="Arial" w:eastAsia="Arial" w:hAnsi="Arial"/>
                <w:sz w:val="16"/>
                <w:szCs w:val="16"/>
                <w:color w:val="0000FF"/>
              </w:rPr>
            </w:pPr>
            <w:hyperlink r:id="rId142">
              <w:r>
                <w:rPr>
                  <w:rFonts w:ascii="Arial" w:cs="Arial" w:eastAsia="Arial" w:hAnsi="Arial"/>
                  <w:sz w:val="16"/>
                  <w:szCs w:val="16"/>
                  <w:color w:val="0000FF"/>
                </w:rPr>
                <w:t>Certificate of Incorporation of the Registrant (incorporated by reference to Exhibit 3.1 to the Registrant’s Current Report on Form 8-K filed with</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200" w:type="dxa"/>
            <w:vAlign w:val="bottom"/>
            <w:gridSpan w:val="33"/>
            <w:vMerge w:val="restart"/>
          </w:tcPr>
          <w:p>
            <w:pPr>
              <w:spacing w:after="0" w:line="183" w:lineRule="exact"/>
              <w:rPr>
                <w:rFonts w:ascii="Arial" w:cs="Arial" w:eastAsia="Arial" w:hAnsi="Arial"/>
                <w:sz w:val="16"/>
                <w:szCs w:val="16"/>
                <w:color w:val="0000FF"/>
              </w:rPr>
            </w:pPr>
            <w:hyperlink r:id="rId142">
              <w:r>
                <w:rPr>
                  <w:rFonts w:ascii="Arial" w:cs="Arial" w:eastAsia="Arial" w:hAnsi="Arial"/>
                  <w:sz w:val="16"/>
                  <w:szCs w:val="16"/>
                  <w:color w:val="0000FF"/>
                </w:rPr>
                <w:t>the SEC on December 29, 2022).</w:t>
              </w:r>
            </w:hyperlink>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0" w:type="dxa"/>
            <w:vAlign w:val="bottom"/>
            <w:gridSpan w:val="3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vMerge w:val="restart"/>
            <w:shd w:val="clear" w:color="auto" w:fill="E4E4E4"/>
          </w:tcPr>
          <w:p>
            <w:pPr>
              <w:jc w:val="center"/>
              <w:spacing w:after="0"/>
              <w:rPr>
                <w:sz w:val="20"/>
                <w:szCs w:val="20"/>
                <w:color w:val="auto"/>
              </w:rPr>
            </w:pPr>
            <w:r>
              <w:rPr>
                <w:rFonts w:ascii="Arial" w:cs="Arial" w:eastAsia="Arial" w:hAnsi="Arial"/>
                <w:sz w:val="16"/>
                <w:szCs w:val="16"/>
                <w:color w:val="auto"/>
              </w:rPr>
              <w:t>3.2</w:t>
            </w:r>
          </w:p>
        </w:tc>
        <w:tc>
          <w:tcPr>
            <w:tcW w:w="9640" w:type="dxa"/>
            <w:vAlign w:val="bottom"/>
            <w:tcBorders>
              <w:left w:val="single" w:sz="8" w:color="E4E4E4"/>
              <w:bottom w:val="single" w:sz="8" w:color="0000FF"/>
            </w:tcBorders>
            <w:gridSpan w:val="16"/>
            <w:shd w:val="clear" w:color="auto" w:fill="E4E4E4"/>
          </w:tcPr>
          <w:p>
            <w:pPr>
              <w:spacing w:after="0"/>
              <w:rPr>
                <w:rFonts w:ascii="Arial" w:cs="Arial" w:eastAsia="Arial" w:hAnsi="Arial"/>
                <w:sz w:val="16"/>
                <w:szCs w:val="16"/>
                <w:color w:val="0000FF"/>
              </w:rPr>
            </w:pPr>
            <w:hyperlink r:id="rId143">
              <w:r>
                <w:rPr>
                  <w:rFonts w:ascii="Arial" w:cs="Arial" w:eastAsia="Arial" w:hAnsi="Arial"/>
                  <w:sz w:val="16"/>
                  <w:szCs w:val="16"/>
                  <w:color w:val="0000FF"/>
                </w:rPr>
                <w:t>Bylaws of the Registrant (incorporated by reference to Exhibit 3.2 to the Registrant’s Current Report on Form 8-K filed with the SEC on</w:t>
              </w:r>
            </w:hyperlink>
          </w:p>
        </w:tc>
        <w:tc>
          <w:tcPr>
            <w:tcW w:w="560" w:type="dxa"/>
            <w:vAlign w:val="bottom"/>
            <w:tcBorders>
              <w:bottom w:val="single" w:sz="8" w:color="E4E4E4"/>
            </w:tcBorders>
            <w:gridSpan w:val="17"/>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tcBorders>
              <w:left w:val="single" w:sz="8" w:color="E4E4E4"/>
            </w:tcBorders>
            <w:gridSpan w:val="33"/>
            <w:vMerge w:val="restart"/>
            <w:shd w:val="clear" w:color="auto" w:fill="E4E4E4"/>
          </w:tcPr>
          <w:p>
            <w:pPr>
              <w:spacing w:after="0" w:line="183" w:lineRule="exact"/>
              <w:rPr>
                <w:rFonts w:ascii="Arial" w:cs="Arial" w:eastAsia="Arial" w:hAnsi="Arial"/>
                <w:sz w:val="16"/>
                <w:szCs w:val="16"/>
                <w:color w:val="0000FF"/>
              </w:rPr>
            </w:pPr>
            <w:hyperlink r:id="rId143">
              <w:r>
                <w:rPr>
                  <w:rFonts w:ascii="Arial" w:cs="Arial" w:eastAsia="Arial" w:hAnsi="Arial"/>
                  <w:sz w:val="16"/>
                  <w:szCs w:val="16"/>
                  <w:color w:val="0000FF"/>
                </w:rPr>
                <w:t>December 29, 2022).</w:t>
              </w:r>
            </w:hyperlink>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tcBorders>
              <w:left w:val="single" w:sz="8" w:color="E4E4E4"/>
            </w:tcBorders>
            <w:gridSpan w:val="33"/>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E4E4E4"/>
            </w:tcBorders>
            <w:shd w:val="clear" w:color="auto" w:fill="E4E4E4"/>
          </w:tcPr>
          <w:p>
            <w:pPr>
              <w:spacing w:after="0"/>
              <w:rPr>
                <w:sz w:val="4"/>
                <w:szCs w:val="4"/>
                <w:color w:val="auto"/>
              </w:rPr>
            </w:pPr>
          </w:p>
        </w:tc>
        <w:tc>
          <w:tcPr>
            <w:tcW w:w="640" w:type="dxa"/>
            <w:vAlign w:val="bottom"/>
            <w:tcBorders>
              <w:top w:val="single" w:sz="8" w:color="E4E4E4"/>
            </w:tcBorders>
            <w:shd w:val="clear" w:color="auto" w:fill="E4E4E4"/>
          </w:tcPr>
          <w:p>
            <w:pPr>
              <w:spacing w:after="0"/>
              <w:rPr>
                <w:sz w:val="4"/>
                <w:szCs w:val="4"/>
                <w:color w:val="auto"/>
              </w:rPr>
            </w:pPr>
          </w:p>
        </w:tc>
        <w:tc>
          <w:tcPr>
            <w:tcW w:w="2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80" w:type="dxa"/>
            <w:vAlign w:val="bottom"/>
            <w:tcBorders>
              <w:top w:val="single" w:sz="8" w:color="E4E4E4"/>
            </w:tcBorders>
            <w:shd w:val="clear" w:color="auto" w:fill="E4E4E4"/>
          </w:tcPr>
          <w:p>
            <w:pPr>
              <w:spacing w:after="0"/>
              <w:rPr>
                <w:sz w:val="4"/>
                <w:szCs w:val="4"/>
                <w:color w:val="auto"/>
              </w:rPr>
            </w:pPr>
          </w:p>
        </w:tc>
        <w:tc>
          <w:tcPr>
            <w:tcW w:w="3300" w:type="dxa"/>
            <w:vAlign w:val="bottom"/>
            <w:tcBorders>
              <w:top w:val="single" w:sz="8" w:color="E4E4E4"/>
            </w:tcBorders>
            <w:shd w:val="clear" w:color="auto" w:fill="E4E4E4"/>
          </w:tcPr>
          <w:p>
            <w:pPr>
              <w:spacing w:after="0"/>
              <w:rPr>
                <w:sz w:val="4"/>
                <w:szCs w:val="4"/>
                <w:color w:val="auto"/>
              </w:rPr>
            </w:pPr>
          </w:p>
        </w:tc>
        <w:tc>
          <w:tcPr>
            <w:tcW w:w="8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220" w:type="dxa"/>
            <w:vAlign w:val="bottom"/>
            <w:tcBorders>
              <w:top w:val="single" w:sz="8" w:color="E4E4E4"/>
            </w:tcBorders>
            <w:shd w:val="clear" w:color="auto" w:fill="E4E4E4"/>
          </w:tcPr>
          <w:p>
            <w:pPr>
              <w:spacing w:after="0"/>
              <w:rPr>
                <w:sz w:val="4"/>
                <w:szCs w:val="4"/>
                <w:color w:val="auto"/>
              </w:rPr>
            </w:pPr>
          </w:p>
        </w:tc>
        <w:tc>
          <w:tcPr>
            <w:tcW w:w="22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80" w:type="dxa"/>
            <w:vAlign w:val="bottom"/>
            <w:tcBorders>
              <w:bottom w:val="single" w:sz="8" w:color="0000FF"/>
            </w:tcBorders>
            <w:gridSpan w:val="22"/>
          </w:tcPr>
          <w:p>
            <w:pPr>
              <w:spacing w:after="0"/>
              <w:rPr>
                <w:rFonts w:ascii="Arial" w:cs="Arial" w:eastAsia="Arial" w:hAnsi="Arial"/>
                <w:sz w:val="16"/>
                <w:szCs w:val="16"/>
                <w:color w:val="0000FF"/>
              </w:rPr>
            </w:pPr>
            <w:hyperlink r:id="rId144">
              <w:r>
                <w:rPr>
                  <w:rFonts w:ascii="Arial" w:cs="Arial" w:eastAsia="Arial" w:hAnsi="Arial"/>
                  <w:sz w:val="16"/>
                  <w:szCs w:val="16"/>
                  <w:color w:val="0000FF"/>
                </w:rPr>
                <w:t>Base Indenture, dated as of November 22, 2022, among GE HealthCare Holding LLC, General Electric Company, as guarantor, and The</w:t>
              </w:r>
            </w:hyperlink>
          </w:p>
        </w:tc>
        <w:tc>
          <w:tcPr>
            <w:tcW w:w="4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center"/>
              <w:spacing w:after="0" w:line="183" w:lineRule="exact"/>
              <w:rPr>
                <w:sz w:val="20"/>
                <w:szCs w:val="20"/>
                <w:color w:val="auto"/>
              </w:rPr>
            </w:pPr>
            <w:r>
              <w:rPr>
                <w:rFonts w:ascii="Arial" w:cs="Arial" w:eastAsia="Arial" w:hAnsi="Arial"/>
                <w:sz w:val="16"/>
                <w:szCs w:val="16"/>
                <w:color w:val="auto"/>
              </w:rPr>
              <w:t>4.1</w:t>
            </w:r>
          </w:p>
        </w:tc>
        <w:tc>
          <w:tcPr>
            <w:tcW w:w="1018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44">
              <w:r>
                <w:rPr>
                  <w:rFonts w:ascii="Arial" w:cs="Arial" w:eastAsia="Arial" w:hAnsi="Arial"/>
                  <w:sz w:val="16"/>
                  <w:szCs w:val="16"/>
                  <w:color w:val="0000FF"/>
                </w:rPr>
                <w:t>Bank of New York Mellon, as trustee (incorporated by reference to Exhibit 4.1 of General Electric Company’s Current Report on Form 8-K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0" w:type="dxa"/>
            <w:vAlign w:val="bottom"/>
            <w:gridSpan w:val="33"/>
          </w:tcPr>
          <w:p>
            <w:pPr>
              <w:spacing w:after="0" w:line="183" w:lineRule="exact"/>
              <w:rPr>
                <w:rFonts w:ascii="Arial" w:cs="Arial" w:eastAsia="Arial" w:hAnsi="Arial"/>
                <w:sz w:val="16"/>
                <w:szCs w:val="16"/>
                <w:color w:val="0000FF"/>
              </w:rPr>
            </w:pPr>
            <w:hyperlink r:id="rId144">
              <w:r>
                <w:rPr>
                  <w:rFonts w:ascii="Arial" w:cs="Arial" w:eastAsia="Arial" w:hAnsi="Arial"/>
                  <w:sz w:val="16"/>
                  <w:szCs w:val="16"/>
                  <w:color w:val="0000FF"/>
                </w:rPr>
                <w:t>with the SEC on November 23, 2022).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shd w:val="clear" w:color="auto" w:fill="E4E4E4"/>
          </w:tcPr>
          <w:p>
            <w:pPr>
              <w:spacing w:after="0"/>
              <w:rPr>
                <w:sz w:val="16"/>
                <w:szCs w:val="16"/>
                <w:color w:val="auto"/>
              </w:rPr>
            </w:pPr>
          </w:p>
        </w:tc>
        <w:tc>
          <w:tcPr>
            <w:tcW w:w="9980" w:type="dxa"/>
            <w:vAlign w:val="bottom"/>
            <w:tcBorders>
              <w:left w:val="single" w:sz="8" w:color="E4E4E4"/>
              <w:bottom w:val="single" w:sz="8" w:color="0000FF"/>
            </w:tcBorders>
            <w:gridSpan w:val="25"/>
            <w:shd w:val="clear" w:color="auto" w:fill="E4E4E4"/>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First Supplemental Indenture, dated as of November 22, 2022, between GE HealthCare Holding LLC and The Bank of New York Mellon, as</w:t>
              </w:r>
            </w:hyperlink>
          </w:p>
        </w:tc>
        <w:tc>
          <w:tcPr>
            <w:tcW w:w="220" w:type="dxa"/>
            <w:vAlign w:val="bottom"/>
            <w:tcBorders>
              <w:bottom w:val="single" w:sz="8" w:color="E4E4E4"/>
            </w:tcBorders>
            <w:gridSpan w:val="8"/>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shd w:val="clear" w:color="auto" w:fill="E4E4E4"/>
          </w:tcPr>
          <w:p>
            <w:pPr>
              <w:jc w:val="center"/>
              <w:spacing w:after="0" w:line="183" w:lineRule="exact"/>
              <w:rPr>
                <w:sz w:val="20"/>
                <w:szCs w:val="20"/>
                <w:color w:val="auto"/>
              </w:rPr>
            </w:pPr>
            <w:r>
              <w:rPr>
                <w:rFonts w:ascii="Arial" w:cs="Arial" w:eastAsia="Arial" w:hAnsi="Arial"/>
                <w:sz w:val="16"/>
                <w:szCs w:val="16"/>
                <w:color w:val="auto"/>
              </w:rPr>
              <w:t>4.2</w:t>
            </w:r>
          </w:p>
        </w:tc>
        <w:tc>
          <w:tcPr>
            <w:tcW w:w="10200" w:type="dxa"/>
            <w:vAlign w:val="bottom"/>
            <w:tcBorders>
              <w:left w:val="single" w:sz="8" w:color="E4E4E4"/>
            </w:tcBorders>
            <w:gridSpan w:val="33"/>
            <w:shd w:val="clear" w:color="auto" w:fill="E4E4E4"/>
          </w:tcPr>
          <w:p>
            <w:pPr>
              <w:spacing w:after="0" w:line="183" w:lineRule="exact"/>
              <w:rPr>
                <w:rFonts w:ascii="Arial" w:cs="Arial" w:eastAsia="Arial" w:hAnsi="Arial"/>
                <w:sz w:val="16"/>
                <w:szCs w:val="16"/>
                <w:color w:val="0000FF"/>
              </w:rPr>
            </w:pPr>
            <w:hyperlink r:id="rId145">
              <w:r>
                <w:rPr>
                  <w:rFonts w:ascii="Arial" w:cs="Arial" w:eastAsia="Arial" w:hAnsi="Arial"/>
                  <w:sz w:val="16"/>
                  <w:szCs w:val="16"/>
                  <w:color w:val="0000FF"/>
                </w:rPr>
                <w:t>trustee (incorporated by reference to Exhibit 4.2 of General Electric Company’s Current Report on Form 8-K filed with the SEC on November</w:t>
              </w:r>
            </w:hyperlink>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80" w:type="dxa"/>
            <w:vAlign w:val="bottom"/>
            <w:tcBorders>
              <w:top w:val="single" w:sz="8" w:color="E4E4E4"/>
              <w:bottom w:val="single" w:sz="8" w:color="E4E4E4"/>
            </w:tcBorders>
            <w:shd w:val="clear" w:color="auto" w:fill="E4E4E4"/>
          </w:tcPr>
          <w:p>
            <w:pPr>
              <w:spacing w:after="0"/>
              <w:rPr>
                <w:sz w:val="20"/>
                <w:szCs w:val="20"/>
                <w:color w:val="auto"/>
              </w:rPr>
            </w:pPr>
          </w:p>
        </w:tc>
        <w:tc>
          <w:tcPr>
            <w:tcW w:w="740" w:type="dxa"/>
            <w:vAlign w:val="bottom"/>
            <w:tcBorders>
              <w:top w:val="single" w:sz="8" w:color="0000FF"/>
              <w:left w:val="single" w:sz="8" w:color="E4E4E4"/>
              <w:bottom w:val="single" w:sz="8" w:color="0000FF"/>
            </w:tcBorders>
            <w:gridSpan w:val="2"/>
            <w:shd w:val="clear" w:color="auto" w:fill="E4E4E4"/>
          </w:tcPr>
          <w:p>
            <w:pPr>
              <w:spacing w:after="0" w:line="183"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23, 2022).</w:t>
              </w:r>
            </w:hyperlink>
          </w:p>
        </w:tc>
        <w:tc>
          <w:tcPr>
            <w:tcW w:w="680" w:type="dxa"/>
            <w:vAlign w:val="bottom"/>
            <w:tcBorders>
              <w:top w:val="single" w:sz="8" w:color="0000FF"/>
              <w:bottom w:val="single" w:sz="8" w:color="E4E4E4"/>
            </w:tcBorders>
            <w:shd w:val="clear" w:color="auto" w:fill="E4E4E4"/>
          </w:tcPr>
          <w:p>
            <w:pPr>
              <w:spacing w:after="0"/>
              <w:rPr>
                <w:sz w:val="20"/>
                <w:szCs w:val="20"/>
                <w:color w:val="auto"/>
              </w:rPr>
            </w:pPr>
          </w:p>
        </w:tc>
        <w:tc>
          <w:tcPr>
            <w:tcW w:w="100" w:type="dxa"/>
            <w:vAlign w:val="bottom"/>
            <w:tcBorders>
              <w:top w:val="single" w:sz="8" w:color="0000FF"/>
              <w:bottom w:val="single" w:sz="8" w:color="E4E4E4"/>
            </w:tcBorders>
            <w:shd w:val="clear" w:color="auto" w:fill="E4E4E4"/>
          </w:tcPr>
          <w:p>
            <w:pPr>
              <w:spacing w:after="0"/>
              <w:rPr>
                <w:sz w:val="20"/>
                <w:szCs w:val="20"/>
                <w:color w:val="auto"/>
              </w:rPr>
            </w:pPr>
          </w:p>
        </w:tc>
        <w:tc>
          <w:tcPr>
            <w:tcW w:w="240" w:type="dxa"/>
            <w:vAlign w:val="bottom"/>
            <w:tcBorders>
              <w:top w:val="single" w:sz="8" w:color="0000FF"/>
              <w:bottom w:val="single" w:sz="8" w:color="E4E4E4"/>
            </w:tcBorders>
            <w:shd w:val="clear" w:color="auto" w:fill="E4E4E4"/>
          </w:tcPr>
          <w:p>
            <w:pPr>
              <w:spacing w:after="0"/>
              <w:rPr>
                <w:sz w:val="20"/>
                <w:szCs w:val="20"/>
                <w:color w:val="auto"/>
              </w:rPr>
            </w:pPr>
          </w:p>
        </w:tc>
        <w:tc>
          <w:tcPr>
            <w:tcW w:w="640" w:type="dxa"/>
            <w:vAlign w:val="bottom"/>
            <w:tcBorders>
              <w:top w:val="single" w:sz="8" w:color="0000FF"/>
              <w:bottom w:val="single" w:sz="8" w:color="E4E4E4"/>
            </w:tcBorders>
            <w:shd w:val="clear" w:color="auto" w:fill="E4E4E4"/>
          </w:tcPr>
          <w:p>
            <w:pPr>
              <w:spacing w:after="0"/>
              <w:rPr>
                <w:sz w:val="20"/>
                <w:szCs w:val="20"/>
                <w:color w:val="auto"/>
              </w:rPr>
            </w:pPr>
          </w:p>
        </w:tc>
        <w:tc>
          <w:tcPr>
            <w:tcW w:w="240" w:type="dxa"/>
            <w:vAlign w:val="bottom"/>
            <w:tcBorders>
              <w:top w:val="single" w:sz="8" w:color="0000FF"/>
              <w:bottom w:val="single" w:sz="8" w:color="E4E4E4"/>
            </w:tcBorders>
            <w:shd w:val="clear" w:color="auto" w:fill="E4E4E4"/>
          </w:tcPr>
          <w:p>
            <w:pPr>
              <w:spacing w:after="0"/>
              <w:rPr>
                <w:sz w:val="20"/>
                <w:szCs w:val="20"/>
                <w:color w:val="auto"/>
              </w:rPr>
            </w:pPr>
          </w:p>
        </w:tc>
        <w:tc>
          <w:tcPr>
            <w:tcW w:w="100" w:type="dxa"/>
            <w:vAlign w:val="bottom"/>
            <w:tcBorders>
              <w:top w:val="single" w:sz="8" w:color="0000FF"/>
              <w:bottom w:val="single" w:sz="8" w:color="E4E4E4"/>
            </w:tcBorders>
            <w:shd w:val="clear" w:color="auto" w:fill="E4E4E4"/>
          </w:tcPr>
          <w:p>
            <w:pPr>
              <w:spacing w:after="0"/>
              <w:rPr>
                <w:sz w:val="20"/>
                <w:szCs w:val="20"/>
                <w:color w:val="auto"/>
              </w:rPr>
            </w:pPr>
          </w:p>
        </w:tc>
        <w:tc>
          <w:tcPr>
            <w:tcW w:w="1080" w:type="dxa"/>
            <w:vAlign w:val="bottom"/>
            <w:tcBorders>
              <w:top w:val="single" w:sz="8" w:color="0000FF"/>
              <w:bottom w:val="single" w:sz="8" w:color="E4E4E4"/>
            </w:tcBorders>
            <w:shd w:val="clear" w:color="auto" w:fill="E4E4E4"/>
          </w:tcPr>
          <w:p>
            <w:pPr>
              <w:spacing w:after="0"/>
              <w:rPr>
                <w:sz w:val="20"/>
                <w:szCs w:val="20"/>
                <w:color w:val="auto"/>
              </w:rPr>
            </w:pPr>
          </w:p>
        </w:tc>
        <w:tc>
          <w:tcPr>
            <w:tcW w:w="3300" w:type="dxa"/>
            <w:vAlign w:val="bottom"/>
            <w:tcBorders>
              <w:top w:val="single" w:sz="8" w:color="0000FF"/>
              <w:bottom w:val="single" w:sz="8" w:color="E4E4E4"/>
            </w:tcBorders>
            <w:shd w:val="clear" w:color="auto" w:fill="E4E4E4"/>
          </w:tcPr>
          <w:p>
            <w:pPr>
              <w:spacing w:after="0"/>
              <w:rPr>
                <w:sz w:val="20"/>
                <w:szCs w:val="20"/>
                <w:color w:val="auto"/>
              </w:rPr>
            </w:pPr>
          </w:p>
        </w:tc>
        <w:tc>
          <w:tcPr>
            <w:tcW w:w="88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1220" w:type="dxa"/>
            <w:vAlign w:val="bottom"/>
            <w:tcBorders>
              <w:top w:val="single" w:sz="8" w:color="0000FF"/>
              <w:bottom w:val="single" w:sz="8" w:color="E4E4E4"/>
            </w:tcBorders>
            <w:shd w:val="clear" w:color="auto" w:fill="E4E4E4"/>
          </w:tcPr>
          <w:p>
            <w:pPr>
              <w:spacing w:after="0"/>
              <w:rPr>
                <w:sz w:val="20"/>
                <w:szCs w:val="20"/>
                <w:color w:val="auto"/>
              </w:rPr>
            </w:pPr>
          </w:p>
        </w:tc>
        <w:tc>
          <w:tcPr>
            <w:tcW w:w="220" w:type="dxa"/>
            <w:vAlign w:val="bottom"/>
            <w:tcBorders>
              <w:top w:val="single" w:sz="8" w:color="0000FF"/>
              <w:bottom w:val="single" w:sz="8" w:color="E4E4E4"/>
            </w:tcBorders>
            <w:shd w:val="clear" w:color="auto" w:fill="E4E4E4"/>
          </w:tcPr>
          <w:p>
            <w:pPr>
              <w:spacing w:after="0"/>
              <w:rPr>
                <w:sz w:val="20"/>
                <w:szCs w:val="20"/>
                <w:color w:val="auto"/>
              </w:rPr>
            </w:pPr>
          </w:p>
        </w:tc>
        <w:tc>
          <w:tcPr>
            <w:tcW w:w="140" w:type="dxa"/>
            <w:vAlign w:val="bottom"/>
            <w:tcBorders>
              <w:top w:val="single" w:sz="8" w:color="0000FF"/>
              <w:bottom w:val="single" w:sz="8" w:color="E4E4E4"/>
            </w:tcBorders>
            <w:shd w:val="clear" w:color="auto" w:fill="E4E4E4"/>
          </w:tcPr>
          <w:p>
            <w:pPr>
              <w:spacing w:after="0"/>
              <w:rPr>
                <w:sz w:val="20"/>
                <w:szCs w:val="20"/>
                <w:color w:val="auto"/>
              </w:rPr>
            </w:pPr>
          </w:p>
        </w:tc>
        <w:tc>
          <w:tcPr>
            <w:tcW w:w="4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40" w:type="dxa"/>
            <w:vAlign w:val="bottom"/>
            <w:tcBorders>
              <w:top w:val="single" w:sz="8" w:color="0000FF"/>
              <w:bottom w:val="single" w:sz="8" w:color="E4E4E4"/>
            </w:tcBorders>
            <w:shd w:val="clear" w:color="auto" w:fill="E4E4E4"/>
          </w:tcPr>
          <w:p>
            <w:pPr>
              <w:spacing w:after="0"/>
              <w:rPr>
                <w:sz w:val="20"/>
                <w:szCs w:val="20"/>
                <w:color w:val="auto"/>
              </w:rPr>
            </w:pPr>
          </w:p>
        </w:tc>
        <w:tc>
          <w:tcPr>
            <w:tcW w:w="10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80" w:type="dxa"/>
            <w:vAlign w:val="bottom"/>
            <w:tcBorders>
              <w:top w:val="single" w:sz="8" w:color="0000FF"/>
              <w:bottom w:val="single" w:sz="8" w:color="E4E4E4"/>
            </w:tcBorders>
            <w:shd w:val="clear" w:color="auto" w:fill="E4E4E4"/>
          </w:tcPr>
          <w:p>
            <w:pPr>
              <w:spacing w:after="0"/>
              <w:rPr>
                <w:sz w:val="20"/>
                <w:szCs w:val="20"/>
                <w:color w:val="auto"/>
              </w:rPr>
            </w:pPr>
          </w:p>
        </w:tc>
        <w:tc>
          <w:tcPr>
            <w:tcW w:w="4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0000FF"/>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6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Borders>
              <w:bottom w:val="single" w:sz="8" w:color="0000FF"/>
            </w:tcBorders>
            <w:gridSpan w:val="21"/>
          </w:tcPr>
          <w:p>
            <w:pPr>
              <w:spacing w:after="0"/>
              <w:rPr>
                <w:rFonts w:ascii="Arial" w:cs="Arial" w:eastAsia="Arial" w:hAnsi="Arial"/>
                <w:sz w:val="16"/>
                <w:szCs w:val="16"/>
                <w:color w:val="0000FF"/>
              </w:rPr>
            </w:pPr>
            <w:hyperlink r:id="rId146">
              <w:r>
                <w:rPr>
                  <w:rFonts w:ascii="Arial" w:cs="Arial" w:eastAsia="Arial" w:hAnsi="Arial"/>
                  <w:sz w:val="16"/>
                  <w:szCs w:val="16"/>
                  <w:color w:val="0000FF"/>
                </w:rPr>
                <w:t>Registration Rights Agreement, dated as of November 22, 2022, among GE HealthCare Holding LLC, BofA Securities, Inc., and Morgan</w:t>
              </w:r>
            </w:hyperlink>
          </w:p>
        </w:tc>
        <w:tc>
          <w:tcPr>
            <w:tcW w:w="4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jc w:val="center"/>
              <w:spacing w:after="0" w:line="183" w:lineRule="exact"/>
              <w:rPr>
                <w:sz w:val="20"/>
                <w:szCs w:val="20"/>
                <w:color w:val="auto"/>
              </w:rPr>
            </w:pPr>
            <w:r>
              <w:rPr>
                <w:rFonts w:ascii="Arial" w:cs="Arial" w:eastAsia="Arial" w:hAnsi="Arial"/>
                <w:sz w:val="16"/>
                <w:szCs w:val="16"/>
                <w:color w:val="auto"/>
              </w:rPr>
              <w:t>4.3</w:t>
            </w:r>
          </w:p>
        </w:tc>
        <w:tc>
          <w:tcPr>
            <w:tcW w:w="10200" w:type="dxa"/>
            <w:vAlign w:val="bottom"/>
            <w:gridSpan w:val="33"/>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Stanley &amp; Co. LLC (incorporated by reference to Exhibit 4.3 of General Electric Company’s Current Report on Form 8-K filed with the SEC on</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100" w:type="dxa"/>
            <w:vAlign w:val="bottom"/>
            <w:tcBorders>
              <w:top w:val="single" w:sz="8" w:color="0000FF"/>
            </w:tcBorders>
            <w:gridSpan w:val="30"/>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November 23, 2022).</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vMerge w:val="restart"/>
            <w:shd w:val="clear" w:color="auto" w:fill="E4E4E4"/>
          </w:tcPr>
          <w:p>
            <w:pPr>
              <w:jc w:val="center"/>
              <w:spacing w:after="0"/>
              <w:rPr>
                <w:sz w:val="20"/>
                <w:szCs w:val="20"/>
                <w:color w:val="auto"/>
              </w:rPr>
            </w:pPr>
            <w:r>
              <w:rPr>
                <w:rFonts w:ascii="Arial" w:cs="Arial" w:eastAsia="Arial" w:hAnsi="Arial"/>
                <w:sz w:val="16"/>
                <w:szCs w:val="16"/>
                <w:color w:val="auto"/>
              </w:rPr>
              <w:t>4.4</w:t>
            </w:r>
          </w:p>
        </w:tc>
        <w:tc>
          <w:tcPr>
            <w:tcW w:w="9700" w:type="dxa"/>
            <w:vAlign w:val="bottom"/>
            <w:tcBorders>
              <w:left w:val="single" w:sz="8" w:color="E4E4E4"/>
              <w:bottom w:val="single" w:sz="8" w:color="0000FF"/>
            </w:tcBorders>
            <w:gridSpan w:val="19"/>
            <w:shd w:val="clear" w:color="auto" w:fill="E4E4E4"/>
          </w:tcPr>
          <w:p>
            <w:pPr>
              <w:spacing w:after="0"/>
              <w:rPr>
                <w:rFonts w:ascii="Arial" w:cs="Arial" w:eastAsia="Arial" w:hAnsi="Arial"/>
                <w:sz w:val="16"/>
                <w:szCs w:val="16"/>
                <w:color w:val="0000FF"/>
              </w:rPr>
            </w:pPr>
            <w:hyperlink r:id="rId147">
              <w:r>
                <w:rPr>
                  <w:rFonts w:ascii="Arial" w:cs="Arial" w:eastAsia="Arial" w:hAnsi="Arial"/>
                  <w:sz w:val="16"/>
                  <w:szCs w:val="16"/>
                  <w:color w:val="0000FF"/>
                </w:rPr>
                <w:t>Description of Securities (incorporated by reference to Exhibit 4.4 of the Registrant’s Annual Report on Form 10-K filed with the SEC on</w:t>
              </w:r>
            </w:hyperlink>
          </w:p>
        </w:tc>
        <w:tc>
          <w:tcPr>
            <w:tcW w:w="500" w:type="dxa"/>
            <w:vAlign w:val="bottom"/>
            <w:tcBorders>
              <w:bottom w:val="single" w:sz="8" w:color="E4E4E4"/>
            </w:tcBorders>
            <w:gridSpan w:val="14"/>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tcBorders>
              <w:left w:val="single" w:sz="8" w:color="E4E4E4"/>
            </w:tcBorders>
            <w:gridSpan w:val="33"/>
            <w:vMerge w:val="restart"/>
            <w:shd w:val="clear" w:color="auto" w:fill="E4E4E4"/>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February 15, 2023).</w:t>
              </w:r>
            </w:hyperlink>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tcBorders>
              <w:left w:val="single" w:sz="8" w:color="E4E4E4"/>
            </w:tcBorders>
            <w:gridSpan w:val="33"/>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40" w:type="dxa"/>
            <w:vAlign w:val="bottom"/>
            <w:tcBorders>
              <w:top w:val="single" w:sz="8" w:color="E4E4E4"/>
            </w:tcBorders>
            <w:shd w:val="clear" w:color="auto" w:fill="E4E4E4"/>
          </w:tcPr>
          <w:p>
            <w:pPr>
              <w:spacing w:after="0"/>
              <w:rPr>
                <w:sz w:val="4"/>
                <w:szCs w:val="4"/>
                <w:color w:val="auto"/>
              </w:rPr>
            </w:pPr>
          </w:p>
        </w:tc>
        <w:tc>
          <w:tcPr>
            <w:tcW w:w="640" w:type="dxa"/>
            <w:vAlign w:val="bottom"/>
            <w:tcBorders>
              <w:top w:val="single" w:sz="8" w:color="E4E4E4"/>
            </w:tcBorders>
            <w:shd w:val="clear" w:color="auto" w:fill="E4E4E4"/>
          </w:tcPr>
          <w:p>
            <w:pPr>
              <w:spacing w:after="0"/>
              <w:rPr>
                <w:sz w:val="4"/>
                <w:szCs w:val="4"/>
                <w:color w:val="auto"/>
              </w:rPr>
            </w:pPr>
          </w:p>
        </w:tc>
        <w:tc>
          <w:tcPr>
            <w:tcW w:w="2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80" w:type="dxa"/>
            <w:vAlign w:val="bottom"/>
            <w:tcBorders>
              <w:top w:val="single" w:sz="8" w:color="E4E4E4"/>
            </w:tcBorders>
            <w:shd w:val="clear" w:color="auto" w:fill="E4E4E4"/>
          </w:tcPr>
          <w:p>
            <w:pPr>
              <w:spacing w:after="0"/>
              <w:rPr>
                <w:sz w:val="4"/>
                <w:szCs w:val="4"/>
                <w:color w:val="auto"/>
              </w:rPr>
            </w:pPr>
          </w:p>
        </w:tc>
        <w:tc>
          <w:tcPr>
            <w:tcW w:w="3300" w:type="dxa"/>
            <w:vAlign w:val="bottom"/>
            <w:tcBorders>
              <w:top w:val="single" w:sz="8" w:color="E4E4E4"/>
            </w:tcBorders>
            <w:shd w:val="clear" w:color="auto" w:fill="E4E4E4"/>
          </w:tcPr>
          <w:p>
            <w:pPr>
              <w:spacing w:after="0"/>
              <w:rPr>
                <w:sz w:val="4"/>
                <w:szCs w:val="4"/>
                <w:color w:val="auto"/>
              </w:rPr>
            </w:pPr>
          </w:p>
        </w:tc>
        <w:tc>
          <w:tcPr>
            <w:tcW w:w="8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220" w:type="dxa"/>
            <w:vAlign w:val="bottom"/>
            <w:tcBorders>
              <w:top w:val="single" w:sz="8" w:color="E4E4E4"/>
            </w:tcBorders>
            <w:shd w:val="clear" w:color="auto" w:fill="E4E4E4"/>
          </w:tcPr>
          <w:p>
            <w:pPr>
              <w:spacing w:after="0"/>
              <w:rPr>
                <w:sz w:val="4"/>
                <w:szCs w:val="4"/>
                <w:color w:val="auto"/>
              </w:rPr>
            </w:pPr>
          </w:p>
        </w:tc>
        <w:tc>
          <w:tcPr>
            <w:tcW w:w="22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10200" w:type="dxa"/>
            <w:vAlign w:val="bottom"/>
            <w:gridSpan w:val="33"/>
          </w:tcPr>
          <w:p>
            <w:pPr>
              <w:spacing w:after="0"/>
              <w:rPr>
                <w:rFonts w:ascii="Arial" w:cs="Arial" w:eastAsia="Arial" w:hAnsi="Arial"/>
                <w:sz w:val="16"/>
                <w:szCs w:val="16"/>
                <w:color w:val="0000FF"/>
              </w:rPr>
            </w:pPr>
            <w:hyperlink r:id="rId148">
              <w:r>
                <w:rPr>
                  <w:rFonts w:ascii="Arial" w:cs="Arial" w:eastAsia="Arial" w:hAnsi="Arial"/>
                  <w:sz w:val="16"/>
                  <w:szCs w:val="16"/>
                  <w:color w:val="0000FF"/>
                </w:rPr>
                <w:t>Transition Services Agreement, dated January 2, 2023, by and between General Electric Company and the Registrant (incorporated by</w:t>
              </w:r>
            </w:hyperlink>
          </w:p>
        </w:tc>
        <w:tc>
          <w:tcPr>
            <w:tcW w:w="0" w:type="dxa"/>
            <w:vAlign w:val="bottom"/>
          </w:tcPr>
          <w:p>
            <w:pPr>
              <w:spacing w:after="0"/>
              <w:rPr>
                <w:sz w:val="1"/>
                <w:szCs w:val="1"/>
                <w:color w:val="auto"/>
              </w:rPr>
            </w:pPr>
          </w:p>
        </w:tc>
      </w:tr>
      <w:tr>
        <w:trPr>
          <w:trHeight w:val="113"/>
        </w:trPr>
        <w:tc>
          <w:tcPr>
            <w:tcW w:w="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60" w:type="dxa"/>
            <w:vAlign w:val="bottom"/>
            <w:tcBorders>
              <w:top w:val="single" w:sz="8" w:color="0000FF"/>
            </w:tcBorders>
            <w:gridSpan w:val="17"/>
            <w:vMerge w:val="restart"/>
          </w:tcPr>
          <w:p>
            <w:pPr>
              <w:spacing w:after="0" w:line="183" w:lineRule="exact"/>
              <w:rPr>
                <w:rFonts w:ascii="Arial" w:cs="Arial" w:eastAsia="Arial" w:hAnsi="Arial"/>
                <w:sz w:val="16"/>
                <w:szCs w:val="16"/>
                <w:color w:val="0000FF"/>
              </w:rPr>
            </w:pPr>
            <w:hyperlink r:id="rId148">
              <w:r>
                <w:rPr>
                  <w:rFonts w:ascii="Arial" w:cs="Arial" w:eastAsia="Arial" w:hAnsi="Arial"/>
                  <w:sz w:val="16"/>
                  <w:szCs w:val="16"/>
                  <w:color w:val="0000FF"/>
                </w:rPr>
                <w:t>reference to Exhibit 10.1 to the Registrant’s current Report on Form 8-K filed with the SEC on January 4, 2023).</w:t>
              </w:r>
              <w:r>
                <w:rPr>
                  <w:rFonts w:ascii="Arial" w:cs="Arial" w:eastAsia="Arial" w:hAnsi="Arial"/>
                  <w:sz w:val="16"/>
                  <w:szCs w:val="16"/>
                  <w:color w:val="000000"/>
                </w:rPr>
                <w:t>†</w:t>
              </w:r>
            </w:hyperlink>
          </w:p>
        </w:tc>
        <w:tc>
          <w:tcPr>
            <w:tcW w:w="540" w:type="dxa"/>
            <w:vAlign w:val="bottom"/>
            <w:gridSpan w:val="16"/>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660" w:type="dxa"/>
            <w:vAlign w:val="bottom"/>
            <w:gridSpan w:val="17"/>
            <w:vMerge w:val="continue"/>
          </w:tcPr>
          <w:p>
            <w:pPr>
              <w:spacing w:after="0"/>
              <w:rPr>
                <w:sz w:val="6"/>
                <w:szCs w:val="6"/>
                <w:color w:val="auto"/>
              </w:rPr>
            </w:pPr>
          </w:p>
        </w:tc>
        <w:tc>
          <w:tcPr>
            <w:tcW w:w="54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vMerge w:val="restart"/>
            <w:shd w:val="clear" w:color="auto" w:fill="E4E4E4"/>
          </w:tcPr>
          <w:p>
            <w:pPr>
              <w:jc w:val="center"/>
              <w:spacing w:after="0"/>
              <w:rPr>
                <w:sz w:val="20"/>
                <w:szCs w:val="20"/>
                <w:color w:val="auto"/>
              </w:rPr>
            </w:pPr>
            <w:r>
              <w:rPr>
                <w:rFonts w:ascii="Arial" w:cs="Arial" w:eastAsia="Arial" w:hAnsi="Arial"/>
                <w:sz w:val="16"/>
                <w:szCs w:val="16"/>
                <w:color w:val="auto"/>
              </w:rPr>
              <w:t>10.2</w:t>
            </w:r>
          </w:p>
        </w:tc>
        <w:tc>
          <w:tcPr>
            <w:tcW w:w="10080" w:type="dxa"/>
            <w:vAlign w:val="bottom"/>
            <w:tcBorders>
              <w:left w:val="single" w:sz="8" w:color="E4E4E4"/>
              <w:bottom w:val="single" w:sz="8" w:color="0000FF"/>
            </w:tcBorders>
            <w:gridSpan w:val="29"/>
            <w:shd w:val="clear" w:color="auto" w:fill="E4E4E4"/>
          </w:tcPr>
          <w:p>
            <w:pPr>
              <w:spacing w:after="0"/>
              <w:rPr>
                <w:rFonts w:ascii="Arial" w:cs="Arial" w:eastAsia="Arial" w:hAnsi="Arial"/>
                <w:sz w:val="16"/>
                <w:szCs w:val="16"/>
                <w:color w:val="0000FF"/>
              </w:rPr>
            </w:pPr>
            <w:hyperlink r:id="rId149">
              <w:r>
                <w:rPr>
                  <w:rFonts w:ascii="Arial" w:cs="Arial" w:eastAsia="Arial" w:hAnsi="Arial"/>
                  <w:sz w:val="16"/>
                  <w:szCs w:val="16"/>
                  <w:color w:val="0000FF"/>
                </w:rPr>
                <w:t>Tax Matters Agreement, dated January 2, 2023, by and between General Electric Company and the Registrant (incorporated by reference to</w:t>
              </w:r>
            </w:hyperlink>
          </w:p>
        </w:tc>
        <w:tc>
          <w:tcPr>
            <w:tcW w:w="120" w:type="dxa"/>
            <w:vAlign w:val="bottom"/>
            <w:tcBorders>
              <w:bottom w:val="single" w:sz="8" w:color="E4E4E4"/>
            </w:tcBorders>
            <w:gridSpan w:val="4"/>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tcBorders>
              <w:left w:val="single" w:sz="8" w:color="E4E4E4"/>
            </w:tcBorders>
            <w:gridSpan w:val="33"/>
            <w:vMerge w:val="restart"/>
            <w:shd w:val="clear" w:color="auto" w:fill="E4E4E4"/>
          </w:tcPr>
          <w:p>
            <w:pPr>
              <w:spacing w:after="0" w:line="183" w:lineRule="exact"/>
              <w:rPr>
                <w:rFonts w:ascii="Arial" w:cs="Arial" w:eastAsia="Arial" w:hAnsi="Arial"/>
                <w:sz w:val="16"/>
                <w:szCs w:val="16"/>
                <w:color w:val="0000FF"/>
              </w:rPr>
            </w:pPr>
            <w:hyperlink r:id="rId149">
              <w:r>
                <w:rPr>
                  <w:rFonts w:ascii="Arial" w:cs="Arial" w:eastAsia="Arial" w:hAnsi="Arial"/>
                  <w:sz w:val="16"/>
                  <w:szCs w:val="16"/>
                  <w:color w:val="0000FF"/>
                </w:rPr>
                <w:t>Exhibit 10.2 to the Registrant’s Current Report on Form 8-K filed with the SEC on January 4, 2023).</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tcBorders>
              <w:left w:val="single" w:sz="8" w:color="E4E4E4"/>
            </w:tcBorders>
            <w:gridSpan w:val="33"/>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64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1080" w:type="dxa"/>
            <w:vAlign w:val="bottom"/>
            <w:tcBorders>
              <w:top w:val="single" w:sz="8" w:color="0000FF"/>
            </w:tcBorders>
            <w:shd w:val="clear" w:color="auto" w:fill="E4E4E4"/>
          </w:tcPr>
          <w:p>
            <w:pPr>
              <w:spacing w:after="0"/>
              <w:rPr>
                <w:sz w:val="4"/>
                <w:szCs w:val="4"/>
                <w:color w:val="auto"/>
              </w:rPr>
            </w:pPr>
          </w:p>
        </w:tc>
        <w:tc>
          <w:tcPr>
            <w:tcW w:w="3300" w:type="dxa"/>
            <w:vAlign w:val="bottom"/>
            <w:tcBorders>
              <w:top w:val="single" w:sz="8" w:color="0000FF"/>
            </w:tcBorders>
            <w:shd w:val="clear" w:color="auto" w:fill="E4E4E4"/>
          </w:tcPr>
          <w:p>
            <w:pPr>
              <w:spacing w:after="0"/>
              <w:rPr>
                <w:sz w:val="4"/>
                <w:szCs w:val="4"/>
                <w:color w:val="auto"/>
              </w:rPr>
            </w:pPr>
          </w:p>
        </w:tc>
        <w:tc>
          <w:tcPr>
            <w:tcW w:w="8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220" w:type="dxa"/>
            <w:vAlign w:val="bottom"/>
            <w:tcBorders>
              <w:top w:val="single" w:sz="8" w:color="E4E4E4"/>
            </w:tcBorders>
            <w:shd w:val="clear" w:color="auto" w:fill="E4E4E4"/>
          </w:tcPr>
          <w:p>
            <w:pPr>
              <w:spacing w:after="0"/>
              <w:rPr>
                <w:sz w:val="4"/>
                <w:szCs w:val="4"/>
                <w:color w:val="auto"/>
              </w:rPr>
            </w:pPr>
          </w:p>
        </w:tc>
        <w:tc>
          <w:tcPr>
            <w:tcW w:w="22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10200" w:type="dxa"/>
            <w:vAlign w:val="bottom"/>
            <w:gridSpan w:val="33"/>
          </w:tcPr>
          <w:p>
            <w:pPr>
              <w:spacing w:after="0"/>
              <w:rPr>
                <w:rFonts w:ascii="Arial" w:cs="Arial" w:eastAsia="Arial" w:hAnsi="Arial"/>
                <w:sz w:val="16"/>
                <w:szCs w:val="16"/>
                <w:color w:val="0000FF"/>
              </w:rPr>
            </w:pPr>
            <w:hyperlink r:id="rId150">
              <w:r>
                <w:rPr>
                  <w:rFonts w:ascii="Arial" w:cs="Arial" w:eastAsia="Arial" w:hAnsi="Arial"/>
                  <w:sz w:val="16"/>
                  <w:szCs w:val="16"/>
                  <w:color w:val="0000FF"/>
                </w:rPr>
                <w:t>Employee Matters Agreement, dated January 2, 2023, by and between General Electric Company and the Registrant (incorporated by</w:t>
              </w:r>
            </w:hyperlink>
          </w:p>
        </w:tc>
        <w:tc>
          <w:tcPr>
            <w:tcW w:w="0" w:type="dxa"/>
            <w:vAlign w:val="bottom"/>
          </w:tcPr>
          <w:p>
            <w:pPr>
              <w:spacing w:after="0"/>
              <w:rPr>
                <w:sz w:val="1"/>
                <w:szCs w:val="1"/>
                <w:color w:val="auto"/>
              </w:rPr>
            </w:pPr>
          </w:p>
        </w:tc>
      </w:tr>
      <w:tr>
        <w:trPr>
          <w:trHeight w:val="113"/>
        </w:trPr>
        <w:tc>
          <w:tcPr>
            <w:tcW w:w="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00" w:type="dxa"/>
            <w:vAlign w:val="bottom"/>
            <w:tcBorders>
              <w:top w:val="single" w:sz="8" w:color="0000FF"/>
            </w:tcBorders>
            <w:gridSpan w:val="15"/>
            <w:vMerge w:val="restart"/>
          </w:tcPr>
          <w:p>
            <w:pPr>
              <w:spacing w:after="0" w:line="183" w:lineRule="exact"/>
              <w:rPr>
                <w:rFonts w:ascii="Arial" w:cs="Arial" w:eastAsia="Arial" w:hAnsi="Arial"/>
                <w:sz w:val="16"/>
                <w:szCs w:val="16"/>
                <w:color w:val="0000FF"/>
              </w:rPr>
            </w:pPr>
            <w:hyperlink r:id="rId150">
              <w:r>
                <w:rPr>
                  <w:rFonts w:ascii="Arial" w:cs="Arial" w:eastAsia="Arial" w:hAnsi="Arial"/>
                  <w:sz w:val="16"/>
                  <w:szCs w:val="16"/>
                  <w:color w:val="0000FF"/>
                </w:rPr>
                <w:t>reference to Exhibit 10.3 to the Registrant’s Current Report on Form 8-K filed with the SEC on January 4, 2023).</w:t>
              </w:r>
            </w:hyperlink>
          </w:p>
        </w:tc>
        <w:tc>
          <w:tcPr>
            <w:tcW w:w="600" w:type="dxa"/>
            <w:vAlign w:val="bottom"/>
            <w:gridSpan w:val="18"/>
            <w:vMerge w:val="restart"/>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600" w:type="dxa"/>
            <w:vAlign w:val="bottom"/>
            <w:gridSpan w:val="15"/>
            <w:vMerge w:val="continue"/>
          </w:tcPr>
          <w:p>
            <w:pPr>
              <w:spacing w:after="0"/>
              <w:rPr>
                <w:sz w:val="6"/>
                <w:szCs w:val="6"/>
                <w:color w:val="auto"/>
              </w:rPr>
            </w:pPr>
          </w:p>
        </w:tc>
        <w:tc>
          <w:tcPr>
            <w:tcW w:w="600" w:type="dxa"/>
            <w:vAlign w:val="bottom"/>
            <w:gridSpan w:val="1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vMerge w:val="restart"/>
            <w:shd w:val="clear" w:color="auto" w:fill="E4E4E4"/>
          </w:tcPr>
          <w:p>
            <w:pPr>
              <w:jc w:val="center"/>
              <w:spacing w:after="0"/>
              <w:rPr>
                <w:sz w:val="20"/>
                <w:szCs w:val="20"/>
                <w:color w:val="auto"/>
              </w:rPr>
            </w:pPr>
            <w:r>
              <w:rPr>
                <w:rFonts w:ascii="Arial" w:cs="Arial" w:eastAsia="Arial" w:hAnsi="Arial"/>
                <w:sz w:val="16"/>
                <w:szCs w:val="16"/>
                <w:color w:val="auto"/>
              </w:rPr>
              <w:t>10.4</w:t>
            </w:r>
          </w:p>
        </w:tc>
        <w:tc>
          <w:tcPr>
            <w:tcW w:w="10040" w:type="dxa"/>
            <w:vAlign w:val="bottom"/>
            <w:tcBorders>
              <w:left w:val="single" w:sz="8" w:color="E4E4E4"/>
              <w:bottom w:val="single" w:sz="8" w:color="0000FF"/>
            </w:tcBorders>
            <w:gridSpan w:val="27"/>
            <w:shd w:val="clear" w:color="auto" w:fill="E4E4E4"/>
          </w:tcPr>
          <w:p>
            <w:pPr>
              <w:spacing w:after="0"/>
              <w:rPr>
                <w:rFonts w:ascii="Arial" w:cs="Arial" w:eastAsia="Arial" w:hAnsi="Arial"/>
                <w:sz w:val="16"/>
                <w:szCs w:val="16"/>
                <w:color w:val="0000FF"/>
              </w:rPr>
            </w:pPr>
            <w:hyperlink r:id="rId151">
              <w:r>
                <w:rPr>
                  <w:rFonts w:ascii="Arial" w:cs="Arial" w:eastAsia="Arial" w:hAnsi="Arial"/>
                  <w:sz w:val="16"/>
                  <w:szCs w:val="16"/>
                  <w:color w:val="0000FF"/>
                </w:rPr>
                <w:t>Trademark License Agreement, dated December 31, 2022, by and between General Electric Company and GE HealthCare Imaging Holding</w:t>
              </w:r>
            </w:hyperlink>
          </w:p>
        </w:tc>
        <w:tc>
          <w:tcPr>
            <w:tcW w:w="160" w:type="dxa"/>
            <w:vAlign w:val="bottom"/>
            <w:tcBorders>
              <w:bottom w:val="single" w:sz="8" w:color="E4E4E4"/>
            </w:tcBorders>
            <w:gridSpan w:val="6"/>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vMerge w:val="continue"/>
            <w:shd w:val="clear" w:color="auto" w:fill="E4E4E4"/>
          </w:tcPr>
          <w:p>
            <w:pPr>
              <w:spacing w:after="0"/>
              <w:rPr>
                <w:sz w:val="9"/>
                <w:szCs w:val="9"/>
                <w:color w:val="auto"/>
              </w:rPr>
            </w:pPr>
          </w:p>
        </w:tc>
        <w:tc>
          <w:tcPr>
            <w:tcW w:w="10200" w:type="dxa"/>
            <w:vAlign w:val="bottom"/>
            <w:tcBorders>
              <w:left w:val="single" w:sz="8" w:color="E4E4E4"/>
            </w:tcBorders>
            <w:gridSpan w:val="33"/>
            <w:vMerge w:val="restart"/>
            <w:shd w:val="clear" w:color="auto" w:fill="E4E4E4"/>
          </w:tcPr>
          <w:p>
            <w:pPr>
              <w:spacing w:after="0" w:line="183" w:lineRule="exact"/>
              <w:rPr>
                <w:rFonts w:ascii="Arial" w:cs="Arial" w:eastAsia="Arial" w:hAnsi="Arial"/>
                <w:sz w:val="16"/>
                <w:szCs w:val="16"/>
                <w:color w:val="0000FF"/>
              </w:rPr>
            </w:pPr>
            <w:hyperlink r:id="rId151">
              <w:r>
                <w:rPr>
                  <w:rFonts w:ascii="Arial" w:cs="Arial" w:eastAsia="Arial" w:hAnsi="Arial"/>
                  <w:sz w:val="16"/>
                  <w:szCs w:val="16"/>
                  <w:u w:val="single" w:color="auto"/>
                  <w:color w:val="0000FF"/>
                </w:rPr>
                <w:t>Inc.</w:t>
              </w:r>
              <w:r>
                <w:rPr>
                  <w:rFonts w:ascii="Arial" w:cs="Arial" w:eastAsia="Arial" w:hAnsi="Arial"/>
                  <w:sz w:val="16"/>
                  <w:szCs w:val="16"/>
                  <w:color w:val="0000FF"/>
                </w:rPr>
                <w:t xml:space="preserve"> (incorporated by reference into Exhibit 10.4 to the Registrant’s Current Report on Form 8-K filed with the SEC on January 4, 2023).</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10200" w:type="dxa"/>
            <w:vAlign w:val="bottom"/>
            <w:tcBorders>
              <w:left w:val="single" w:sz="8" w:color="E4E4E4"/>
            </w:tcBorders>
            <w:gridSpan w:val="33"/>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64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1080" w:type="dxa"/>
            <w:vAlign w:val="bottom"/>
            <w:tcBorders>
              <w:top w:val="single" w:sz="8" w:color="0000FF"/>
            </w:tcBorders>
            <w:shd w:val="clear" w:color="auto" w:fill="E4E4E4"/>
          </w:tcPr>
          <w:p>
            <w:pPr>
              <w:spacing w:after="0"/>
              <w:rPr>
                <w:sz w:val="4"/>
                <w:szCs w:val="4"/>
                <w:color w:val="auto"/>
              </w:rPr>
            </w:pPr>
          </w:p>
        </w:tc>
        <w:tc>
          <w:tcPr>
            <w:tcW w:w="3300" w:type="dxa"/>
            <w:vAlign w:val="bottom"/>
            <w:tcBorders>
              <w:top w:val="single" w:sz="8" w:color="0000FF"/>
            </w:tcBorders>
            <w:shd w:val="clear" w:color="auto" w:fill="E4E4E4"/>
          </w:tcPr>
          <w:p>
            <w:pPr>
              <w:spacing w:after="0"/>
              <w:rPr>
                <w:sz w:val="4"/>
                <w:szCs w:val="4"/>
                <w:color w:val="auto"/>
              </w:rPr>
            </w:pPr>
          </w:p>
        </w:tc>
        <w:tc>
          <w:tcPr>
            <w:tcW w:w="88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1220" w:type="dxa"/>
            <w:vAlign w:val="bottom"/>
            <w:tcBorders>
              <w:top w:val="single" w:sz="8" w:color="0000FF"/>
            </w:tcBorders>
            <w:shd w:val="clear" w:color="auto" w:fill="E4E4E4"/>
          </w:tcPr>
          <w:p>
            <w:pPr>
              <w:spacing w:after="0"/>
              <w:rPr>
                <w:sz w:val="4"/>
                <w:szCs w:val="4"/>
                <w:color w:val="auto"/>
              </w:rPr>
            </w:pPr>
          </w:p>
        </w:tc>
        <w:tc>
          <w:tcPr>
            <w:tcW w:w="220" w:type="dxa"/>
            <w:vAlign w:val="bottom"/>
            <w:tcBorders>
              <w:top w:val="single" w:sz="8" w:color="0000FF"/>
            </w:tcBorders>
            <w:shd w:val="clear" w:color="auto" w:fill="E4E4E4"/>
          </w:tcPr>
          <w:p>
            <w:pPr>
              <w:spacing w:after="0"/>
              <w:rPr>
                <w:sz w:val="4"/>
                <w:szCs w:val="4"/>
                <w:color w:val="auto"/>
              </w:rPr>
            </w:pPr>
          </w:p>
        </w:tc>
        <w:tc>
          <w:tcPr>
            <w:tcW w:w="140" w:type="dxa"/>
            <w:vAlign w:val="bottom"/>
            <w:tcBorders>
              <w:top w:val="single" w:sz="8" w:color="0000FF"/>
            </w:tcBorders>
            <w:shd w:val="clear" w:color="auto" w:fill="E4E4E4"/>
          </w:tcPr>
          <w:p>
            <w:pPr>
              <w:spacing w:after="0"/>
              <w:rPr>
                <w:sz w:val="4"/>
                <w:szCs w:val="4"/>
                <w:color w:val="auto"/>
              </w:rPr>
            </w:pPr>
          </w:p>
        </w:tc>
        <w:tc>
          <w:tcPr>
            <w:tcW w:w="4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10200" w:type="dxa"/>
            <w:vAlign w:val="bottom"/>
            <w:gridSpan w:val="33"/>
          </w:tcPr>
          <w:p>
            <w:pPr>
              <w:spacing w:after="0"/>
              <w:rPr>
                <w:rFonts w:ascii="Arial" w:cs="Arial" w:eastAsia="Arial" w:hAnsi="Arial"/>
                <w:sz w:val="16"/>
                <w:szCs w:val="16"/>
                <w:color w:val="0000FF"/>
              </w:rPr>
            </w:pPr>
            <w:hyperlink r:id="rId152">
              <w:r>
                <w:rPr>
                  <w:rFonts w:ascii="Arial" w:cs="Arial" w:eastAsia="Arial" w:hAnsi="Arial"/>
                  <w:sz w:val="16"/>
                  <w:szCs w:val="16"/>
                  <w:color w:val="0000FF"/>
                </w:rPr>
                <w:t>Real Estate Matters Agreement, dated January 2, 2023, by and between General Electric Company and the Registrant (incorporated by</w:t>
              </w:r>
            </w:hyperlink>
          </w:p>
        </w:tc>
        <w:tc>
          <w:tcPr>
            <w:tcW w:w="0" w:type="dxa"/>
            <w:vAlign w:val="bottom"/>
          </w:tcPr>
          <w:p>
            <w:pPr>
              <w:spacing w:after="0"/>
              <w:rPr>
                <w:sz w:val="1"/>
                <w:szCs w:val="1"/>
                <w:color w:val="auto"/>
              </w:rPr>
            </w:pPr>
          </w:p>
        </w:tc>
      </w:tr>
      <w:tr>
        <w:trPr>
          <w:trHeight w:val="113"/>
        </w:trPr>
        <w:tc>
          <w:tcPr>
            <w:tcW w:w="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720" w:type="dxa"/>
            <w:vAlign w:val="bottom"/>
            <w:tcBorders>
              <w:top w:val="single" w:sz="8" w:color="0000FF"/>
            </w:tcBorders>
            <w:gridSpan w:val="20"/>
            <w:vMerge w:val="restart"/>
          </w:tcPr>
          <w:p>
            <w:pPr>
              <w:spacing w:after="0" w:line="183" w:lineRule="exact"/>
              <w:rPr>
                <w:rFonts w:ascii="Arial" w:cs="Arial" w:eastAsia="Arial" w:hAnsi="Arial"/>
                <w:sz w:val="16"/>
                <w:szCs w:val="16"/>
                <w:color w:val="0000FF"/>
              </w:rPr>
            </w:pPr>
            <w:hyperlink r:id="rId152">
              <w:r>
                <w:rPr>
                  <w:rFonts w:ascii="Arial" w:cs="Arial" w:eastAsia="Arial" w:hAnsi="Arial"/>
                  <w:sz w:val="16"/>
                  <w:szCs w:val="16"/>
                  <w:color w:val="0000FF"/>
                </w:rPr>
                <w:t>reference to Exhibit 10.5 to the Registrant’s Current Report on Form 8-K filed with the SEC on January 4, 2023).</w:t>
              </w:r>
            </w:hyperlink>
          </w:p>
        </w:tc>
        <w:tc>
          <w:tcPr>
            <w:tcW w:w="480" w:type="dxa"/>
            <w:vAlign w:val="bottom"/>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720" w:type="dxa"/>
            <w:vAlign w:val="bottom"/>
            <w:gridSpan w:val="20"/>
            <w:vMerge w:val="continue"/>
          </w:tcPr>
          <w:p>
            <w:pPr>
              <w:spacing w:after="0"/>
              <w:rPr>
                <w:sz w:val="6"/>
                <w:szCs w:val="6"/>
                <w:color w:val="auto"/>
              </w:rPr>
            </w:pPr>
          </w:p>
        </w:tc>
        <w:tc>
          <w:tcPr>
            <w:tcW w:w="48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3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vMerge w:val="restart"/>
            <w:shd w:val="clear" w:color="auto" w:fill="E4E4E4"/>
          </w:tcPr>
          <w:p>
            <w:pPr>
              <w:jc w:val="center"/>
              <w:spacing w:after="0"/>
              <w:rPr>
                <w:sz w:val="20"/>
                <w:szCs w:val="20"/>
                <w:color w:val="auto"/>
              </w:rPr>
            </w:pPr>
            <w:r>
              <w:rPr>
                <w:rFonts w:ascii="Arial" w:cs="Arial" w:eastAsia="Arial" w:hAnsi="Arial"/>
                <w:sz w:val="16"/>
                <w:szCs w:val="16"/>
                <w:color w:val="auto"/>
              </w:rPr>
              <w:t>10.6</w:t>
            </w:r>
          </w:p>
        </w:tc>
        <w:tc>
          <w:tcPr>
            <w:tcW w:w="10200" w:type="dxa"/>
            <w:vAlign w:val="bottom"/>
            <w:tcBorders>
              <w:left w:val="single" w:sz="8" w:color="E4E4E4"/>
            </w:tcBorders>
            <w:gridSpan w:val="33"/>
            <w:shd w:val="clear" w:color="auto" w:fill="E4E4E4"/>
          </w:tcPr>
          <w:p>
            <w:pPr>
              <w:spacing w:after="0"/>
              <w:rPr>
                <w:rFonts w:ascii="Arial" w:cs="Arial" w:eastAsia="Arial" w:hAnsi="Arial"/>
                <w:sz w:val="16"/>
                <w:szCs w:val="16"/>
                <w:color w:val="0000FF"/>
              </w:rPr>
            </w:pPr>
            <w:hyperlink r:id="rId153">
              <w:r>
                <w:rPr>
                  <w:rFonts w:ascii="Arial" w:cs="Arial" w:eastAsia="Arial" w:hAnsi="Arial"/>
                  <w:sz w:val="16"/>
                  <w:szCs w:val="16"/>
                  <w:color w:val="0000FF"/>
                </w:rPr>
                <w:t>Stockholder and Registration Rights Agreement, dated January 2, 2023, by and between General Electric Company and the Registrant</w:t>
              </w:r>
            </w:hyperlink>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980" w:type="dxa"/>
            <w:vAlign w:val="bottom"/>
            <w:tcBorders>
              <w:top w:val="single" w:sz="8" w:color="E4E4E4"/>
            </w:tcBorders>
            <w:vMerge w:val="continue"/>
            <w:shd w:val="clear" w:color="auto" w:fill="E4E4E4"/>
          </w:tcPr>
          <w:p>
            <w:pPr>
              <w:spacing w:after="0"/>
              <w:rPr>
                <w:sz w:val="9"/>
                <w:szCs w:val="9"/>
                <w:color w:val="auto"/>
              </w:rPr>
            </w:pPr>
          </w:p>
        </w:tc>
        <w:tc>
          <w:tcPr>
            <w:tcW w:w="9660" w:type="dxa"/>
            <w:vAlign w:val="bottom"/>
            <w:tcBorders>
              <w:top w:val="single" w:sz="8" w:color="0000FF"/>
              <w:left w:val="single" w:sz="8" w:color="E4E4E4"/>
            </w:tcBorders>
            <w:gridSpan w:val="17"/>
            <w:vMerge w:val="restart"/>
            <w:shd w:val="clear" w:color="auto" w:fill="E4E4E4"/>
          </w:tcPr>
          <w:p>
            <w:pPr>
              <w:spacing w:after="0" w:line="183" w:lineRule="exact"/>
              <w:rPr>
                <w:rFonts w:ascii="Arial" w:cs="Arial" w:eastAsia="Arial" w:hAnsi="Arial"/>
                <w:sz w:val="16"/>
                <w:szCs w:val="16"/>
                <w:color w:val="0000FF"/>
              </w:rPr>
            </w:pPr>
            <w:hyperlink r:id="rId153">
              <w:r>
                <w:rPr>
                  <w:rFonts w:ascii="Arial" w:cs="Arial" w:eastAsia="Arial" w:hAnsi="Arial"/>
                  <w:sz w:val="16"/>
                  <w:szCs w:val="16"/>
                  <w:color w:val="0000FF"/>
                </w:rPr>
                <w:t>(incorporated by reference to Exhibit 10.6 to the Registrant’s Current Report on Form 8-K filed with the SEC on January 4, 2023).</w:t>
              </w:r>
              <w:r>
                <w:rPr>
                  <w:rFonts w:ascii="Arial" w:cs="Arial" w:eastAsia="Arial" w:hAnsi="Arial"/>
                  <w:sz w:val="16"/>
                  <w:szCs w:val="16"/>
                  <w:color w:val="000000"/>
                </w:rPr>
                <w:t>†</w:t>
              </w:r>
            </w:hyperlink>
          </w:p>
        </w:tc>
        <w:tc>
          <w:tcPr>
            <w:tcW w:w="540" w:type="dxa"/>
            <w:vAlign w:val="bottom"/>
            <w:tcBorders>
              <w:top w:val="single" w:sz="8" w:color="E4E4E4"/>
            </w:tcBorders>
            <w:gridSpan w:val="16"/>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980" w:type="dxa"/>
            <w:vAlign w:val="bottom"/>
            <w:shd w:val="clear" w:color="auto" w:fill="E4E4E4"/>
          </w:tcPr>
          <w:p>
            <w:pPr>
              <w:spacing w:after="0"/>
              <w:rPr>
                <w:sz w:val="6"/>
                <w:szCs w:val="6"/>
                <w:color w:val="auto"/>
              </w:rPr>
            </w:pPr>
          </w:p>
        </w:tc>
        <w:tc>
          <w:tcPr>
            <w:tcW w:w="9660" w:type="dxa"/>
            <w:vAlign w:val="bottom"/>
            <w:tcBorders>
              <w:left w:val="single" w:sz="8" w:color="E4E4E4"/>
            </w:tcBorders>
            <w:gridSpan w:val="17"/>
            <w:vMerge w:val="continue"/>
            <w:shd w:val="clear" w:color="auto" w:fill="E4E4E4"/>
          </w:tcPr>
          <w:p>
            <w:pPr>
              <w:spacing w:after="0"/>
              <w:rPr>
                <w:sz w:val="6"/>
                <w:szCs w:val="6"/>
                <w:color w:val="auto"/>
              </w:rPr>
            </w:pPr>
          </w:p>
        </w:tc>
        <w:tc>
          <w:tcPr>
            <w:tcW w:w="540" w:type="dxa"/>
            <w:vAlign w:val="bottom"/>
            <w:gridSpan w:val="16"/>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64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1080" w:type="dxa"/>
            <w:vAlign w:val="bottom"/>
            <w:tcBorders>
              <w:top w:val="single" w:sz="8" w:color="0000FF"/>
            </w:tcBorders>
            <w:shd w:val="clear" w:color="auto" w:fill="E4E4E4"/>
          </w:tcPr>
          <w:p>
            <w:pPr>
              <w:spacing w:after="0"/>
              <w:rPr>
                <w:sz w:val="4"/>
                <w:szCs w:val="4"/>
                <w:color w:val="auto"/>
              </w:rPr>
            </w:pPr>
          </w:p>
        </w:tc>
        <w:tc>
          <w:tcPr>
            <w:tcW w:w="3300" w:type="dxa"/>
            <w:vAlign w:val="bottom"/>
            <w:tcBorders>
              <w:top w:val="single" w:sz="8" w:color="0000FF"/>
            </w:tcBorders>
            <w:shd w:val="clear" w:color="auto" w:fill="E4E4E4"/>
          </w:tcPr>
          <w:p>
            <w:pPr>
              <w:spacing w:after="0"/>
              <w:rPr>
                <w:sz w:val="4"/>
                <w:szCs w:val="4"/>
                <w:color w:val="auto"/>
              </w:rPr>
            </w:pPr>
          </w:p>
        </w:tc>
        <w:tc>
          <w:tcPr>
            <w:tcW w:w="880" w:type="dxa"/>
            <w:vAlign w:val="bottom"/>
            <w:tcBorders>
              <w:top w:val="single" w:sz="8" w:color="0000FF"/>
            </w:tcBorders>
            <w:shd w:val="clear" w:color="auto" w:fill="E4E4E4"/>
          </w:tcPr>
          <w:p>
            <w:pPr>
              <w:spacing w:after="0"/>
              <w:rPr>
                <w:sz w:val="4"/>
                <w:szCs w:val="4"/>
                <w:color w:val="auto"/>
              </w:rPr>
            </w:pPr>
          </w:p>
        </w:tc>
        <w:tc>
          <w:tcPr>
            <w:tcW w:w="20" w:type="dxa"/>
            <w:vAlign w:val="bottom"/>
            <w:tcBorders>
              <w:top w:val="single" w:sz="8" w:color="0000FF"/>
            </w:tcBorders>
            <w:shd w:val="clear" w:color="auto" w:fill="E4E4E4"/>
          </w:tcPr>
          <w:p>
            <w:pPr>
              <w:spacing w:after="0"/>
              <w:rPr>
                <w:sz w:val="4"/>
                <w:szCs w:val="4"/>
                <w:color w:val="auto"/>
              </w:rPr>
            </w:pPr>
          </w:p>
        </w:tc>
        <w:tc>
          <w:tcPr>
            <w:tcW w:w="1220" w:type="dxa"/>
            <w:vAlign w:val="bottom"/>
            <w:tcBorders>
              <w:top w:val="single" w:sz="8" w:color="0000FF"/>
            </w:tcBorders>
            <w:shd w:val="clear" w:color="auto" w:fill="E4E4E4"/>
          </w:tcPr>
          <w:p>
            <w:pPr>
              <w:spacing w:after="0"/>
              <w:rPr>
                <w:sz w:val="4"/>
                <w:szCs w:val="4"/>
                <w:color w:val="auto"/>
              </w:rPr>
            </w:pPr>
          </w:p>
        </w:tc>
        <w:tc>
          <w:tcPr>
            <w:tcW w:w="22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vMerge w:val="restart"/>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10.7</w:t>
            </w:r>
          </w:p>
        </w:tc>
        <w:tc>
          <w:tcPr>
            <w:tcW w:w="10200" w:type="dxa"/>
            <w:vAlign w:val="bottom"/>
            <w:gridSpan w:val="33"/>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Indemnification Agreement (incorporated by reference to Exhibit 10.7 to the Registrant’s Form 10 filed with the SEC on October 11,</w:t>
              </w:r>
            </w:hyperlink>
          </w:p>
        </w:tc>
        <w:tc>
          <w:tcPr>
            <w:tcW w:w="0" w:type="dxa"/>
            <w:vAlign w:val="bottom"/>
          </w:tcPr>
          <w:p>
            <w:pPr>
              <w:spacing w:after="0"/>
              <w:rPr>
                <w:sz w:val="1"/>
                <w:szCs w:val="1"/>
                <w:color w:val="auto"/>
              </w:rPr>
            </w:pPr>
          </w:p>
        </w:tc>
      </w:tr>
      <w:tr>
        <w:trPr>
          <w:trHeight w:val="113"/>
        </w:trPr>
        <w:tc>
          <w:tcPr>
            <w:tcW w:w="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tcBorders>
              <w:top w:val="single" w:sz="8" w:color="0000FF"/>
            </w:tcBorders>
            <w:gridSpan w:val="2"/>
            <w:vMerge w:val="restart"/>
          </w:tcPr>
          <w:p>
            <w:pPr>
              <w:spacing w:after="0" w:line="183" w:lineRule="exact"/>
              <w:rPr>
                <w:rFonts w:ascii="Arial" w:cs="Arial" w:eastAsia="Arial" w:hAnsi="Arial"/>
                <w:sz w:val="16"/>
                <w:szCs w:val="16"/>
                <w:color w:val="0000FF"/>
              </w:rPr>
            </w:pPr>
            <w:hyperlink r:id="rId154">
              <w:r>
                <w:rPr>
                  <w:rFonts w:ascii="Arial" w:cs="Arial" w:eastAsia="Arial" w:hAnsi="Arial"/>
                  <w:sz w:val="16"/>
                  <w:szCs w:val="16"/>
                  <w:color w:val="0000FF"/>
                </w:rPr>
                <w:t>2022).</w:t>
              </w:r>
            </w:hyperlink>
          </w:p>
        </w:tc>
        <w:tc>
          <w:tcPr>
            <w:tcW w:w="6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6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080" w:type="dxa"/>
            <w:vAlign w:val="bottom"/>
            <w:tcBorders>
              <w:top w:val="single" w:sz="8" w:color="0000FF"/>
            </w:tcBorders>
          </w:tcPr>
          <w:p>
            <w:pPr>
              <w:spacing w:after="0"/>
              <w:rPr>
                <w:sz w:val="9"/>
                <w:szCs w:val="9"/>
                <w:color w:val="auto"/>
              </w:rPr>
            </w:pPr>
          </w:p>
        </w:tc>
        <w:tc>
          <w:tcPr>
            <w:tcW w:w="3300" w:type="dxa"/>
            <w:vAlign w:val="bottom"/>
            <w:tcBorders>
              <w:top w:val="single" w:sz="8" w:color="0000FF"/>
            </w:tcBorders>
          </w:tcPr>
          <w:p>
            <w:pPr>
              <w:spacing w:after="0"/>
              <w:rPr>
                <w:sz w:val="9"/>
                <w:szCs w:val="9"/>
                <w:color w:val="auto"/>
              </w:rPr>
            </w:pPr>
          </w:p>
        </w:tc>
        <w:tc>
          <w:tcPr>
            <w:tcW w:w="8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shd w:val="clear" w:color="auto" w:fill="E4E4E4"/>
          </w:tcPr>
          <w:p>
            <w:pPr>
              <w:spacing w:after="0"/>
              <w:rPr>
                <w:sz w:val="16"/>
                <w:szCs w:val="16"/>
                <w:color w:val="auto"/>
              </w:rPr>
            </w:pPr>
          </w:p>
        </w:tc>
        <w:tc>
          <w:tcPr>
            <w:tcW w:w="10080" w:type="dxa"/>
            <w:vAlign w:val="bottom"/>
            <w:tcBorders>
              <w:left w:val="single" w:sz="8" w:color="E4E4E4"/>
              <w:bottom w:val="single" w:sz="8" w:color="0000FF"/>
            </w:tcBorders>
            <w:gridSpan w:val="29"/>
            <w:shd w:val="clear" w:color="auto" w:fill="E4E4E4"/>
          </w:tcPr>
          <w:p>
            <w:pPr>
              <w:spacing w:after="0"/>
              <w:rPr>
                <w:rFonts w:ascii="Arial" w:cs="Arial" w:eastAsia="Arial" w:hAnsi="Arial"/>
                <w:sz w:val="16"/>
                <w:szCs w:val="16"/>
                <w:color w:val="0000FF"/>
              </w:rPr>
            </w:pPr>
            <w:hyperlink r:id="rId155">
              <w:r>
                <w:rPr>
                  <w:rFonts w:ascii="Arial" w:cs="Arial" w:eastAsia="Arial" w:hAnsi="Arial"/>
                  <w:sz w:val="16"/>
                  <w:szCs w:val="16"/>
                  <w:color w:val="0000FF"/>
                </w:rPr>
                <w:t>Term Loan Agreement, dated as of November 4, 2022, by and among GE HealthCare Holding LLC, as the borrower, the lenders from time to</w:t>
              </w:r>
            </w:hyperlink>
          </w:p>
        </w:tc>
        <w:tc>
          <w:tcPr>
            <w:tcW w:w="120" w:type="dxa"/>
            <w:vAlign w:val="bottom"/>
            <w:tcBorders>
              <w:bottom w:val="single" w:sz="8" w:color="E4E4E4"/>
            </w:tcBorders>
            <w:gridSpan w:val="4"/>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E4E4E4"/>
            </w:tcBorders>
            <w:shd w:val="clear" w:color="auto" w:fill="E4E4E4"/>
          </w:tcPr>
          <w:p>
            <w:pPr>
              <w:jc w:val="center"/>
              <w:spacing w:after="0" w:line="183" w:lineRule="exact"/>
              <w:rPr>
                <w:sz w:val="20"/>
                <w:szCs w:val="20"/>
                <w:color w:val="auto"/>
              </w:rPr>
            </w:pPr>
            <w:r>
              <w:rPr>
                <w:rFonts w:ascii="Arial" w:cs="Arial" w:eastAsia="Arial" w:hAnsi="Arial"/>
                <w:sz w:val="16"/>
                <w:szCs w:val="16"/>
                <w:color w:val="auto"/>
              </w:rPr>
              <w:t>10.8</w:t>
            </w:r>
          </w:p>
        </w:tc>
        <w:tc>
          <w:tcPr>
            <w:tcW w:w="10060" w:type="dxa"/>
            <w:vAlign w:val="bottom"/>
            <w:tcBorders>
              <w:left w:val="single" w:sz="8" w:color="E4E4E4"/>
              <w:bottom w:val="single" w:sz="8" w:color="0000FF"/>
            </w:tcBorders>
            <w:gridSpan w:val="28"/>
            <w:shd w:val="clear" w:color="auto" w:fill="E4E4E4"/>
          </w:tcPr>
          <w:p>
            <w:pPr>
              <w:spacing w:after="0" w:line="183" w:lineRule="exact"/>
              <w:rPr>
                <w:rFonts w:ascii="Arial" w:cs="Arial" w:eastAsia="Arial" w:hAnsi="Arial"/>
                <w:sz w:val="16"/>
                <w:szCs w:val="16"/>
                <w:color w:val="0000FF"/>
              </w:rPr>
            </w:pPr>
            <w:hyperlink r:id="rId155">
              <w:r>
                <w:rPr>
                  <w:rFonts w:ascii="Arial" w:cs="Arial" w:eastAsia="Arial" w:hAnsi="Arial"/>
                  <w:sz w:val="16"/>
                  <w:szCs w:val="16"/>
                  <w:color w:val="0000FF"/>
                </w:rPr>
                <w:t>time party thereto and Citibank, N.A., as administrative agent (incorporated by reference to Exhibit 10.8 to the Registrant’s Amendment No.1</w:t>
              </w:r>
            </w:hyperlink>
          </w:p>
        </w:tc>
        <w:tc>
          <w:tcPr>
            <w:tcW w:w="140" w:type="dxa"/>
            <w:vAlign w:val="bottom"/>
            <w:tcBorders>
              <w:bottom w:val="single" w:sz="8" w:color="E4E4E4"/>
            </w:tcBorders>
            <w:gridSpan w:val="5"/>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3820" w:type="dxa"/>
            <w:vAlign w:val="bottom"/>
            <w:tcBorders>
              <w:left w:val="single" w:sz="8" w:color="E4E4E4"/>
              <w:bottom w:val="single" w:sz="8" w:color="0000FF"/>
            </w:tcBorders>
            <w:gridSpan w:val="9"/>
            <w:shd w:val="clear" w:color="auto" w:fill="E4E4E4"/>
          </w:tcPr>
          <w:p>
            <w:pPr>
              <w:spacing w:after="0" w:line="183" w:lineRule="exact"/>
              <w:rPr>
                <w:rFonts w:ascii="Arial" w:cs="Arial" w:eastAsia="Arial" w:hAnsi="Arial"/>
                <w:sz w:val="16"/>
                <w:szCs w:val="16"/>
                <w:color w:val="0000FF"/>
              </w:rPr>
            </w:pPr>
            <w:hyperlink r:id="rId155">
              <w:r>
                <w:rPr>
                  <w:rFonts w:ascii="Arial" w:cs="Arial" w:eastAsia="Arial" w:hAnsi="Arial"/>
                  <w:sz w:val="16"/>
                  <w:szCs w:val="16"/>
                  <w:color w:val="0000FF"/>
                </w:rPr>
                <w:t>to Form 10 filed with the SEC on November 7, 2022).</w:t>
              </w:r>
            </w:hyperlink>
          </w:p>
        </w:tc>
        <w:tc>
          <w:tcPr>
            <w:tcW w:w="6380" w:type="dxa"/>
            <w:vAlign w:val="bottom"/>
            <w:tcBorders>
              <w:bottom w:val="single" w:sz="8" w:color="E4E4E4"/>
            </w:tcBorders>
            <w:gridSpan w:val="24"/>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0" w:type="dxa"/>
            <w:vAlign w:val="bottom"/>
            <w:gridSpan w:val="33"/>
          </w:tcPr>
          <w:p>
            <w:pPr>
              <w:spacing w:after="0"/>
              <w:rPr>
                <w:rFonts w:ascii="Arial" w:cs="Arial" w:eastAsia="Arial" w:hAnsi="Arial"/>
                <w:sz w:val="16"/>
                <w:szCs w:val="16"/>
                <w:color w:val="0000FF"/>
              </w:rPr>
            </w:pPr>
            <w:hyperlink r:id="rId156">
              <w:r>
                <w:rPr>
                  <w:rFonts w:ascii="Arial" w:cs="Arial" w:eastAsia="Arial" w:hAnsi="Arial"/>
                  <w:sz w:val="16"/>
                  <w:szCs w:val="16"/>
                  <w:color w:val="0000FF"/>
                </w:rPr>
                <w:t xml:space="preserve">364-Day Revolving Credit Agreement, dated as of December 13, </w:t>
              </w:r>
            </w:hyperlink>
            <w:r>
              <w:rPr>
                <w:rFonts w:ascii="Arial" w:cs="Arial" w:eastAsia="Arial" w:hAnsi="Arial"/>
                <w:sz w:val="16"/>
                <w:szCs w:val="16"/>
                <w:color w:val="0000FF"/>
              </w:rPr>
              <w:t xml:space="preserve">2023, </w:t>
            </w:r>
            <w:hyperlink r:id="rId156">
              <w:r>
                <w:rPr>
                  <w:rFonts w:ascii="Arial" w:cs="Arial" w:eastAsia="Arial" w:hAnsi="Arial"/>
                  <w:sz w:val="16"/>
                  <w:szCs w:val="16"/>
                  <w:color w:val="0000FF"/>
                </w:rPr>
                <w:t xml:space="preserve">by and among GE HealthCare </w:t>
              </w:r>
            </w:hyperlink>
            <w:r>
              <w:rPr>
                <w:rFonts w:ascii="Arial" w:cs="Arial" w:eastAsia="Arial" w:hAnsi="Arial"/>
                <w:sz w:val="16"/>
                <w:szCs w:val="16"/>
                <w:color w:val="0000FF"/>
              </w:rPr>
              <w:t xml:space="preserve">Technologies </w:t>
            </w:r>
            <w:hyperlink r:id="rId156">
              <w:r>
                <w:rPr>
                  <w:rFonts w:ascii="Arial" w:cs="Arial" w:eastAsia="Arial" w:hAnsi="Arial"/>
                  <w:sz w:val="16"/>
                  <w:szCs w:val="16"/>
                  <w:color w:val="0000FF"/>
                </w:rPr>
                <w:t>Inc., the lenders party</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640" w:type="dxa"/>
            <w:vAlign w:val="bottom"/>
            <w:tcBorders>
              <w:left w:val="single" w:sz="8" w:color="0000FF"/>
            </w:tcBorders>
            <w:gridSpan w:val="7"/>
            <w:shd w:val="clear" w:color="auto" w:fill="0000FF"/>
          </w:tcPr>
          <w:p>
            <w:pPr>
              <w:spacing w:after="0" w:line="20" w:lineRule="exact"/>
              <w:rPr>
                <w:sz w:val="1"/>
                <w:szCs w:val="1"/>
                <w:color w:val="auto"/>
              </w:rPr>
            </w:pPr>
          </w:p>
        </w:tc>
        <w:tc>
          <w:tcPr>
            <w:tcW w:w="7260" w:type="dxa"/>
            <w:vAlign w:val="bottom"/>
            <w:gridSpan w:val="1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2"/>
          </w:tcPr>
          <w:p>
            <w:pPr>
              <w:jc w:val="center"/>
              <w:spacing w:after="0" w:line="183" w:lineRule="exact"/>
              <w:rPr>
                <w:sz w:val="20"/>
                <w:szCs w:val="20"/>
                <w:color w:val="auto"/>
              </w:rPr>
            </w:pPr>
            <w:r>
              <w:rPr>
                <w:rFonts w:ascii="Arial" w:cs="Arial" w:eastAsia="Arial" w:hAnsi="Arial"/>
                <w:sz w:val="16"/>
                <w:szCs w:val="16"/>
                <w:color w:val="auto"/>
              </w:rPr>
              <w:t>10.9</w:t>
            </w:r>
          </w:p>
        </w:tc>
        <w:tc>
          <w:tcPr>
            <w:tcW w:w="10200" w:type="dxa"/>
            <w:vAlign w:val="bottom"/>
            <w:gridSpan w:val="33"/>
          </w:tcPr>
          <w:p>
            <w:pPr>
              <w:spacing w:after="0" w:line="183" w:lineRule="exact"/>
              <w:rPr>
                <w:rFonts w:ascii="Arial" w:cs="Arial" w:eastAsia="Arial" w:hAnsi="Arial"/>
                <w:sz w:val="16"/>
                <w:szCs w:val="16"/>
                <w:color w:val="0000FF"/>
              </w:rPr>
            </w:pPr>
            <w:hyperlink r:id="rId156">
              <w:r>
                <w:rPr>
                  <w:rFonts w:ascii="Arial" w:cs="Arial" w:eastAsia="Arial" w:hAnsi="Arial"/>
                  <w:sz w:val="16"/>
                  <w:szCs w:val="16"/>
                  <w:color w:val="0000FF"/>
                </w:rPr>
                <w:t>thereto, and Citibank, N.A., as Administrative Agent (incorporated by reference to Exhibit 10.1 to the Registrant’s Form 8-K filed with the SEC</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100" w:type="dxa"/>
            <w:vAlign w:val="bottom"/>
            <w:tcBorders>
              <w:top w:val="single" w:sz="8" w:color="0000FF"/>
            </w:tcBorders>
            <w:gridSpan w:val="30"/>
          </w:tcPr>
          <w:p>
            <w:pPr>
              <w:spacing w:after="0" w:line="183" w:lineRule="exact"/>
              <w:rPr>
                <w:rFonts w:ascii="Arial" w:cs="Arial" w:eastAsia="Arial" w:hAnsi="Arial"/>
                <w:sz w:val="16"/>
                <w:szCs w:val="16"/>
                <w:color w:val="0000FF"/>
              </w:rPr>
            </w:pPr>
            <w:hyperlink r:id="rId156">
              <w:r>
                <w:rPr>
                  <w:rFonts w:ascii="Arial" w:cs="Arial" w:eastAsia="Arial" w:hAnsi="Arial"/>
                  <w:sz w:val="16"/>
                  <w:szCs w:val="16"/>
                  <w:color w:val="0000FF"/>
                </w:rPr>
                <w:t>on December 15, 2023).</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tcBorders>
              <w:bottom w:val="single" w:sz="8" w:color="E4E4E4"/>
            </w:tcBorders>
            <w:shd w:val="clear" w:color="auto" w:fill="E4E4E4"/>
          </w:tcPr>
          <w:p>
            <w:pPr>
              <w:spacing w:after="0"/>
              <w:rPr>
                <w:sz w:val="16"/>
                <w:szCs w:val="16"/>
                <w:color w:val="auto"/>
              </w:rPr>
            </w:pPr>
          </w:p>
        </w:tc>
        <w:tc>
          <w:tcPr>
            <w:tcW w:w="10020" w:type="dxa"/>
            <w:vAlign w:val="bottom"/>
            <w:tcBorders>
              <w:left w:val="single" w:sz="8" w:color="E4E4E4"/>
              <w:bottom w:val="single" w:sz="8" w:color="0000FF"/>
            </w:tcBorders>
            <w:gridSpan w:val="26"/>
            <w:shd w:val="clear" w:color="auto" w:fill="E4E4E4"/>
          </w:tcPr>
          <w:p>
            <w:pPr>
              <w:spacing w:after="0"/>
              <w:rPr>
                <w:rFonts w:ascii="Arial" w:cs="Arial" w:eastAsia="Arial" w:hAnsi="Arial"/>
                <w:sz w:val="16"/>
                <w:szCs w:val="16"/>
                <w:color w:val="0000FF"/>
              </w:rPr>
            </w:pPr>
            <w:hyperlink r:id="rId157">
              <w:r>
                <w:rPr>
                  <w:rFonts w:ascii="Arial" w:cs="Arial" w:eastAsia="Arial" w:hAnsi="Arial"/>
                  <w:sz w:val="16"/>
                  <w:szCs w:val="16"/>
                  <w:color w:val="0000FF"/>
                </w:rPr>
                <w:t>Credit Agreement, dated as of November 4, 2022, by and among the Registrant, as the borrower, the lenders from time to time party thereto</w:t>
              </w:r>
            </w:hyperlink>
          </w:p>
        </w:tc>
        <w:tc>
          <w:tcPr>
            <w:tcW w:w="180" w:type="dxa"/>
            <w:vAlign w:val="bottom"/>
            <w:tcBorders>
              <w:bottom w:val="single" w:sz="8" w:color="E4E4E4"/>
            </w:tcBorders>
            <w:gridSpan w:val="7"/>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tcBorders>
              <w:bottom w:val="single" w:sz="8" w:color="E4E4E4"/>
            </w:tcBorders>
            <w:shd w:val="clear" w:color="auto" w:fill="E4E4E4"/>
          </w:tcPr>
          <w:p>
            <w:pPr>
              <w:jc w:val="center"/>
              <w:spacing w:after="0" w:line="183" w:lineRule="exact"/>
              <w:rPr>
                <w:sz w:val="20"/>
                <w:szCs w:val="20"/>
                <w:color w:val="auto"/>
              </w:rPr>
            </w:pPr>
            <w:r>
              <w:rPr>
                <w:rFonts w:ascii="Arial" w:cs="Arial" w:eastAsia="Arial" w:hAnsi="Arial"/>
                <w:sz w:val="16"/>
                <w:szCs w:val="16"/>
                <w:color w:val="auto"/>
                <w:w w:val="99"/>
              </w:rPr>
              <w:t>10.10</w:t>
            </w:r>
          </w:p>
        </w:tc>
        <w:tc>
          <w:tcPr>
            <w:tcW w:w="10040" w:type="dxa"/>
            <w:vAlign w:val="bottom"/>
            <w:tcBorders>
              <w:left w:val="single" w:sz="8" w:color="E4E4E4"/>
              <w:bottom w:val="single" w:sz="8" w:color="0000FF"/>
            </w:tcBorders>
            <w:gridSpan w:val="27"/>
            <w:shd w:val="clear" w:color="auto" w:fill="E4E4E4"/>
          </w:tcPr>
          <w:p>
            <w:pPr>
              <w:spacing w:after="0" w:line="183" w:lineRule="exact"/>
              <w:rPr>
                <w:rFonts w:ascii="Arial" w:cs="Arial" w:eastAsia="Arial" w:hAnsi="Arial"/>
                <w:sz w:val="16"/>
                <w:szCs w:val="16"/>
                <w:color w:val="0000FF"/>
              </w:rPr>
            </w:pPr>
            <w:hyperlink r:id="rId157">
              <w:r>
                <w:rPr>
                  <w:rFonts w:ascii="Arial" w:cs="Arial" w:eastAsia="Arial" w:hAnsi="Arial"/>
                  <w:sz w:val="16"/>
                  <w:szCs w:val="16"/>
                  <w:color w:val="0000FF"/>
                </w:rPr>
                <w:t>and Citibank, N.A., as administrative agent (incorporated by reference to Exhibit 10.10 to the Registrant's Amendment No. 1 to Form 10 filed</w:t>
              </w:r>
            </w:hyperlink>
          </w:p>
        </w:tc>
        <w:tc>
          <w:tcPr>
            <w:tcW w:w="160" w:type="dxa"/>
            <w:vAlign w:val="bottom"/>
            <w:tcBorders>
              <w:bottom w:val="single" w:sz="8" w:color="E4E4E4"/>
            </w:tcBorders>
            <w:gridSpan w:val="6"/>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shd w:val="clear" w:color="auto" w:fill="E4E4E4"/>
          </w:tcPr>
          <w:p>
            <w:pPr>
              <w:spacing w:after="0"/>
              <w:rPr>
                <w:sz w:val="15"/>
                <w:szCs w:val="15"/>
                <w:color w:val="auto"/>
              </w:rPr>
            </w:pPr>
          </w:p>
        </w:tc>
        <w:tc>
          <w:tcPr>
            <w:tcW w:w="10200" w:type="dxa"/>
            <w:vAlign w:val="bottom"/>
            <w:tcBorders>
              <w:left w:val="single" w:sz="8" w:color="E4E4E4"/>
            </w:tcBorders>
            <w:gridSpan w:val="33"/>
            <w:shd w:val="clear" w:color="auto" w:fill="E4E4E4"/>
          </w:tcPr>
          <w:p>
            <w:pPr>
              <w:spacing w:after="0" w:line="183" w:lineRule="exact"/>
              <w:rPr>
                <w:rFonts w:ascii="Arial" w:cs="Arial" w:eastAsia="Arial" w:hAnsi="Arial"/>
                <w:sz w:val="16"/>
                <w:szCs w:val="16"/>
                <w:color w:val="0000FF"/>
              </w:rPr>
            </w:pPr>
            <w:hyperlink r:id="rId157">
              <w:r>
                <w:rPr>
                  <w:rFonts w:ascii="Arial" w:cs="Arial" w:eastAsia="Arial" w:hAnsi="Arial"/>
                  <w:sz w:val="16"/>
                  <w:szCs w:val="16"/>
                  <w:color w:val="0000FF"/>
                </w:rPr>
                <w:t>with the SEC on November 7, 2022).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E4E4E4"/>
            </w:tcBorders>
            <w:shd w:val="clear" w:color="auto" w:fill="E4E4E4"/>
          </w:tcPr>
          <w:p>
            <w:pPr>
              <w:spacing w:after="0"/>
              <w:rPr>
                <w:sz w:val="4"/>
                <w:szCs w:val="4"/>
                <w:color w:val="auto"/>
              </w:rPr>
            </w:pPr>
          </w:p>
        </w:tc>
        <w:tc>
          <w:tcPr>
            <w:tcW w:w="460" w:type="dxa"/>
            <w:vAlign w:val="bottom"/>
            <w:tcBorders>
              <w:top w:val="single" w:sz="8" w:color="0000FF"/>
              <w:left w:val="single" w:sz="8" w:color="E4E4E4"/>
            </w:tcBorders>
            <w:shd w:val="clear" w:color="auto" w:fill="E4E4E4"/>
          </w:tcPr>
          <w:p>
            <w:pPr>
              <w:spacing w:after="0"/>
              <w:rPr>
                <w:sz w:val="4"/>
                <w:szCs w:val="4"/>
                <w:color w:val="auto"/>
              </w:rPr>
            </w:pPr>
          </w:p>
        </w:tc>
        <w:tc>
          <w:tcPr>
            <w:tcW w:w="280" w:type="dxa"/>
            <w:vAlign w:val="bottom"/>
            <w:tcBorders>
              <w:top w:val="single" w:sz="8" w:color="0000FF"/>
            </w:tcBorders>
            <w:shd w:val="clear" w:color="auto" w:fill="E4E4E4"/>
          </w:tcPr>
          <w:p>
            <w:pPr>
              <w:spacing w:after="0"/>
              <w:rPr>
                <w:sz w:val="4"/>
                <w:szCs w:val="4"/>
                <w:color w:val="auto"/>
              </w:rPr>
            </w:pPr>
          </w:p>
        </w:tc>
        <w:tc>
          <w:tcPr>
            <w:tcW w:w="68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64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0000FF"/>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1080" w:type="dxa"/>
            <w:vAlign w:val="bottom"/>
            <w:tcBorders>
              <w:top w:val="single" w:sz="8" w:color="E4E4E4"/>
            </w:tcBorders>
            <w:shd w:val="clear" w:color="auto" w:fill="E4E4E4"/>
          </w:tcPr>
          <w:p>
            <w:pPr>
              <w:spacing w:after="0"/>
              <w:rPr>
                <w:sz w:val="4"/>
                <w:szCs w:val="4"/>
                <w:color w:val="auto"/>
              </w:rPr>
            </w:pPr>
          </w:p>
        </w:tc>
        <w:tc>
          <w:tcPr>
            <w:tcW w:w="3300" w:type="dxa"/>
            <w:vAlign w:val="bottom"/>
            <w:tcBorders>
              <w:top w:val="single" w:sz="8" w:color="E4E4E4"/>
            </w:tcBorders>
            <w:shd w:val="clear" w:color="auto" w:fill="E4E4E4"/>
          </w:tcPr>
          <w:p>
            <w:pPr>
              <w:spacing w:after="0"/>
              <w:rPr>
                <w:sz w:val="4"/>
                <w:szCs w:val="4"/>
                <w:color w:val="auto"/>
              </w:rPr>
            </w:pPr>
          </w:p>
        </w:tc>
        <w:tc>
          <w:tcPr>
            <w:tcW w:w="88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1220" w:type="dxa"/>
            <w:vAlign w:val="bottom"/>
            <w:tcBorders>
              <w:top w:val="single" w:sz="8" w:color="E4E4E4"/>
            </w:tcBorders>
            <w:shd w:val="clear" w:color="auto" w:fill="E4E4E4"/>
          </w:tcPr>
          <w:p>
            <w:pPr>
              <w:spacing w:after="0"/>
              <w:rPr>
                <w:sz w:val="4"/>
                <w:szCs w:val="4"/>
                <w:color w:val="auto"/>
              </w:rPr>
            </w:pPr>
          </w:p>
        </w:tc>
        <w:tc>
          <w:tcPr>
            <w:tcW w:w="220" w:type="dxa"/>
            <w:vAlign w:val="bottom"/>
            <w:tcBorders>
              <w:top w:val="single" w:sz="8" w:color="E4E4E4"/>
            </w:tcBorders>
            <w:shd w:val="clear" w:color="auto" w:fill="E4E4E4"/>
          </w:tcPr>
          <w:p>
            <w:pPr>
              <w:spacing w:after="0"/>
              <w:rPr>
                <w:sz w:val="4"/>
                <w:szCs w:val="4"/>
                <w:color w:val="auto"/>
              </w:rPr>
            </w:pPr>
          </w:p>
        </w:tc>
        <w:tc>
          <w:tcPr>
            <w:tcW w:w="14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6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2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097" w:right="359" w:bottom="1440" w:gutter="0" w:footer="0" w:header="0"/>
        </w:sectPr>
      </w:pPr>
    </w:p>
    <w:p>
      <w:pPr>
        <w:spacing w:after="0" w:line="94"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10.11*</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10.12*</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10.13*</w:t>
      </w:r>
    </w:p>
    <w:p>
      <w:pPr>
        <w:spacing w:after="0" w:line="20" w:lineRule="exact"/>
        <w:rPr>
          <w:sz w:val="20"/>
          <w:szCs w:val="20"/>
          <w:color w:val="auto"/>
        </w:rPr>
      </w:pPr>
      <w:r>
        <w:rPr>
          <w:sz w:val="20"/>
          <w:szCs w:val="20"/>
          <w:color w:val="auto"/>
        </w:rPr>
        <w:br w:type="column"/>
      </w:r>
    </w:p>
    <w:p>
      <w:pPr>
        <w:ind w:right="440"/>
        <w:spacing w:after="0" w:line="299"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GE HealthCare 2023 Long-Term Incentive Plan (incorporated by reference to Exhibit 10.11 of the Registrant’s Registration Statement on</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Form S-1 filed with the SEC on December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00"/>
        <w:spacing w:after="0" w:line="299" w:lineRule="auto"/>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GE HealthCare Mirror 2022 Long-Term Incentive Plan (incorporated by reference to Exhibit 10.12 of the Registrant’s Registration Statement</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on Form S-1 filed with the SEC on December 14, 2022).</w:t>
        </w:r>
      </w:hyperlink>
    </w:p>
    <w:p>
      <w:pPr>
        <w:spacing w:after="0" w:line="1" w:lineRule="exact"/>
        <w:rPr>
          <w:sz w:val="20"/>
          <w:szCs w:val="20"/>
          <w:color w:val="auto"/>
        </w:rPr>
      </w:pPr>
    </w:p>
    <w:p>
      <w:pPr>
        <w:ind w:right="200"/>
        <w:spacing w:after="0" w:line="304"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GE HealthCare Mirror 2007 Long-Term Incentive Plan (incorporated by reference to Exhibit 10.13 of the Registrant’s Registration Statement</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on Form S-1 filed with the SEC on December 14, 2022).</w:t>
        </w:r>
      </w:hyperlink>
    </w:p>
    <w:p>
      <w:pPr>
        <w:spacing w:after="0" w:line="200" w:lineRule="exact"/>
        <w:rPr>
          <w:sz w:val="20"/>
          <w:szCs w:val="20"/>
          <w:color w:val="auto"/>
        </w:rPr>
      </w:pPr>
    </w:p>
    <w:p>
      <w:pPr>
        <w:sectPr>
          <w:pgSz w:w="11900" w:h="16838" w:orient="portrait"/>
          <w:cols w:equalWidth="0" w:num="2">
            <w:col w:w="760" w:space="260"/>
            <w:col w:w="10200"/>
          </w:cols>
          <w:pgMar w:left="320" w:top="109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118" w:name="page119"/>
    <w:bookmarkEnd w:id="118"/>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10.34*</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10.39*</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color w:val="auto"/>
        </w:rPr>
        <w:t>21.1</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br w:type="column"/>
      </w:r>
    </w:p>
    <w:p>
      <w:pPr>
        <w:ind w:right="160"/>
        <w:spacing w:after="0" w:line="299" w:lineRule="auto"/>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GE HealthCare Mirror 1990 Long-Term Incentive Plan (incorporated by reference to Exhibit 10.14 of the Registrant’s Registration Statement</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on Form S-1 filed with the SEC on December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-298450</wp:posOffset>
            </wp:positionV>
            <wp:extent cx="7098030" cy="291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00"/>
        <w:spacing w:after="0" w:line="299" w:lineRule="auto"/>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Offer Letter with Peter J. Arduini, dated June 15, 2021 (incorporated by reference to Exhibit 10.15 to the Registrant’s Amendment No. 1 to</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Form 10 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700"/>
        <w:spacing w:after="0" w:line="299" w:lineRule="auto"/>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Amended Offer Letter with Peter J. Arduini, dated November 16, 2022 (incorporated by reference to Exhibit 10.16 to the Registrant’s</w:t>
        </w:r>
      </w:hyperlink>
      <w:r>
        <w:rPr>
          <w:rFonts w:ascii="Arial" w:cs="Arial" w:eastAsia="Arial" w:hAnsi="Arial"/>
          <w:sz w:val="16"/>
          <w:szCs w:val="16"/>
          <w:u w:val="single" w:color="auto"/>
          <w:color w:val="0000FF"/>
        </w:rPr>
        <w:t xml:space="preserve"> </w:t>
      </w:r>
      <w:hyperlink r:id="rId167">
        <w:r>
          <w:rPr>
            <w:rFonts w:ascii="Arial" w:cs="Arial" w:eastAsia="Arial" w:hAnsi="Arial"/>
            <w:sz w:val="16"/>
            <w:szCs w:val="16"/>
            <w:u w:val="single" w:color="auto"/>
            <w:color w:val="0000FF"/>
          </w:rPr>
          <w:t>Amendment No. 2 to Form 10 filed with the SEC on November 18, 2022).</w:t>
        </w:r>
      </w:hyperlink>
    </w:p>
    <w:p>
      <w:pPr>
        <w:spacing w:after="0" w:line="1" w:lineRule="exact"/>
        <w:rPr>
          <w:sz w:val="20"/>
          <w:szCs w:val="20"/>
          <w:color w:val="auto"/>
        </w:rPr>
      </w:pPr>
    </w:p>
    <w:p>
      <w:pPr>
        <w:ind w:right="700"/>
        <w:spacing w:after="0" w:line="299" w:lineRule="auto"/>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Settlement Agreement with Kieran Murphy, dated December 21, 2021 (incorporated by reference to Exhibit 10.16 to the Registrant’s</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Amendment No. 1 to Form 10 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00"/>
        <w:spacing w:after="0" w:line="299" w:lineRule="auto"/>
        <w:rPr>
          <w:rFonts w:ascii="Arial" w:cs="Arial" w:eastAsia="Arial" w:hAnsi="Arial"/>
          <w:sz w:val="16"/>
          <w:szCs w:val="16"/>
          <w:u w:val="single" w:color="auto"/>
          <w:color w:val="0000FF"/>
        </w:rPr>
      </w:pPr>
      <w:hyperlink r:id="rId170">
        <w:r>
          <w:rPr>
            <w:rFonts w:ascii="Arial" w:cs="Arial" w:eastAsia="Arial" w:hAnsi="Arial"/>
            <w:sz w:val="16"/>
            <w:szCs w:val="16"/>
            <w:u w:val="single" w:color="auto"/>
            <w:color w:val="0000FF"/>
          </w:rPr>
          <w:t>Offer Letter with Helmut Zodl, dated November 25, 2020 (incorporated by reference to Exhibit 10.12 to the Registrant’s Quarterly Report on</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Form 10-Q filed with the SEC on April 25, 2023).</w:t>
        </w:r>
      </w:hyperlink>
    </w:p>
    <w:p>
      <w:pPr>
        <w:spacing w:after="0" w:line="1" w:lineRule="exact"/>
        <w:rPr>
          <w:sz w:val="20"/>
          <w:szCs w:val="20"/>
          <w:color w:val="auto"/>
        </w:rPr>
      </w:pPr>
    </w:p>
    <w:p>
      <w:pPr>
        <w:spacing w:after="0" w:line="299" w:lineRule="auto"/>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Offer Letter with Frank R. Jimenez, dated February 4, 2022 (incorporated by reference to Exhibit 10.13 to the Registrant’s Quarterly Report on</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40"/>
        <w:spacing w:after="0" w:line="299" w:lineRule="auto"/>
        <w:rPr>
          <w:rFonts w:ascii="Arial" w:cs="Arial" w:eastAsia="Arial" w:hAnsi="Arial"/>
          <w:sz w:val="16"/>
          <w:szCs w:val="16"/>
          <w:color w:val="0000FF"/>
        </w:rPr>
      </w:pPr>
      <w:hyperlink r:id="rId173">
        <w:r>
          <w:rPr>
            <w:rFonts w:ascii="Arial" w:cs="Arial" w:eastAsia="Arial" w:hAnsi="Arial"/>
            <w:sz w:val="16"/>
            <w:szCs w:val="16"/>
            <w:u w:val="single" w:color="auto"/>
            <w:color w:val="0000FF"/>
          </w:rPr>
          <w:t>Offer Letter with Betty D. Larson, dated January 21, 2022 (incorporated by reference to Exhibit 10.14 to the Registrant’s Quarterly Report on</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Form 10-Q filed with the SEC on April 25, 2023).</w:t>
        </w:r>
        <w:r>
          <w:rPr>
            <w:rFonts w:ascii="Arial" w:cs="Arial" w:eastAsia="Arial" w:hAnsi="Arial"/>
            <w:sz w:val="16"/>
            <w:szCs w:val="16"/>
            <w:color w:val="000000"/>
          </w:rPr>
          <w:t>†</w:t>
        </w:r>
      </w:hyperlink>
    </w:p>
    <w:p>
      <w:pPr>
        <w:spacing w:after="0" w:line="1" w:lineRule="exact"/>
        <w:rPr>
          <w:sz w:val="20"/>
          <w:szCs w:val="20"/>
          <w:color w:val="auto"/>
        </w:rPr>
      </w:pPr>
    </w:p>
    <w:p>
      <w:pPr>
        <w:ind w:right="380"/>
        <w:spacing w:after="0" w:line="299" w:lineRule="auto"/>
        <w:rPr>
          <w:rFonts w:ascii="Arial" w:cs="Arial" w:eastAsia="Arial" w:hAnsi="Arial"/>
          <w:sz w:val="16"/>
          <w:szCs w:val="16"/>
          <w:color w:val="0000FF"/>
        </w:rPr>
      </w:pPr>
      <w:hyperlink r:id="rId174">
        <w:r>
          <w:rPr>
            <w:rFonts w:ascii="Arial" w:cs="Arial" w:eastAsia="Arial" w:hAnsi="Arial"/>
            <w:sz w:val="16"/>
            <w:szCs w:val="16"/>
            <w:u w:val="single" w:color="auto"/>
            <w:color w:val="0000FF"/>
          </w:rPr>
          <w:t>Offer Letter with James K. Saccaro, dated May 4, 2023 (incorporated by reference to Exhibit 10.2 to the Registrant’s Quarterly Report on</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Form 10-Q filed with the SEC on July 25, 2023).</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60"/>
        <w:spacing w:after="0" w:line="299" w:lineRule="auto"/>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 xml:space="preserve">Employment Contract with Jan Makela, dated February </w:t>
        </w:r>
      </w:hyperlink>
      <w:r>
        <w:rPr>
          <w:rFonts w:ascii="Arial" w:cs="Arial" w:eastAsia="Arial" w:hAnsi="Arial"/>
          <w:sz w:val="16"/>
          <w:szCs w:val="16"/>
          <w:u w:val="single" w:color="auto"/>
          <w:color w:val="0000FF"/>
        </w:rPr>
        <w:t xml:space="preserve">24, </w:t>
      </w:r>
      <w:hyperlink r:id="rId176">
        <w:r>
          <w:rPr>
            <w:rFonts w:ascii="Arial" w:cs="Arial" w:eastAsia="Arial" w:hAnsi="Arial"/>
            <w:sz w:val="16"/>
            <w:szCs w:val="16"/>
            <w:u w:val="single" w:color="auto"/>
            <w:color w:val="0000FF"/>
          </w:rPr>
          <w:t xml:space="preserve">2023 (incorporated by reference to Exhibit </w:t>
        </w:r>
      </w:hyperlink>
      <w:r>
        <w:rPr>
          <w:rFonts w:ascii="Arial" w:cs="Arial" w:eastAsia="Arial" w:hAnsi="Arial"/>
          <w:sz w:val="16"/>
          <w:szCs w:val="16"/>
          <w:u w:val="single" w:color="auto"/>
          <w:color w:val="0000FF"/>
        </w:rPr>
        <w:t xml:space="preserve">10.15 </w:t>
      </w:r>
      <w:hyperlink r:id="rId176">
        <w:r>
          <w:rPr>
            <w:rFonts w:ascii="Arial" w:cs="Arial" w:eastAsia="Arial" w:hAnsi="Arial"/>
            <w:sz w:val="16"/>
            <w:szCs w:val="16"/>
            <w:u w:val="single" w:color="auto"/>
            <w:color w:val="0000FF"/>
          </w:rPr>
          <w:t>to the Registrant’s Quarterly</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Report on Form 10-Q filed with the SEC on April 25, 2023).</w:t>
        </w:r>
      </w:hyperlink>
    </w:p>
    <w:p>
      <w:pPr>
        <w:spacing w:after="0" w:line="1" w:lineRule="exact"/>
        <w:rPr>
          <w:rFonts w:ascii="Arial" w:cs="Arial" w:eastAsia="Arial" w:hAnsi="Arial"/>
          <w:sz w:val="16"/>
          <w:szCs w:val="16"/>
          <w:u w:val="single" w:color="auto"/>
          <w:color w:val="0000FF"/>
        </w:rPr>
      </w:pPr>
    </w:p>
    <w:p>
      <w:pPr>
        <w:ind w:right="60"/>
        <w:spacing w:after="0" w:line="299" w:lineRule="auto"/>
        <w:rPr>
          <w:rFonts w:ascii="Arial" w:cs="Arial" w:eastAsia="Arial" w:hAnsi="Arial"/>
          <w:sz w:val="16"/>
          <w:szCs w:val="16"/>
          <w:color w:val="0000FF"/>
        </w:rPr>
      </w:pPr>
      <w:hyperlink r:id="rId177">
        <w:r>
          <w:rPr>
            <w:rFonts w:ascii="Arial" w:cs="Arial" w:eastAsia="Arial" w:hAnsi="Arial"/>
            <w:sz w:val="16"/>
            <w:szCs w:val="16"/>
            <w:u w:val="single" w:color="auto"/>
            <w:color w:val="0000FF"/>
          </w:rPr>
          <w:t>Separation Agreement &amp; Release between the Registrant and Helmut Zodl, dated August 18, 2023 (incorporated by reference to Exhibit 10.1</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to the Registrant’s Quarterly Report on Form 10-Q filed with the SEC on October 31, 2023).</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60"/>
        <w:spacing w:after="0" w:line="299" w:lineRule="auto"/>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Performance Share Grant Agreement for H. Lawrence Culp, Jr., dated August 18, 2020 (incorporated by reference to Exhibit 10.17 to the</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Registrant’s Amendment No. 1 to Form 10 filed with the SEC on November 7, 2022).</w:t>
        </w:r>
      </w:hyperlink>
    </w:p>
    <w:p>
      <w:pPr>
        <w:spacing w:after="0" w:line="1" w:lineRule="exact"/>
        <w:rPr>
          <w:sz w:val="20"/>
          <w:szCs w:val="20"/>
          <w:color w:val="auto"/>
        </w:rPr>
      </w:pPr>
    </w:p>
    <w:p>
      <w:pPr>
        <w:ind w:right="40"/>
        <w:spacing w:after="0" w:line="299" w:lineRule="auto"/>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Notice of Adjustment to the Performance Share Grant Agreement for H. Lawrence Culp, Jr. effective July 30, 2021 (incorporated by reference</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to Exhibit 10.18 to the Registrant’s Amendment No. 1 to Form 10 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40"/>
        <w:spacing w:after="0" w:line="299" w:lineRule="auto"/>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Performance Stock Unit Grant Agreement for Peter J. Arduini, dated February 23, 2022 (incorporated by reference to Exhibit 10.19 to the</w:t>
        </w:r>
      </w:hyperlink>
      <w:r>
        <w:rPr>
          <w:rFonts w:ascii="Arial" w:cs="Arial" w:eastAsia="Arial" w:hAnsi="Arial"/>
          <w:sz w:val="16"/>
          <w:szCs w:val="16"/>
          <w:u w:val="single" w:color="auto"/>
          <w:color w:val="0000FF"/>
        </w:rPr>
        <w:t xml:space="preserve"> </w:t>
      </w:r>
      <w:hyperlink r:id="rId182">
        <w:r>
          <w:rPr>
            <w:rFonts w:ascii="Arial" w:cs="Arial" w:eastAsia="Arial" w:hAnsi="Arial"/>
            <w:sz w:val="16"/>
            <w:szCs w:val="16"/>
            <w:u w:val="single" w:color="auto"/>
            <w:color w:val="0000FF"/>
          </w:rPr>
          <w:t>Registrant’s Amendment No. 1 to Form 10 filed with the SEC on November 7, 2022).</w:t>
        </w:r>
      </w:hyperlink>
    </w:p>
    <w:p>
      <w:pPr>
        <w:spacing w:after="0" w:line="1" w:lineRule="exact"/>
        <w:rPr>
          <w:sz w:val="20"/>
          <w:szCs w:val="20"/>
          <w:color w:val="auto"/>
        </w:rPr>
      </w:pPr>
    </w:p>
    <w:p>
      <w:pPr>
        <w:ind w:right="60"/>
        <w:spacing w:after="0" w:line="299" w:lineRule="auto"/>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GE HealthCare Annual Executive Incentive Plan (incorporated by reference to Exhibit 10.20 to the Registrant’s Amendment No. 1 to Form 10</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40"/>
        <w:spacing w:after="0" w:line="299" w:lineRule="auto"/>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GE HealthCare Restoration Plan (incorporated by reference to Exhibit 10.21 to the Registrant’s Amendment No. 1 to Form 10 filed with the</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SEC on November 7, 2022).</w:t>
        </w:r>
      </w:hyperlink>
    </w:p>
    <w:p>
      <w:pPr>
        <w:spacing w:after="0" w:line="1" w:lineRule="exact"/>
        <w:rPr>
          <w:sz w:val="20"/>
          <w:szCs w:val="20"/>
          <w:color w:val="auto"/>
        </w:rPr>
      </w:pPr>
    </w:p>
    <w:p>
      <w:pPr>
        <w:ind w:right="180"/>
        <w:spacing w:after="0" w:line="299" w:lineRule="auto"/>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One GE HealthCare Annual Bonus Plan (incorporated by reference to Exhibit 10.4 to</w:t>
        </w:r>
        <w:r>
          <w:rPr>
            <w:rFonts w:ascii="Arial" w:cs="Arial" w:eastAsia="Arial" w:hAnsi="Arial"/>
            <w:sz w:val="16"/>
            <w:szCs w:val="16"/>
            <w:color w:val="0000FF"/>
          </w:rPr>
          <w:t xml:space="preserve"> the Registrant’</w:t>
        </w:r>
        <w:r>
          <w:rPr>
            <w:rFonts w:ascii="Arial" w:cs="Arial" w:eastAsia="Arial" w:hAnsi="Arial"/>
            <w:sz w:val="16"/>
            <w:szCs w:val="16"/>
            <w:u w:val="single" w:color="auto"/>
            <w:color w:val="0000FF"/>
          </w:rPr>
          <w:t>s Current Report on Form 8-K filed with</w:t>
        </w:r>
      </w:hyperlink>
      <w:r>
        <w:rPr>
          <w:rFonts w:ascii="Arial" w:cs="Arial" w:eastAsia="Arial" w:hAnsi="Arial"/>
          <w:sz w:val="16"/>
          <w:szCs w:val="16"/>
          <w:color w:val="0000FF"/>
        </w:rPr>
        <w:t xml:space="preserve"> </w:t>
      </w:r>
      <w:hyperlink r:id="rId186">
        <w:r>
          <w:rPr>
            <w:rFonts w:ascii="Arial" w:cs="Arial" w:eastAsia="Arial" w:hAnsi="Arial"/>
            <w:sz w:val="16"/>
            <w:szCs w:val="16"/>
            <w:u w:val="single" w:color="auto"/>
            <w:color w:val="0000FF"/>
          </w:rPr>
          <w:t>the SEC on February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098030" cy="29146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-178435</wp:posOffset>
            </wp:positionV>
            <wp:extent cx="6915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691515" cy="8890"/>
                    </a:xfrm>
                    <a:prstGeom prst="rect">
                      <a:avLst/>
                    </a:prstGeom>
                    <a:noFill/>
                  </pic:spPr>
                </pic:pic>
              </a:graphicData>
            </a:graphic>
          </wp:anchor>
        </w:drawing>
      </w:r>
    </w:p>
    <w:p>
      <w:pPr>
        <w:ind w:right="240"/>
        <w:spacing w:after="0" w:line="299" w:lineRule="auto"/>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GE HealthCare US Severance and Change in Control Plan for CEO and Leadership Team (incorporated by reference to Exhibit 10.1 to the</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Registrant’s Quarterly Report on Form 10-Q filed with the SEC on July 25, 2023).</w:t>
        </w:r>
      </w:hyperlink>
    </w:p>
    <w:p>
      <w:pPr>
        <w:spacing w:after="0" w:line="1" w:lineRule="exact"/>
        <w:rPr>
          <w:sz w:val="20"/>
          <w:szCs w:val="20"/>
          <w:color w:val="auto"/>
        </w:rPr>
      </w:pPr>
    </w:p>
    <w:p>
      <w:pPr>
        <w:ind w:right="560"/>
        <w:spacing w:after="0" w:line="299" w:lineRule="auto"/>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GE HealthCare Non-Employee Director Compensation and Benefits Plan (incorporated by reference to Exhibit 10.9 to the Registrant’s</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Quarterly Report on 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pacing w:after="0" w:line="299" w:lineRule="auto"/>
        <w:rPr>
          <w:rFonts w:ascii="Arial" w:cs="Arial" w:eastAsia="Arial" w:hAnsi="Arial"/>
          <w:sz w:val="16"/>
          <w:szCs w:val="16"/>
          <w:color w:val="0000FF"/>
        </w:rPr>
      </w:pPr>
      <w:hyperlink r:id="rId192">
        <w:r>
          <w:rPr>
            <w:rFonts w:ascii="Arial" w:cs="Arial" w:eastAsia="Arial" w:hAnsi="Arial"/>
            <w:sz w:val="16"/>
            <w:szCs w:val="16"/>
            <w:u w:val="single" w:color="auto"/>
            <w:color w:val="0000FF"/>
          </w:rPr>
          <w:t>GE HealthCare Founders Restricted Stock Unit Grant Agreement (incorporated by reference to Exhibit 10.1 to the Registrant’s Current Report</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on Form 8-K filed with the SEC on February 3, 2023)</w:t>
        </w:r>
        <w:r>
          <w:rPr>
            <w:rFonts w:ascii="Arial" w:cs="Arial" w:eastAsia="Arial" w:hAnsi="Arial"/>
            <w:sz w:val="16"/>
            <w:szCs w:val="16"/>
            <w:color w:val="000000"/>
          </w:rPr>
          <w:t>.</w:t>
        </w:r>
      </w:hyperlink>
    </w:p>
    <w:p>
      <w:pPr>
        <w:spacing w:after="0" w:line="1" w:lineRule="exact"/>
        <w:rPr>
          <w:sz w:val="20"/>
          <w:szCs w:val="20"/>
          <w:color w:val="auto"/>
        </w:rPr>
      </w:pPr>
    </w:p>
    <w:p>
      <w:pPr>
        <w:ind w:right="360"/>
        <w:spacing w:after="0" w:line="299" w:lineRule="auto"/>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GE HealthCare Founders Stock Option Grant Agreement (incorporated by reference to Exhibit 10.2 to the Registrant’s Current Report on</w:t>
        </w:r>
      </w:hyperlink>
      <w:r>
        <w:rPr>
          <w:rFonts w:ascii="Arial" w:cs="Arial" w:eastAsia="Arial" w:hAnsi="Arial"/>
          <w:sz w:val="16"/>
          <w:szCs w:val="16"/>
          <w:u w:val="single" w:color="auto"/>
          <w:color w:val="0000FF"/>
        </w:rPr>
        <w:t xml:space="preserve"> </w:t>
      </w:r>
      <w:hyperlink r:id="rId193">
        <w:r>
          <w:rPr>
            <w:rFonts w:ascii="Arial" w:cs="Arial" w:eastAsia="Arial" w:hAnsi="Arial"/>
            <w:sz w:val="16"/>
            <w:szCs w:val="16"/>
            <w:u w:val="single" w:color="auto"/>
            <w:color w:val="0000FF"/>
          </w:rPr>
          <w:t>Form 8-K filed with the SEC on February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80"/>
        <w:spacing w:after="0" w:line="299" w:lineRule="auto"/>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GE HealthCare Restricted Stock Unit Grant Agreement (incorporated by reference to Exhibit 10.1 to the Registrant’s Current Report on Form</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8-K filed with the SEC on March 3, 2023).</w:t>
        </w:r>
      </w:hyperlink>
    </w:p>
    <w:p>
      <w:pPr>
        <w:spacing w:after="0" w:line="1" w:lineRule="exact"/>
        <w:rPr>
          <w:sz w:val="20"/>
          <w:szCs w:val="20"/>
          <w:color w:val="auto"/>
        </w:rPr>
      </w:pPr>
    </w:p>
    <w:p>
      <w:pPr>
        <w:ind w:right="20"/>
        <w:spacing w:after="0" w:line="299" w:lineRule="auto"/>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GE HealthCare Stock Option Grant Agreement (incorporated by reference to Exhibit 10.2 to the Registrant’s Current Report on Form 8-K filed</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with the SEC on March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00"/>
        <w:spacing w:after="0" w:line="299" w:lineRule="auto"/>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 xml:space="preserve">GE HealthCare Performance </w:t>
        </w:r>
      </w:hyperlink>
      <w:r>
        <w:rPr>
          <w:rFonts w:ascii="Arial" w:cs="Arial" w:eastAsia="Arial" w:hAnsi="Arial"/>
          <w:sz w:val="16"/>
          <w:szCs w:val="16"/>
          <w:u w:val="single" w:color="auto"/>
          <w:color w:val="0000FF"/>
        </w:rPr>
        <w:t xml:space="preserve">Stock </w:t>
      </w:r>
      <w:hyperlink r:id="rId198">
        <w:r>
          <w:rPr>
            <w:rFonts w:ascii="Arial" w:cs="Arial" w:eastAsia="Arial" w:hAnsi="Arial"/>
            <w:sz w:val="16"/>
            <w:szCs w:val="16"/>
            <w:u w:val="single" w:color="auto"/>
            <w:color w:val="0000FF"/>
          </w:rPr>
          <w:t>Unit Grant Agreement (incorporated by reference to Exhibit 10.3 to the Registrant’s Current Report on</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Form 8-K filed with the SEC on March 3, 2023).</w:t>
        </w:r>
      </w:hyperlink>
    </w:p>
    <w:p>
      <w:pPr>
        <w:spacing w:after="0" w:line="1" w:lineRule="exact"/>
        <w:rPr>
          <w:rFonts w:ascii="Arial" w:cs="Arial" w:eastAsia="Arial" w:hAnsi="Arial"/>
          <w:sz w:val="16"/>
          <w:szCs w:val="16"/>
          <w:u w:val="single" w:color="auto"/>
          <w:color w:val="0000FF"/>
        </w:rPr>
      </w:pPr>
    </w:p>
    <w:p>
      <w:pPr>
        <w:spacing w:after="0" w:line="299" w:lineRule="auto"/>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Global Addendum (incorporated by reference to Exhibit 10.3 to the Registrant’s Current Report on Form 8-K filed with the SEC on February 3,</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40"/>
        <w:spacing w:after="0" w:line="299" w:lineRule="auto"/>
        <w:rPr>
          <w:rFonts w:ascii="Arial" w:cs="Arial" w:eastAsia="Arial" w:hAnsi="Arial"/>
          <w:sz w:val="16"/>
          <w:szCs w:val="16"/>
          <w:u w:val="single" w:color="auto"/>
          <w:color w:val="0000FF"/>
        </w:rPr>
      </w:pPr>
      <w:hyperlink r:id="rId201">
        <w:r>
          <w:rPr>
            <w:rFonts w:ascii="Arial" w:cs="Arial" w:eastAsia="Arial" w:hAnsi="Arial"/>
            <w:sz w:val="16"/>
            <w:szCs w:val="16"/>
            <w:u w:val="single" w:color="auto"/>
            <w:color w:val="0000FF"/>
          </w:rPr>
          <w:t>GE HealthCare Director Restricted Stock Unit Grant Agreement (incorporated by reference to Exhibit 10.10 to the Registrant’s Quarterly</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Report on Form 10-Q filed with the SEC on April 25, 2023).</w:t>
        </w:r>
      </w:hyperlink>
    </w:p>
    <w:p>
      <w:pPr>
        <w:spacing w:after="0" w:line="1" w:lineRule="exact"/>
        <w:rPr>
          <w:sz w:val="20"/>
          <w:szCs w:val="20"/>
          <w:color w:val="auto"/>
        </w:rPr>
      </w:pPr>
    </w:p>
    <w:p>
      <w:pPr>
        <w:ind w:right="20"/>
        <w:spacing w:after="0" w:line="299" w:lineRule="auto"/>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GE HealthCare Director Deferred Stock Unit Grant Agreement (incorporated by reference to Exhibit 10.11 to the Registrant’s Quarterly Report</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on 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Subsidiaries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Independent Registered Public Accounting Firm</w:t>
      </w:r>
      <w:r>
        <w:rPr>
          <w:rFonts w:ascii="Arial" w:cs="Arial" w:eastAsia="Arial" w:hAnsi="Arial"/>
          <w:sz w:val="16"/>
          <w:szCs w:val="16"/>
          <w:color w:val="000000"/>
        </w:rPr>
        <w:t>.</w:t>
      </w:r>
    </w:p>
    <w:p>
      <w:pPr>
        <w:spacing w:after="0" w:line="200" w:lineRule="exact"/>
        <w:rPr>
          <w:sz w:val="20"/>
          <w:szCs w:val="20"/>
          <w:color w:val="auto"/>
        </w:rPr>
      </w:pPr>
    </w:p>
    <w:p>
      <w:pPr>
        <w:sectPr>
          <w:pgSz w:w="11900" w:h="16838" w:orient="portrait"/>
          <w:cols w:equalWidth="0" w:num="2">
            <w:col w:w="480" w:space="260"/>
            <w:col w:w="10160"/>
          </w:cols>
          <w:pgMar w:left="600" w:top="11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79375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00" w:top="1151" w:right="399" w:bottom="1440" w:gutter="0" w:footer="0" w:header="0"/>
          <w:type w:val="continuous"/>
        </w:sectPr>
      </w:pPr>
    </w:p>
    <w:bookmarkStart w:id="119" w:name="page120"/>
    <w:bookmarkEnd w:id="119"/>
    <w:tbl>
      <w:tblPr>
        <w:tblLayout w:type="fixed"/>
        <w:tblInd w:w="40" w:type="dxa"/>
        <w:tblCellMar>
          <w:top w:w="0" w:type="dxa"/>
          <w:left w:w="0" w:type="dxa"/>
          <w:bottom w:w="0" w:type="dxa"/>
          <w:right w:w="0" w:type="dxa"/>
        </w:tblCellMar>
      </w:tblPr>
      <w:tr>
        <w:trPr>
          <w:trHeight w:val="189"/>
        </w:trPr>
        <w:tc>
          <w:tcPr>
            <w:tcW w:w="980" w:type="dxa"/>
            <w:vAlign w:val="bottom"/>
            <w:vMerge w:val="restart"/>
            <w:shd w:val="clear" w:color="auto" w:fill="E4E4E4"/>
          </w:tcPr>
          <w:p>
            <w:pPr>
              <w:jc w:val="right"/>
              <w:ind w:right="259"/>
              <w:spacing w:after="0"/>
              <w:rPr>
                <w:sz w:val="20"/>
                <w:szCs w:val="20"/>
                <w:color w:val="auto"/>
              </w:rPr>
            </w:pPr>
            <w:r>
              <w:rPr>
                <w:rFonts w:ascii="Arial" w:cs="Arial" w:eastAsia="Arial" w:hAnsi="Arial"/>
                <w:sz w:val="16"/>
                <w:szCs w:val="16"/>
                <w:color w:val="auto"/>
              </w:rPr>
              <w:t>31.1</w:t>
            </w:r>
          </w:p>
        </w:tc>
        <w:tc>
          <w:tcPr>
            <w:tcW w:w="10200" w:type="dxa"/>
            <w:vAlign w:val="bottom"/>
            <w:gridSpan w:val="6"/>
            <w:shd w:val="clear" w:color="auto" w:fill="E4E4E4"/>
          </w:tcPr>
          <w:p>
            <w:pPr>
              <w:spacing w:after="0"/>
              <w:rPr>
                <w:sz w:val="20"/>
                <w:szCs w:val="20"/>
                <w:color w:val="auto"/>
              </w:rPr>
            </w:pPr>
            <w:r>
              <w:rPr>
                <w:rFonts w:ascii="Arial" w:cs="Arial" w:eastAsia="Arial" w:hAnsi="Arial"/>
                <w:sz w:val="16"/>
                <w:szCs w:val="16"/>
                <w:color w:val="0000FF"/>
              </w:rPr>
              <w:t>Certification of the Registrant’s Chief Executive Officer pursuant to Rule 13a-14(a)/15d-14(a) of the Securities Exchange Act of 1934, as</w:t>
            </w:r>
          </w:p>
        </w:tc>
        <w:tc>
          <w:tcPr>
            <w:tcW w:w="0" w:type="dxa"/>
            <w:vAlign w:val="bottom"/>
          </w:tcPr>
          <w:p>
            <w:pPr>
              <w:spacing w:after="0"/>
              <w:rPr>
                <w:sz w:val="1"/>
                <w:szCs w:val="1"/>
                <w:color w:val="auto"/>
              </w:rPr>
            </w:pPr>
          </w:p>
        </w:tc>
      </w:tr>
      <w:tr>
        <w:trPr>
          <w:trHeight w:val="113"/>
        </w:trPr>
        <w:tc>
          <w:tcPr>
            <w:tcW w:w="980" w:type="dxa"/>
            <w:vAlign w:val="bottom"/>
            <w:tcBorders>
              <w:top w:val="single" w:sz="8" w:color="E4E4E4"/>
            </w:tcBorders>
            <w:vMerge w:val="continue"/>
            <w:shd w:val="clear" w:color="auto" w:fill="E4E4E4"/>
          </w:tcPr>
          <w:p>
            <w:pPr>
              <w:spacing w:after="0"/>
              <w:rPr>
                <w:sz w:val="9"/>
                <w:szCs w:val="9"/>
                <w:color w:val="auto"/>
              </w:rPr>
            </w:pPr>
          </w:p>
        </w:tc>
        <w:tc>
          <w:tcPr>
            <w:tcW w:w="5900" w:type="dxa"/>
            <w:vAlign w:val="bottom"/>
            <w:tcBorders>
              <w:top w:val="single" w:sz="8" w:color="0000FF"/>
            </w:tcBorders>
            <w:gridSpan w:val="3"/>
            <w:vMerge w:val="restart"/>
            <w:shd w:val="clear" w:color="auto" w:fill="E4E4E4"/>
          </w:tcPr>
          <w:p>
            <w:pPr>
              <w:spacing w:after="0" w:line="183" w:lineRule="exact"/>
              <w:rPr>
                <w:sz w:val="20"/>
                <w:szCs w:val="20"/>
                <w:color w:val="auto"/>
              </w:rPr>
            </w:pPr>
            <w:r>
              <w:rPr>
                <w:rFonts w:ascii="Arial" w:cs="Arial" w:eastAsia="Arial" w:hAnsi="Arial"/>
                <w:sz w:val="16"/>
                <w:szCs w:val="16"/>
                <w:color w:val="0000FF"/>
              </w:rPr>
              <w:t>amended, as adopted pursuant to Section 302 of the Sarbanes-Oxley Act of 2002.</w:t>
            </w:r>
          </w:p>
        </w:tc>
        <w:tc>
          <w:tcPr>
            <w:tcW w:w="3820" w:type="dxa"/>
            <w:vAlign w:val="bottom"/>
            <w:tcBorders>
              <w:top w:val="single" w:sz="8" w:color="0000FF"/>
            </w:tcBorders>
            <w:gridSpan w:val="2"/>
            <w:vMerge w:val="restart"/>
            <w:shd w:val="clear" w:color="auto" w:fill="E4E4E4"/>
          </w:tcPr>
          <w:p>
            <w:pPr>
              <w:spacing w:after="0"/>
              <w:rPr>
                <w:sz w:val="9"/>
                <w:szCs w:val="9"/>
                <w:color w:val="auto"/>
              </w:rPr>
            </w:pPr>
          </w:p>
        </w:tc>
        <w:tc>
          <w:tcPr>
            <w:tcW w:w="480" w:type="dxa"/>
            <w:vAlign w:val="bottom"/>
            <w:tcBorders>
              <w:top w:val="single" w:sz="8" w:color="E4E4E4"/>
            </w:tcBorders>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80" w:type="dxa"/>
            <w:vAlign w:val="bottom"/>
            <w:tcBorders>
              <w:bottom w:val="single" w:sz="8" w:color="E4E4E4"/>
            </w:tcBorders>
            <w:shd w:val="clear" w:color="auto" w:fill="E4E4E4"/>
          </w:tcPr>
          <w:p>
            <w:pPr>
              <w:spacing w:after="0"/>
              <w:rPr>
                <w:sz w:val="10"/>
                <w:szCs w:val="10"/>
                <w:color w:val="auto"/>
              </w:rPr>
            </w:pPr>
          </w:p>
        </w:tc>
        <w:tc>
          <w:tcPr>
            <w:tcW w:w="5900" w:type="dxa"/>
            <w:vAlign w:val="bottom"/>
            <w:tcBorders>
              <w:bottom w:val="single" w:sz="8" w:color="0000FF"/>
            </w:tcBorders>
            <w:gridSpan w:val="3"/>
            <w:vMerge w:val="continue"/>
            <w:shd w:val="clear" w:color="auto" w:fill="E4E4E4"/>
          </w:tcPr>
          <w:p>
            <w:pPr>
              <w:spacing w:after="0"/>
              <w:rPr>
                <w:sz w:val="10"/>
                <w:szCs w:val="10"/>
                <w:color w:val="auto"/>
              </w:rPr>
            </w:pPr>
          </w:p>
        </w:tc>
        <w:tc>
          <w:tcPr>
            <w:tcW w:w="3820" w:type="dxa"/>
            <w:vAlign w:val="bottom"/>
            <w:tcBorders>
              <w:bottom w:val="single" w:sz="8" w:color="E4E4E4"/>
            </w:tcBorders>
            <w:gridSpan w:val="2"/>
            <w:vMerge w:val="continue"/>
            <w:shd w:val="clear" w:color="auto" w:fill="E4E4E4"/>
          </w:tcPr>
          <w:p>
            <w:pPr>
              <w:spacing w:after="0"/>
              <w:rPr>
                <w:sz w:val="10"/>
                <w:szCs w:val="10"/>
                <w:color w:val="auto"/>
              </w:rPr>
            </w:pPr>
          </w:p>
        </w:tc>
        <w:tc>
          <w:tcPr>
            <w:tcW w:w="480" w:type="dxa"/>
            <w:vAlign w:val="bottom"/>
            <w:tcBorders>
              <w:bottom w:val="single" w:sz="8" w:color="E4E4E4"/>
            </w:tcBorders>
            <w:vMerge w:val="continue"/>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59"/>
              <w:spacing w:after="0"/>
              <w:rPr>
                <w:sz w:val="20"/>
                <w:szCs w:val="20"/>
                <w:color w:val="auto"/>
              </w:rPr>
            </w:pPr>
            <w:r>
              <w:rPr>
                <w:rFonts w:ascii="Arial" w:cs="Arial" w:eastAsia="Arial" w:hAnsi="Arial"/>
                <w:sz w:val="16"/>
                <w:szCs w:val="16"/>
                <w:color w:val="auto"/>
              </w:rPr>
              <w:t>31.2</w:t>
            </w:r>
          </w:p>
        </w:tc>
        <w:tc>
          <w:tcPr>
            <w:tcW w:w="96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Certification of the Registrant’s Chief Financial Officer pursuant to Rule 13a-14(a)/15d-14(a) of the Securities Exchange Act of 1934, as</w:t>
            </w:r>
          </w:p>
        </w:tc>
        <w:tc>
          <w:tcPr>
            <w:tcW w:w="5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6"/>
            <w:vMerge w:val="restart"/>
          </w:tcPr>
          <w:p>
            <w:pPr>
              <w:spacing w:after="0" w:line="183" w:lineRule="exact"/>
              <w:rPr>
                <w:sz w:val="20"/>
                <w:szCs w:val="20"/>
                <w:color w:val="auto"/>
              </w:rPr>
            </w:pPr>
            <w:r>
              <w:rPr>
                <w:rFonts w:ascii="Arial" w:cs="Arial" w:eastAsia="Arial" w:hAnsi="Arial"/>
                <w:sz w:val="16"/>
                <w:szCs w:val="16"/>
                <w:color w:val="0000FF"/>
              </w:rPr>
              <w:t>amended, as adopted pursuant to Section 302 of the Sarbanes-Oxley Act of 2002.</w:t>
            </w:r>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102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34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3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E4E4E4"/>
          </w:tcPr>
          <w:p>
            <w:pPr>
              <w:jc w:val="right"/>
              <w:ind w:right="259"/>
              <w:spacing w:after="0"/>
              <w:rPr>
                <w:sz w:val="20"/>
                <w:szCs w:val="20"/>
                <w:color w:val="auto"/>
              </w:rPr>
            </w:pPr>
            <w:r>
              <w:rPr>
                <w:rFonts w:ascii="Arial" w:cs="Arial" w:eastAsia="Arial" w:hAnsi="Arial"/>
                <w:sz w:val="16"/>
                <w:szCs w:val="16"/>
                <w:color w:val="auto"/>
              </w:rPr>
              <w:t>32.1</w:t>
            </w:r>
          </w:p>
        </w:tc>
        <w:tc>
          <w:tcPr>
            <w:tcW w:w="10200" w:type="dxa"/>
            <w:vAlign w:val="bottom"/>
            <w:gridSpan w:val="6"/>
            <w:shd w:val="clear" w:color="auto" w:fill="E4E4E4"/>
          </w:tcPr>
          <w:p>
            <w:pPr>
              <w:spacing w:after="0"/>
              <w:rPr>
                <w:sz w:val="20"/>
                <w:szCs w:val="20"/>
                <w:color w:val="auto"/>
              </w:rPr>
            </w:pPr>
            <w:r>
              <w:rPr>
                <w:rFonts w:ascii="Arial" w:cs="Arial" w:eastAsia="Arial" w:hAnsi="Arial"/>
                <w:sz w:val="16"/>
                <w:szCs w:val="16"/>
                <w:color w:val="0000FF"/>
              </w:rPr>
              <w:t>Certifications of the Registrant’s Chief Executive Officer and Chief Financial Officer pursuant to 18 U.S.C. 1350, as adopted pursuant to</w:t>
            </w:r>
          </w:p>
        </w:tc>
        <w:tc>
          <w:tcPr>
            <w:tcW w:w="0" w:type="dxa"/>
            <w:vAlign w:val="bottom"/>
          </w:tcPr>
          <w:p>
            <w:pPr>
              <w:spacing w:after="0"/>
              <w:rPr>
                <w:sz w:val="1"/>
                <w:szCs w:val="1"/>
                <w:color w:val="auto"/>
              </w:rPr>
            </w:pPr>
          </w:p>
        </w:tc>
      </w:tr>
      <w:tr>
        <w:trPr>
          <w:trHeight w:val="113"/>
        </w:trPr>
        <w:tc>
          <w:tcPr>
            <w:tcW w:w="980" w:type="dxa"/>
            <w:vAlign w:val="bottom"/>
            <w:tcBorders>
              <w:top w:val="single" w:sz="8" w:color="E4E4E4"/>
            </w:tcBorders>
            <w:vMerge w:val="continue"/>
            <w:shd w:val="clear" w:color="auto" w:fill="E4E4E4"/>
          </w:tcPr>
          <w:p>
            <w:pPr>
              <w:spacing w:after="0"/>
              <w:rPr>
                <w:sz w:val="9"/>
                <w:szCs w:val="9"/>
                <w:color w:val="auto"/>
              </w:rPr>
            </w:pPr>
          </w:p>
        </w:tc>
        <w:tc>
          <w:tcPr>
            <w:tcW w:w="9680" w:type="dxa"/>
            <w:vAlign w:val="bottom"/>
            <w:tcBorders>
              <w:top w:val="single" w:sz="8" w:color="0000FF"/>
            </w:tcBorders>
            <w:gridSpan w:val="4"/>
            <w:vMerge w:val="restart"/>
            <w:shd w:val="clear" w:color="auto" w:fill="E4E4E4"/>
          </w:tcPr>
          <w:p>
            <w:pPr>
              <w:spacing w:after="0" w:line="183" w:lineRule="exact"/>
              <w:rPr>
                <w:sz w:val="20"/>
                <w:szCs w:val="20"/>
                <w:color w:val="auto"/>
              </w:rPr>
            </w:pPr>
            <w:r>
              <w:rPr>
                <w:rFonts w:ascii="Arial" w:cs="Arial" w:eastAsia="Arial" w:hAnsi="Arial"/>
                <w:sz w:val="16"/>
                <w:szCs w:val="16"/>
                <w:color w:val="0000FF"/>
              </w:rPr>
              <w:t>Section 906 of the Sarbanes-Oxley Act of 2002.</w:t>
            </w:r>
          </w:p>
        </w:tc>
        <w:tc>
          <w:tcPr>
            <w:tcW w:w="520" w:type="dxa"/>
            <w:vAlign w:val="bottom"/>
            <w:tcBorders>
              <w:top w:val="single" w:sz="8" w:color="E4E4E4"/>
            </w:tcBorders>
            <w:gridSpan w:val="2"/>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shd w:val="clear" w:color="auto" w:fill="E4E4E4"/>
          </w:tcPr>
          <w:p>
            <w:pPr>
              <w:spacing w:after="0"/>
              <w:rPr>
                <w:sz w:val="6"/>
                <w:szCs w:val="6"/>
                <w:color w:val="auto"/>
              </w:rPr>
            </w:pPr>
          </w:p>
        </w:tc>
        <w:tc>
          <w:tcPr>
            <w:tcW w:w="9680" w:type="dxa"/>
            <w:vAlign w:val="bottom"/>
            <w:gridSpan w:val="4"/>
            <w:vMerge w:val="continue"/>
            <w:shd w:val="clear" w:color="auto" w:fill="E4E4E4"/>
          </w:tcPr>
          <w:p>
            <w:pPr>
              <w:spacing w:after="0"/>
              <w:rPr>
                <w:sz w:val="6"/>
                <w:szCs w:val="6"/>
                <w:color w:val="auto"/>
              </w:rPr>
            </w:pPr>
          </w:p>
        </w:tc>
        <w:tc>
          <w:tcPr>
            <w:tcW w:w="520" w:type="dxa"/>
            <w:vAlign w:val="bottom"/>
            <w:gridSpan w:val="2"/>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E4E4E4"/>
            </w:tcBorders>
            <w:shd w:val="clear" w:color="auto" w:fill="E4E4E4"/>
          </w:tcPr>
          <w:p>
            <w:pPr>
              <w:spacing w:after="0"/>
              <w:rPr>
                <w:sz w:val="4"/>
                <w:szCs w:val="4"/>
                <w:color w:val="auto"/>
              </w:rPr>
            </w:pPr>
          </w:p>
        </w:tc>
        <w:tc>
          <w:tcPr>
            <w:tcW w:w="3420" w:type="dxa"/>
            <w:vAlign w:val="bottom"/>
            <w:tcBorders>
              <w:top w:val="single" w:sz="8" w:color="0000FF"/>
            </w:tcBorders>
            <w:shd w:val="clear" w:color="auto" w:fill="E4E4E4"/>
          </w:tcPr>
          <w:p>
            <w:pPr>
              <w:spacing w:after="0"/>
              <w:rPr>
                <w:sz w:val="4"/>
                <w:szCs w:val="4"/>
                <w:color w:val="auto"/>
              </w:rPr>
            </w:pPr>
          </w:p>
        </w:tc>
        <w:tc>
          <w:tcPr>
            <w:tcW w:w="240" w:type="dxa"/>
            <w:vAlign w:val="bottom"/>
            <w:tcBorders>
              <w:top w:val="single" w:sz="8" w:color="E4E4E4"/>
            </w:tcBorders>
            <w:shd w:val="clear" w:color="auto" w:fill="E4E4E4"/>
          </w:tcPr>
          <w:p>
            <w:pPr>
              <w:spacing w:after="0"/>
              <w:rPr>
                <w:sz w:val="4"/>
                <w:szCs w:val="4"/>
                <w:color w:val="auto"/>
              </w:rPr>
            </w:pPr>
          </w:p>
        </w:tc>
        <w:tc>
          <w:tcPr>
            <w:tcW w:w="2240" w:type="dxa"/>
            <w:vAlign w:val="bottom"/>
            <w:tcBorders>
              <w:top w:val="single" w:sz="8" w:color="E4E4E4"/>
            </w:tcBorders>
            <w:shd w:val="clear" w:color="auto" w:fill="E4E4E4"/>
          </w:tcPr>
          <w:p>
            <w:pPr>
              <w:spacing w:after="0"/>
              <w:rPr>
                <w:sz w:val="4"/>
                <w:szCs w:val="4"/>
                <w:color w:val="auto"/>
              </w:rPr>
            </w:pPr>
          </w:p>
        </w:tc>
        <w:tc>
          <w:tcPr>
            <w:tcW w:w="37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48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Pr>
          <w:p>
            <w:pPr>
              <w:jc w:val="right"/>
              <w:ind w:right="259"/>
              <w:spacing w:after="0"/>
              <w:rPr>
                <w:sz w:val="20"/>
                <w:szCs w:val="20"/>
                <w:color w:val="auto"/>
              </w:rPr>
            </w:pPr>
            <w:r>
              <w:rPr>
                <w:rFonts w:ascii="Arial" w:cs="Arial" w:eastAsia="Arial" w:hAnsi="Arial"/>
                <w:sz w:val="16"/>
                <w:szCs w:val="16"/>
                <w:color w:val="auto"/>
              </w:rPr>
              <w:t>97.1</w:t>
            </w:r>
          </w:p>
        </w:tc>
        <w:tc>
          <w:tcPr>
            <w:tcW w:w="36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GE HealthCare Technologies Inc. Clawback Policy.</w:t>
            </w:r>
          </w:p>
        </w:tc>
        <w:tc>
          <w:tcPr>
            <w:tcW w:w="65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098030" cy="9340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098030" cy="934085"/>
                    </a:xfrm>
                    <a:prstGeom prst="rect">
                      <a:avLst/>
                    </a:prstGeom>
                    <a:noFill/>
                  </pic:spPr>
                </pic:pic>
              </a:graphicData>
            </a:graphic>
          </wp:anchor>
        </w:drawing>
      </w:r>
    </w:p>
    <w:p>
      <w:pPr>
        <w:spacing w:after="0" w:line="47" w:lineRule="exact"/>
        <w:rPr>
          <w:sz w:val="20"/>
          <w:szCs w:val="20"/>
          <w:color w:val="auto"/>
        </w:rPr>
      </w:pPr>
    </w:p>
    <w:p>
      <w:pPr>
        <w:ind w:left="1020" w:right="60"/>
        <w:spacing w:after="0" w:line="269" w:lineRule="auto"/>
        <w:rPr>
          <w:sz w:val="20"/>
          <w:szCs w:val="20"/>
          <w:color w:val="auto"/>
        </w:rPr>
      </w:pPr>
      <w:r>
        <w:rPr>
          <w:rFonts w:ascii="Arial" w:cs="Arial" w:eastAsia="Arial" w:hAnsi="Arial"/>
          <w:sz w:val="16"/>
          <w:szCs w:val="16"/>
          <w:color w:val="auto"/>
        </w:rPr>
        <w:t>The following materials from GE HealthCare Technologies Inc.’s Annual Report on Form 10-K for the fiscal year ended December 31, 2023, formatted inline XBRL (eXtensible Business Reporting Language): (1) Consolidated and Combined Statements of Income for the years ended December 31, 2023, 2022, and 2021; (2) Consolidated and Combined Statements of Comprehensive Income (Loss) for years ended</w:t>
      </w:r>
    </w:p>
    <w:p>
      <w:pPr>
        <w:spacing w:after="0" w:line="1" w:lineRule="exact"/>
        <w:rPr>
          <w:sz w:val="20"/>
          <w:szCs w:val="20"/>
          <w:color w:val="auto"/>
        </w:rPr>
      </w:pPr>
    </w:p>
    <w:p>
      <w:pPr>
        <w:ind w:left="1020" w:hanging="634"/>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December 31, 2023, 2022, and 2021; (3) Consolidated and Combined Statements of Financial Position as of December 31, 2023 and 2022;</w:t>
      </w:r>
    </w:p>
    <w:p>
      <w:pPr>
        <w:spacing w:after="0" w:line="18" w:lineRule="exact"/>
        <w:rPr>
          <w:rFonts w:ascii="Arial" w:cs="Arial" w:eastAsia="Arial" w:hAnsi="Arial"/>
          <w:sz w:val="16"/>
          <w:szCs w:val="16"/>
          <w:color w:val="auto"/>
        </w:rPr>
      </w:pPr>
    </w:p>
    <w:p>
      <w:pPr>
        <w:ind w:left="1020" w:right="100"/>
        <w:spacing w:after="0" w:line="276" w:lineRule="auto"/>
        <w:rPr>
          <w:rFonts w:ascii="Arial" w:cs="Arial" w:eastAsia="Arial" w:hAnsi="Arial"/>
          <w:sz w:val="16"/>
          <w:szCs w:val="16"/>
          <w:color w:val="auto"/>
        </w:rPr>
      </w:pPr>
      <w:r>
        <w:rPr>
          <w:rFonts w:ascii="Arial" w:cs="Arial" w:eastAsia="Arial" w:hAnsi="Arial"/>
          <w:sz w:val="16"/>
          <w:szCs w:val="16"/>
          <w:color w:val="auto"/>
        </w:rPr>
        <w:t>(4) Consolidated and Combined Statements of Changes in Equity for the years ended December 31, 2023, 2022, and 2021; (5) Consolidated and Combined Statements of Cash Flows for the years ended December 31, 2023, 2022, and 2021; and (6) Notes to the Consolidated and Combined Financial Statements.</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73" w:lineRule="exact"/>
        <w:rPr>
          <w:sz w:val="20"/>
          <w:szCs w:val="20"/>
          <w:color w:val="auto"/>
        </w:rPr>
      </w:pPr>
    </w:p>
    <w:p>
      <w:pPr>
        <w:ind w:left="1020" w:right="60" w:hanging="544"/>
        <w:spacing w:after="0" w:line="181" w:lineRule="auto"/>
        <w:tabs>
          <w:tab w:leader="none" w:pos="1020" w:val="left"/>
        </w:tabs>
        <w:numPr>
          <w:ilvl w:val="0"/>
          <w:numId w:val="60"/>
        </w:numPr>
        <w:rPr>
          <w:rFonts w:ascii="Arial" w:cs="Arial" w:eastAsia="Arial" w:hAnsi="Arial"/>
          <w:sz w:val="32"/>
          <w:szCs w:val="32"/>
          <w:color w:val="auto"/>
          <w:vertAlign w:val="subscript"/>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-271780</wp:posOffset>
            </wp:positionV>
            <wp:extent cx="7098030" cy="300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098030" cy="300355"/>
                    </a:xfrm>
                    <a:prstGeom prst="rect">
                      <a:avLst/>
                    </a:prstGeom>
                    <a:noFill/>
                  </pic:spPr>
                </pic:pic>
              </a:graphicData>
            </a:graphic>
          </wp:anchor>
        </w:drawing>
      </w:r>
    </w:p>
    <w:p>
      <w:pPr>
        <w:spacing w:after="0" w:line="36" w:lineRule="exact"/>
        <w:rPr>
          <w:sz w:val="20"/>
          <w:szCs w:val="20"/>
          <w:color w:val="auto"/>
        </w:rPr>
      </w:pPr>
    </w:p>
    <w:p>
      <w:pPr>
        <w:ind w:left="1020" w:hanging="530"/>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Registrants may voluntarily include a summary of information required by Form 10-K under this Item 16. The Company has elected to not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GE HealthCare Technologies Inc.</w:t>
            </w:r>
          </w:p>
        </w:tc>
      </w:tr>
      <w:tr>
        <w:trPr>
          <w:trHeight w:val="29"/>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5"/>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513"/>
        </w:trPr>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rPr>
              <w:t>February 6, 2024</w:t>
            </w:r>
          </w:p>
        </w:tc>
        <w:tc>
          <w:tcPr>
            <w:tcW w:w="7700" w:type="dxa"/>
            <w:vAlign w:val="bottom"/>
          </w:tcPr>
          <w:p>
            <w:pPr>
              <w:ind w:left="20"/>
              <w:spacing w:after="0"/>
              <w:rPr>
                <w:sz w:val="20"/>
                <w:szCs w:val="20"/>
                <w:color w:val="auto"/>
              </w:rPr>
            </w:pPr>
            <w:r>
              <w:rPr>
                <w:rFonts w:ascii="Arial" w:cs="Arial" w:eastAsia="Arial" w:hAnsi="Arial"/>
                <w:sz w:val="16"/>
                <w:szCs w:val="16"/>
                <w:color w:val="auto"/>
              </w:rPr>
              <w:t>/s/ James K. Saccaro</w:t>
            </w:r>
          </w:p>
        </w:tc>
      </w:tr>
      <w:tr>
        <w:trPr>
          <w:trHeight w:val="29"/>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21"/>
        </w:trPr>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Date</w:t>
            </w:r>
          </w:p>
        </w:tc>
        <w:tc>
          <w:tcPr>
            <w:tcW w:w="7700" w:type="dxa"/>
            <w:vAlign w:val="bottom"/>
          </w:tcPr>
          <w:p>
            <w:pPr>
              <w:ind w:left="20"/>
              <w:spacing w:after="0"/>
              <w:rPr>
                <w:sz w:val="20"/>
                <w:szCs w:val="20"/>
                <w:color w:val="auto"/>
              </w:rPr>
            </w:pPr>
            <w:r>
              <w:rPr>
                <w:rFonts w:ascii="Arial" w:cs="Arial" w:eastAsia="Arial" w:hAnsi="Arial"/>
                <w:sz w:val="16"/>
                <w:szCs w:val="16"/>
                <w:color w:val="auto"/>
              </w:rPr>
              <w:t>James K. Saccaro, Vice President &amp; Chief Financial Officer (Principal Financial Officer)</w:t>
            </w:r>
          </w:p>
        </w:tc>
      </w:tr>
    </w:tbl>
    <w:p>
      <w:pPr>
        <w:spacing w:after="0" w:line="200" w:lineRule="exact"/>
        <w:rPr>
          <w:sz w:val="20"/>
          <w:szCs w:val="20"/>
          <w:color w:val="auto"/>
        </w:rPr>
      </w:pPr>
    </w:p>
    <w:p>
      <w:pPr>
        <w:spacing w:after="0" w:line="39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6, 2024.</w:t>
      </w:r>
    </w:p>
    <w:p>
      <w:pPr>
        <w:sectPr>
          <w:pgSz w:w="11900" w:h="16838" w:orient="portrait"/>
          <w:cols w:equalWidth="0" w:num="1">
            <w:col w:w="11180"/>
          </w:cols>
          <w:pgMar w:left="320" w:top="1079" w:right="399" w:bottom="1440" w:gutter="0" w:footer="0" w:header="0"/>
        </w:sectPr>
      </w:pPr>
    </w:p>
    <w:p>
      <w:pPr>
        <w:spacing w:after="0" w:line="23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2172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53663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Peter J. Arduini, President &amp; Chief Executive Officer and Director (Principal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James K. Saccaro, Vice President &amp; Chief Financial Officer (Principal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George A. Newcomb, Chief Accounting Officer (Principal Accounting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H. Lawrence Culp,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 Lawrence Culp, Jr., Chairman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Rodney F.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Rodney F. Hochman,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Lloyd W. Howell, Jr.,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Risa Lavizzo-Mourey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53663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Risa Lavizzo-Mourey,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Catherine Lesjak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53663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Catherine Lesjak,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53663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Anne T. Madden,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Tomislav Mihaljevic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53663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Tomislav Mihaljevic,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William J. Stromberg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William J. Stromberg,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Phoebe L.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Phoebe L. Yang, Director</w:t>
      </w:r>
    </w:p>
    <w:p>
      <w:pPr>
        <w:spacing w:after="0" w:line="200" w:lineRule="exact"/>
        <w:rPr>
          <w:sz w:val="20"/>
          <w:szCs w:val="20"/>
          <w:color w:val="auto"/>
        </w:rPr>
      </w:pPr>
    </w:p>
    <w:p>
      <w:pPr>
        <w:sectPr>
          <w:pgSz w:w="11900" w:h="16838" w:orient="portrait"/>
          <w:cols w:equalWidth="0" w:num="2">
            <w:col w:w="1340" w:space="720"/>
            <w:col w:w="9120"/>
          </w:cols>
          <w:pgMar w:left="320" w:top="107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180"/>
          </w:cols>
          <w:pgMar w:left="320" w:top="1079" w:right="39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GE HealthCare Technologies Inc.</w:t>
            </w:r>
          </w:p>
        </w:tc>
        <w:tc>
          <w:tcPr>
            <w:tcW w:w="0" w:type="dxa"/>
            <w:vAlign w:val="bottom"/>
          </w:tcPr>
          <w:p>
            <w:pPr>
              <w:spacing w:after="0"/>
              <w:rPr>
                <w:sz w:val="1"/>
                <w:szCs w:val="1"/>
                <w:color w:val="auto"/>
              </w:rPr>
            </w:pPr>
          </w:p>
        </w:tc>
      </w:tr>
      <w:tr>
        <w:trPr>
          <w:trHeight w:val="247"/>
        </w:trPr>
        <w:tc>
          <w:tcPr>
            <w:tcW w:w="4100" w:type="dxa"/>
            <w:vAlign w:val="bottom"/>
          </w:tcPr>
          <w:p>
            <w:pPr>
              <w:spacing w:after="0"/>
              <w:rPr>
                <w:sz w:val="21"/>
                <w:szCs w:val="21"/>
                <w:color w:val="auto"/>
              </w:rPr>
            </w:pPr>
          </w:p>
        </w:tc>
        <w:tc>
          <w:tcPr>
            <w:tcW w:w="6940" w:type="dxa"/>
            <w:vAlign w:val="bottom"/>
          </w:tcPr>
          <w:p>
            <w:pPr>
              <w:ind w:left="300"/>
              <w:spacing w:after="0"/>
              <w:rPr>
                <w:sz w:val="20"/>
                <w:szCs w:val="20"/>
                <w:color w:val="auto"/>
              </w:rPr>
            </w:pPr>
            <w:r>
              <w:rPr>
                <w:rFonts w:ascii="Arial" w:cs="Arial" w:eastAsia="Arial" w:hAnsi="Arial"/>
                <w:sz w:val="18"/>
                <w:szCs w:val="18"/>
                <w:b w:val="1"/>
                <w:bCs w:val="1"/>
                <w:color w:val="auto"/>
              </w:rPr>
              <w:t>Subsidiaries of Registrant</w:t>
            </w:r>
          </w:p>
        </w:tc>
        <w:tc>
          <w:tcPr>
            <w:tcW w:w="0" w:type="dxa"/>
            <w:vAlign w:val="bottom"/>
          </w:tcPr>
          <w:p>
            <w:pPr>
              <w:spacing w:after="0"/>
              <w:rPr>
                <w:sz w:val="1"/>
                <w:szCs w:val="1"/>
                <w:color w:val="auto"/>
              </w:rPr>
            </w:pPr>
          </w:p>
        </w:tc>
      </w:tr>
      <w:tr>
        <w:trPr>
          <w:trHeight w:val="420"/>
        </w:trPr>
        <w:tc>
          <w:tcPr>
            <w:tcW w:w="4100" w:type="dxa"/>
            <w:vAlign w:val="bottom"/>
          </w:tcPr>
          <w:p>
            <w:pPr>
              <w:spacing w:after="0"/>
              <w:rPr>
                <w:sz w:val="24"/>
                <w:szCs w:val="24"/>
                <w:color w:val="auto"/>
              </w:rPr>
            </w:pPr>
          </w:p>
        </w:tc>
        <w:tc>
          <w:tcPr>
            <w:tcW w:w="6940" w:type="dxa"/>
            <w:vAlign w:val="bottom"/>
          </w:tcPr>
          <w:p>
            <w:pPr>
              <w:ind w:left="4240"/>
              <w:spacing w:after="0"/>
              <w:rPr>
                <w:sz w:val="20"/>
                <w:szCs w:val="20"/>
                <w:color w:val="auto"/>
              </w:rPr>
            </w:pPr>
            <w:r>
              <w:rPr>
                <w:rFonts w:ascii="Arial" w:cs="Arial" w:eastAsia="Arial" w:hAnsi="Arial"/>
                <w:sz w:val="16"/>
                <w:szCs w:val="16"/>
                <w:b w:val="1"/>
                <w:bCs w:val="1"/>
                <w:color w:val="454545"/>
              </w:rPr>
              <w:t>STATE OR COUNTRY OF</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LEGAL ENTITY</w:t>
            </w:r>
          </w:p>
        </w:tc>
        <w:tc>
          <w:tcPr>
            <w:tcW w:w="6940" w:type="dxa"/>
            <w:vAlign w:val="bottom"/>
          </w:tcPr>
          <w:p>
            <w:pPr>
              <w:ind w:left="4240"/>
              <w:spacing w:after="0" w:line="162" w:lineRule="exact"/>
              <w:rPr>
                <w:sz w:val="20"/>
                <w:szCs w:val="20"/>
                <w:color w:val="auto"/>
              </w:rPr>
            </w:pPr>
            <w:r>
              <w:rPr>
                <w:rFonts w:ascii="Arial" w:cs="Arial" w:eastAsia="Arial" w:hAnsi="Arial"/>
                <w:sz w:val="16"/>
                <w:szCs w:val="16"/>
                <w:b w:val="1"/>
                <w:bCs w:val="1"/>
                <w:color w:val="454545"/>
              </w:rPr>
              <w:t>INCORPORATION OR</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6400A0"/>
            </w:tcBorders>
            <w:vMerge w:val="continue"/>
          </w:tcPr>
          <w:p>
            <w:pPr>
              <w:spacing w:after="0"/>
              <w:rPr>
                <w:sz w:val="18"/>
                <w:szCs w:val="18"/>
                <w:color w:val="auto"/>
              </w:rPr>
            </w:pPr>
          </w:p>
        </w:tc>
        <w:tc>
          <w:tcPr>
            <w:tcW w:w="6940" w:type="dxa"/>
            <w:vAlign w:val="bottom"/>
            <w:tcBorders>
              <w:bottom w:val="single" w:sz="8" w:color="6400A0"/>
            </w:tcBorders>
          </w:tcPr>
          <w:p>
            <w:pPr>
              <w:ind w:left="4240"/>
              <w:spacing w:after="0"/>
              <w:rPr>
                <w:sz w:val="20"/>
                <w:szCs w:val="20"/>
                <w:color w:val="auto"/>
              </w:rPr>
            </w:pPr>
            <w:r>
              <w:rPr>
                <w:rFonts w:ascii="Arial" w:cs="Arial" w:eastAsia="Arial" w:hAnsi="Arial"/>
                <w:sz w:val="16"/>
                <w:szCs w:val="16"/>
                <w:b w:val="1"/>
                <w:bCs w:val="1"/>
                <w:color w:val="454545"/>
              </w:rPr>
              <w:t>ORGANIZATION</w:t>
            </w:r>
          </w:p>
        </w:tc>
        <w:tc>
          <w:tcPr>
            <w:tcW w:w="0" w:type="dxa"/>
            <w:vAlign w:val="bottom"/>
          </w:tcPr>
          <w:p>
            <w:pPr>
              <w:spacing w:after="0"/>
              <w:rPr>
                <w:sz w:val="1"/>
                <w:szCs w:val="1"/>
                <w:color w:val="auto"/>
              </w:rPr>
            </w:pPr>
          </w:p>
        </w:tc>
      </w:tr>
      <w:tr>
        <w:trPr>
          <w:trHeight w:val="208"/>
        </w:trPr>
        <w:tc>
          <w:tcPr>
            <w:tcW w:w="4100" w:type="dxa"/>
            <w:vAlign w:val="bottom"/>
          </w:tcPr>
          <w:p>
            <w:pPr>
              <w:ind w:left="20"/>
              <w:spacing w:after="0"/>
              <w:rPr>
                <w:sz w:val="20"/>
                <w:szCs w:val="20"/>
                <w:color w:val="auto"/>
              </w:rPr>
            </w:pPr>
            <w:r>
              <w:rPr>
                <w:rFonts w:ascii="Arial" w:cs="Arial" w:eastAsia="Arial" w:hAnsi="Arial"/>
                <w:sz w:val="16"/>
                <w:szCs w:val="16"/>
                <w:color w:val="auto"/>
              </w:rPr>
              <w:t>Beijing GE Hualun Medical Equipment Company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BK Medical ApS</w:t>
            </w:r>
          </w:p>
        </w:tc>
        <w:tc>
          <w:tcPr>
            <w:tcW w:w="6940" w:type="dxa"/>
            <w:vAlign w:val="bottom"/>
          </w:tcPr>
          <w:p>
            <w:pPr>
              <w:ind w:left="42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Australia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Austria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Benelux NV</w:t>
            </w:r>
          </w:p>
        </w:tc>
        <w:tc>
          <w:tcPr>
            <w:tcW w:w="6940" w:type="dxa"/>
            <w:vAlign w:val="bottom"/>
          </w:tcPr>
          <w:p>
            <w:pPr>
              <w:ind w:left="424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France SAS</w:t>
            </w:r>
          </w:p>
        </w:tc>
        <w:tc>
          <w:tcPr>
            <w:tcW w:w="6940" w:type="dxa"/>
            <w:vAlign w:val="bottom"/>
          </w:tcPr>
          <w:p>
            <w:pPr>
              <w:ind w:left="42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Holding Company, Inc.</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Italia S.r.l.</w:t>
            </w:r>
          </w:p>
        </w:tc>
        <w:tc>
          <w:tcPr>
            <w:tcW w:w="6940" w:type="dxa"/>
            <w:vAlign w:val="bottom"/>
          </w:tcPr>
          <w:p>
            <w:pPr>
              <w:ind w:left="42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Medizinische Systeme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Schweiz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Sweden AB</w:t>
            </w:r>
          </w:p>
        </w:tc>
        <w:tc>
          <w:tcPr>
            <w:tcW w:w="6940" w:type="dxa"/>
            <w:vAlign w:val="bottom"/>
          </w:tcPr>
          <w:p>
            <w:pPr>
              <w:ind w:left="42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Technology Shanghai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UK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BKM Holding Company, Inc.</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Caption Care, Inc.</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Caption Health, Inc.</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Critikon de Mexico, S. de R.L. de C.V.</w:t>
            </w:r>
          </w:p>
        </w:tc>
        <w:tc>
          <w:tcPr>
            <w:tcW w:w="6940" w:type="dxa"/>
            <w:vAlign w:val="bottom"/>
          </w:tcPr>
          <w:p>
            <w:pPr>
              <w:ind w:left="42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Datex-Ohmeda, Inc.</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FIFA Holdings LLC</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States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(China) Finance Leasing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BE Private Ltd*</w:t>
            </w:r>
          </w:p>
        </w:tc>
        <w:tc>
          <w:tcPr>
            <w:tcW w:w="6940" w:type="dxa"/>
            <w:vAlign w:val="bottom"/>
          </w:tcPr>
          <w:p>
            <w:pPr>
              <w:ind w:left="424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Bio-Sciences Investments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Financial Markets Funding I</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Financial Markets Unlimited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Hangwei Medical Systems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(Barbados) SRL</w:t>
            </w:r>
          </w:p>
        </w:tc>
        <w:tc>
          <w:tcPr>
            <w:tcW w:w="6940" w:type="dxa"/>
            <w:vAlign w:val="bottom"/>
          </w:tcPr>
          <w:p>
            <w:pPr>
              <w:ind w:left="4240"/>
              <w:spacing w:after="0"/>
              <w:rPr>
                <w:sz w:val="20"/>
                <w:szCs w:val="20"/>
                <w:color w:val="auto"/>
              </w:rPr>
            </w:pPr>
            <w:r>
              <w:rPr>
                <w:rFonts w:ascii="Arial" w:cs="Arial" w:eastAsia="Arial" w:hAnsi="Arial"/>
                <w:sz w:val="16"/>
                <w:szCs w:val="16"/>
                <w:color w:val="auto"/>
              </w:rPr>
              <w:t>Barbados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(Chengdu) Company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(China)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(NMP)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(Shanghai)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(Tianjin)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6940" w:type="dxa"/>
            <w:vAlign w:val="bottom"/>
          </w:tcPr>
          <w:p>
            <w:pPr>
              <w:ind w:left="42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6940" w:type="dxa"/>
            <w:vAlign w:val="bottom"/>
          </w:tcPr>
          <w:p>
            <w:pPr>
              <w:ind w:left="42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AG</w:t>
            </w:r>
          </w:p>
        </w:tc>
        <w:tc>
          <w:tcPr>
            <w:tcW w:w="6940" w:type="dxa"/>
            <w:vAlign w:val="bottom"/>
          </w:tcPr>
          <w:p>
            <w:pPr>
              <w:ind w:left="42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Algerie SARL</w:t>
            </w:r>
          </w:p>
        </w:tc>
        <w:tc>
          <w:tcPr>
            <w:tcW w:w="6940" w:type="dxa"/>
            <w:vAlign w:val="bottom"/>
          </w:tcPr>
          <w:p>
            <w:pPr>
              <w:ind w:left="4240"/>
              <w:spacing w:after="0"/>
              <w:rPr>
                <w:sz w:val="20"/>
                <w:szCs w:val="20"/>
                <w:color w:val="auto"/>
              </w:rPr>
            </w:pPr>
            <w:r>
              <w:rPr>
                <w:rFonts w:ascii="Arial" w:cs="Arial" w:eastAsia="Arial" w:hAnsi="Arial"/>
                <w:sz w:val="16"/>
                <w:szCs w:val="16"/>
                <w:color w:val="auto"/>
              </w:rPr>
              <w:t>Algeria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Argentina S.A.</w:t>
            </w:r>
          </w:p>
        </w:tc>
        <w:tc>
          <w:tcPr>
            <w:tcW w:w="6940" w:type="dxa"/>
            <w:vAlign w:val="bottom"/>
          </w:tcPr>
          <w:p>
            <w:pPr>
              <w:ind w:left="42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6940" w:type="dxa"/>
            <w:vAlign w:val="bottom"/>
          </w:tcPr>
          <w:p>
            <w:pPr>
              <w:ind w:left="42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Australia Holdings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Australia Pty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Austria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Austria GmbH &amp; Co OG</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B.V.</w:t>
            </w:r>
          </w:p>
        </w:tc>
        <w:tc>
          <w:tcPr>
            <w:tcW w:w="6940" w:type="dxa"/>
            <w:vAlign w:val="bottom"/>
          </w:tcPr>
          <w:p>
            <w:pPr>
              <w:ind w:left="42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Bangladesh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Bangladesh</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Bio-Sciences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Bio-Sciences, S.A.U.</w:t>
            </w:r>
          </w:p>
        </w:tc>
        <w:tc>
          <w:tcPr>
            <w:tcW w:w="6940" w:type="dxa"/>
            <w:vAlign w:val="bottom"/>
          </w:tcPr>
          <w:p>
            <w:pPr>
              <w:ind w:left="424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Buchler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Buchler GmbH &amp; Co. KG</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Bulgaria EOOD</w:t>
            </w:r>
          </w:p>
        </w:tc>
        <w:tc>
          <w:tcPr>
            <w:tcW w:w="6940" w:type="dxa"/>
            <w:vAlign w:val="bottom"/>
          </w:tcPr>
          <w:p>
            <w:pPr>
              <w:ind w:left="4240"/>
              <w:spacing w:after="0"/>
              <w:rPr>
                <w:sz w:val="20"/>
                <w:szCs w:val="20"/>
                <w:color w:val="auto"/>
              </w:rPr>
            </w:pPr>
            <w:r>
              <w:rPr>
                <w:rFonts w:ascii="Arial" w:cs="Arial" w:eastAsia="Arial" w:hAnsi="Arial"/>
                <w:sz w:val="16"/>
                <w:szCs w:val="16"/>
                <w:color w:val="auto"/>
              </w:rPr>
              <w:t>Bulgaria</w:t>
            </w:r>
          </w:p>
        </w:tc>
        <w:tc>
          <w:tcPr>
            <w:tcW w:w="0" w:type="dxa"/>
            <w:vAlign w:val="bottom"/>
          </w:tcPr>
          <w:p>
            <w:pPr>
              <w:spacing w:after="0"/>
              <w:rPr>
                <w:sz w:val="1"/>
                <w:szCs w:val="1"/>
                <w:color w:val="auto"/>
              </w:rPr>
            </w:pPr>
          </w:p>
        </w:tc>
      </w:tr>
    </w:tbl>
    <w:p>
      <w:pPr>
        <w:sectPr>
          <w:pgSz w:w="11900" w:h="16838" w:orient="portrait"/>
          <w:cols w:equalWidth="0" w:num="1">
            <w:col w:w="11140"/>
          </w:cols>
          <w:pgMar w:left="4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GE Healthcare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Canada Financial Services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Canada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Canada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Canada Investments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Canada Property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Caribbean Export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Central America &amp; Caribbean,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Česká republika,s.r.o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Clinical Systems Norway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Colombia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Cote d'Ivoire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d.o.o Beograd (Novi Beograd)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Danmark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del Peru S.A.C.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do Brasil Comercio e Servicos para Equipamentos Medico-Hospitalares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Equipment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Estonia OU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Europe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Markets US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Finland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Finnamore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Funding Ireland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Parts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Handels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Austria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IITS USA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Imaging Holding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Information Technologies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Japan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Investment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Irish PLZ Funding Co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Italia Holding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Italia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IVD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Investments Cooperatief U.A.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Kazakhstan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Kenya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Panama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Cote D'Ivoire (Ivory Coast)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ectPr>
          <w:pgSz w:w="11900" w:h="16838" w:orient="portrait"/>
          <w:cols w:equalWidth="0" w:num="2">
            <w:col w:w="7600" w:space="720"/>
            <w:col w:w="1900"/>
          </w:cols>
          <w:pgMar w:left="440" w:top="1003" w:right="1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GE HealthCare Korea,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Magyarorszag Kft.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Mauritius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Medical Technology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Norway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Nova Scotia #1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Nova Scotia #2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Pacific Holdings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Pakistan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PC Nova Scotia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Pension Trustee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PHARMACEUTICAL, COMMERCIAL AND INDUSTRIAL SOCIETE ANONYME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Puerto Rico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Regional Head Quarters Single Person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Research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Services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Slovensko,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Structured Projects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Sverige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Systems Uganda - SMC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Canada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Pacific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Trade and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Transnational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Treasury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Treasury Services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Tunisia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Ukraine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Unidad Central de Radiofarmacia de Galicia,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USA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Ventures Investment Management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VFS Canada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Vietnam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HFS,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Industrial 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Lighting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for Trading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Holding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Slovakia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Uganda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Tunisia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Vietnam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ectPr>
          <w:pgSz w:w="11900" w:h="16838" w:orient="portrait"/>
          <w:cols w:equalWidth="0" w:num="2">
            <w:col w:w="7600" w:space="720"/>
            <w:col w:w="1940"/>
          </w:cols>
          <w:pgMar w:left="440" w:top="1003" w:right="119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GE Medical Systems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(Schweiz)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(Thailand)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Egypt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Italia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Monterrey-Mexico,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Polska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Societe en Commandite Simple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South Africa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Sweden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Taiwan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Trade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Turkiye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Ultrasound &amp; Primary Care Diagnostics,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Technologies Nigeria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Middle East Healthcare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Parallel Design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Precision Healthcare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Sistemas Medicos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Ultrasound Korea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Ventures HealthCare Investment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Vingmed Ultrasound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GEFM Edinburgh I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GEMS PET Systems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Manufacturing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Espana,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Lanka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Portugal, Sociedade Unipessoal,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International (Benelux)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Services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Middle East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Romania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Gold Seal Renewable Resources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IDX Systems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Imactis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Imactis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Instrumentarium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Puustellintie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Teollisuuskatu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GE Healthcare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GE Healthcare Pharma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Medi-Physics,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Monica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OEC Medical 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GE Healthcare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OY GE Healthcare Bio-Sciences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Jordan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Sri Lanka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ectPr>
          <w:pgSz w:w="11900" w:h="16838" w:orient="portrait"/>
          <w:cols w:equalWidth="0" w:num="2">
            <w:col w:w="7600" w:space="720"/>
            <w:col w:w="1940"/>
          </w:cols>
          <w:pgMar w:left="440" w:top="1003" w:right="119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Parallel Design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 Appliance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PRECISION HEALTHCARE TREASURY APAC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Prismatic Sensors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 Innovative Service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GE Lighting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GE Operations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Circle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 - Radioisotopos e Proteccoes contra Sobretensoes Electricas,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American General Electric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Schleifring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Sound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Radiochemical Centre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Ultrasonix Medical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Uppsala Imanet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USA Instruments,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Medical Systems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Asia Pacific Private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Healthcare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Medical Device Manufacturing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ZIONEXA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TKT"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3238273 Nova Scotia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Uzbekistan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200" w:lineRule="exact"/>
        <w:rPr>
          <w:sz w:val="20"/>
          <w:szCs w:val="20"/>
          <w:color w:val="auto"/>
        </w:rPr>
      </w:pPr>
    </w:p>
    <w:p>
      <w:pPr>
        <w:sectPr>
          <w:pgSz w:w="11900" w:h="16838" w:orient="portrait"/>
          <w:cols w:equalWidth="0" w:num="2">
            <w:col w:w="7600" w:space="720"/>
            <w:col w:w="1699"/>
          </w:cols>
          <w:pgMar w:left="440" w:top="1003" w:right="1440" w:bottom="1440" w:gutter="0" w:footer="0" w:header="0"/>
        </w:sectPr>
      </w:pPr>
    </w:p>
    <w:p>
      <w:pPr>
        <w:spacing w:after="0" w:line="386" w:lineRule="exact"/>
        <w:rPr>
          <w:sz w:val="20"/>
          <w:szCs w:val="20"/>
          <w:color w:val="auto"/>
        </w:rPr>
      </w:pPr>
    </w:p>
    <w:p>
      <w:pPr>
        <w:jc w:val="right"/>
        <w:ind w:right="479"/>
        <w:spacing w:after="0"/>
        <w:rPr>
          <w:sz w:val="20"/>
          <w:szCs w:val="20"/>
          <w:color w:val="auto"/>
        </w:rPr>
      </w:pPr>
      <w:r>
        <w:rPr>
          <w:rFonts w:ascii="Arial" w:cs="Arial" w:eastAsia="Arial" w:hAnsi="Arial"/>
          <w:sz w:val="16"/>
          <w:szCs w:val="16"/>
          <w:i w:val="1"/>
          <w:iCs w:val="1"/>
          <w:color w:val="auto"/>
        </w:rPr>
        <w:t>Where ownership is less than 100% by GE HealthCare Technologies Inc. such has been noted by an asterisk (*)</w:t>
      </w:r>
      <w:r>
        <w:rPr>
          <w:rFonts w:ascii="Arial" w:cs="Arial" w:eastAsia="Arial" w:hAnsi="Arial"/>
          <w:sz w:val="16"/>
          <w:szCs w:val="16"/>
          <w:color w:val="auto"/>
        </w:rPr>
        <w:t>.</w:t>
      </w:r>
    </w:p>
    <w:p>
      <w:pPr>
        <w:sectPr>
          <w:pgSz w:w="11900" w:h="16838" w:orient="portrait"/>
          <w:cols w:equalWidth="0" w:num="1">
            <w:col w:w="10019"/>
          </w:cols>
          <w:pgMar w:left="440" w:top="1003" w:right="1440"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2" w:lineRule="exact"/>
        <w:rPr>
          <w:sz w:val="20"/>
          <w:szCs w:val="20"/>
          <w:color w:val="auto"/>
        </w:rPr>
      </w:pPr>
    </w:p>
    <w:p>
      <w:pPr>
        <w:jc w:val="both"/>
        <w:ind w:right="300"/>
        <w:spacing w:after="0" w:line="265" w:lineRule="auto"/>
        <w:rPr>
          <w:sz w:val="20"/>
          <w:szCs w:val="20"/>
          <w:color w:val="auto"/>
        </w:rPr>
      </w:pPr>
      <w:r>
        <w:rPr>
          <w:rFonts w:ascii="Arial" w:cs="Arial" w:eastAsia="Arial" w:hAnsi="Arial"/>
          <w:sz w:val="16"/>
          <w:szCs w:val="16"/>
          <w:color w:val="auto"/>
        </w:rPr>
        <w:t>We consent to the incorporation by reference in Registration Statement Nos. 333-268797 and 333-272419 on Form S-1 and Registration Statement Nos. 333-269047 and 333-269784 on Form S-8 of our reports dated February 6, 2024, relating to the financial statements of GE HealthCare Technologies Inc. and the effectiveness of GE HealthCare Technologies Inc.'s internal control over financial reporting appearing in this Annual Report on Form 10-K for the year ended December 31, 2023.</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6, 2024</w:t>
      </w:r>
    </w:p>
    <w:p>
      <w:pPr>
        <w:sectPr>
          <w:pgSz w:w="11900" w:h="16838" w:orient="portrait"/>
          <w:cols w:equalWidth="0" w:num="1">
            <w:col w:w="11240"/>
          </w:cols>
          <w:pgMar w:left="320" w:top="12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connection with the Annual Report of GE HealthCare Technologies Inc. (the “registrant”) on Form 10-K for the period ended December 31, 2023,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February 6,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22"/>
          <w:szCs w:val="22"/>
          <w:b w:val="1"/>
          <w:bCs w:val="1"/>
          <w:color w:val="auto"/>
        </w:rPr>
        <w:t>CLAWBACK POLICY</w:t>
      </w:r>
    </w:p>
    <w:p>
      <w:pPr>
        <w:spacing w:after="0" w:line="186" w:lineRule="exact"/>
        <w:rPr>
          <w:sz w:val="20"/>
          <w:szCs w:val="20"/>
          <w:color w:val="auto"/>
        </w:rPr>
      </w:pPr>
    </w:p>
    <w:p>
      <w:pPr>
        <w:ind w:right="260" w:firstLine="1296"/>
        <w:spacing w:after="0" w:line="212" w:lineRule="auto"/>
        <w:rPr>
          <w:sz w:val="20"/>
          <w:szCs w:val="20"/>
          <w:color w:val="auto"/>
        </w:rPr>
      </w:pPr>
      <w:r>
        <w:rPr>
          <w:rFonts w:ascii="Arial" w:cs="Arial" w:eastAsia="Arial" w:hAnsi="Arial"/>
          <w:sz w:val="22"/>
          <w:szCs w:val="22"/>
          <w:color w:val="auto"/>
        </w:rPr>
        <w:t>The Board of Directors (“Board”) of GE HealthCare Technologies Inc. (“Company”) has adopted this Clawback Policy (“Policy”) effective as of October 2, 2023, (i) in part to comply with, and it shall be interpreted consistent with, Section 10D of the Securities Exchange Act of 1934, as amended (“Exchange Act”), Rule 10D-1 promulgated under the Exchange Act (“Rule 10D-1”), the Nasdaq Stock Market LLC (“Nasdaq”) Rule 5608 (“Listing Standards”), and Section 304 of the Sarbanes-Oxley Act of 2002 (the “</w:t>
      </w:r>
      <w:r>
        <w:rPr>
          <w:rFonts w:ascii="Arial" w:cs="Arial" w:eastAsia="Arial" w:hAnsi="Arial"/>
          <w:sz w:val="22"/>
          <w:szCs w:val="22"/>
          <w:color w:val="0D212A"/>
        </w:rPr>
        <w:t>Sarbanes-Oxley Act”)</w:t>
      </w:r>
      <w:r>
        <w:rPr>
          <w:rFonts w:ascii="Arial" w:cs="Arial" w:eastAsia="Arial" w:hAnsi="Arial"/>
          <w:sz w:val="22"/>
          <w:szCs w:val="22"/>
          <w:color w:val="auto"/>
        </w:rPr>
        <w:t>; and (ii) in part to reinforce existing principles of the Company that allow for a potential impact on compensation resulting from misconduct. Section I of this Policy provides for mandatory clawback requirements in accordance with the Listing Standards and the Sarbanes-Oxley Act. Section II of this Policy provides for discretionary clawback recovery in the event of misconduct.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I – Statutory Clawback Requirements</w:t>
      </w:r>
    </w:p>
    <w:p>
      <w:pPr>
        <w:spacing w:after="0" w:line="179" w:lineRule="exact"/>
        <w:rPr>
          <w:sz w:val="20"/>
          <w:szCs w:val="20"/>
          <w:color w:val="auto"/>
        </w:rPr>
      </w:pPr>
    </w:p>
    <w:p>
      <w:pPr>
        <w:ind w:left="1340" w:hanging="684"/>
        <w:spacing w:after="0"/>
        <w:tabs>
          <w:tab w:leader="none" w:pos="13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Rule 10D-1 Clawback Requirements</w:t>
      </w:r>
    </w:p>
    <w:p>
      <w:pPr>
        <w:spacing w:after="0" w:line="181" w:lineRule="exact"/>
        <w:rPr>
          <w:sz w:val="20"/>
          <w:szCs w:val="20"/>
          <w:color w:val="auto"/>
        </w:rPr>
      </w:pPr>
    </w:p>
    <w:p>
      <w:pPr>
        <w:ind w:right="140" w:firstLine="1296"/>
        <w:spacing w:after="0" w:line="217" w:lineRule="auto"/>
        <w:rPr>
          <w:sz w:val="20"/>
          <w:szCs w:val="20"/>
          <w:color w:val="auto"/>
        </w:rPr>
      </w:pPr>
      <w:r>
        <w:rPr>
          <w:rFonts w:ascii="Arial" w:cs="Arial" w:eastAsia="Arial" w:hAnsi="Arial"/>
          <w:sz w:val="22"/>
          <w:szCs w:val="22"/>
          <w:color w:val="auto"/>
        </w:rPr>
        <w:t>This Section I applies in the event of any accounting restatement (“Restatement”) of the Company’s financial results due to its material non-compliance with financial reporting requirements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0" w:lineRule="exact"/>
        <w:rPr>
          <w:sz w:val="20"/>
          <w:szCs w:val="20"/>
          <w:color w:val="auto"/>
        </w:rPr>
      </w:pPr>
    </w:p>
    <w:p>
      <w:pPr>
        <w:ind w:left="1320" w:hanging="664"/>
        <w:spacing w:after="0"/>
        <w:tabs>
          <w:tab w:leader="none" w:pos="13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Officers Subject to Section I</w:t>
      </w:r>
    </w:p>
    <w:p>
      <w:pPr>
        <w:spacing w:after="0" w:line="181" w:lineRule="exact"/>
        <w:rPr>
          <w:sz w:val="20"/>
          <w:szCs w:val="20"/>
          <w:color w:val="auto"/>
        </w:rPr>
      </w:pPr>
    </w:p>
    <w:p>
      <w:pPr>
        <w:ind w:right="140" w:firstLine="1296"/>
        <w:spacing w:after="0" w:line="212" w:lineRule="auto"/>
        <w:rPr>
          <w:sz w:val="20"/>
          <w:szCs w:val="20"/>
          <w:color w:val="auto"/>
        </w:rPr>
      </w:pPr>
      <w:r>
        <w:rPr>
          <w:rFonts w:ascii="Arial" w:cs="Arial" w:eastAsia="Arial" w:hAnsi="Arial"/>
          <w:sz w:val="22"/>
          <w:szCs w:val="22"/>
          <w:color w:val="auto"/>
        </w:rPr>
        <w:t>The “executive officers” of the Company (as determined by the Board and reported as such) are covered by this Section I (the “Executive Officers”). This includes the Company’s current or former chief executive officer (“CEO”), president, chief financial officer (“CFO”), chief accounting officer, any vice-president of the Company in charge of a principal business unit, division, or function, and any other current or former officer or person who performs a significant policy-making function for the Company, including executive officers of subsidiaries of the Company if they perform such significant policy-making function for the Company. All of these Executive Officers are subject to this Section I, even if an Executive Officer had no responsibility for the financial statement errors which required restatement.</w:t>
      </w:r>
    </w:p>
    <w:p>
      <w:pPr>
        <w:spacing w:after="0" w:line="154" w:lineRule="exact"/>
        <w:rPr>
          <w:sz w:val="20"/>
          <w:szCs w:val="20"/>
          <w:color w:val="auto"/>
        </w:rPr>
      </w:pPr>
    </w:p>
    <w:p>
      <w:pPr>
        <w:ind w:left="1320" w:hanging="664"/>
        <w:spacing w:after="0"/>
        <w:tabs>
          <w:tab w:leader="none" w:pos="13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Subject to Mandatory Policy Terms</w:t>
      </w:r>
    </w:p>
    <w:p>
      <w:pPr>
        <w:spacing w:after="0" w:line="181" w:lineRule="exact"/>
        <w:rPr>
          <w:sz w:val="20"/>
          <w:szCs w:val="20"/>
          <w:color w:val="auto"/>
        </w:rPr>
      </w:pPr>
    </w:p>
    <w:p>
      <w:pPr>
        <w:ind w:right="360" w:firstLine="1296"/>
        <w:spacing w:after="0" w:line="220" w:lineRule="auto"/>
        <w:rPr>
          <w:sz w:val="20"/>
          <w:szCs w:val="20"/>
          <w:color w:val="auto"/>
        </w:rPr>
      </w:pPr>
      <w:r>
        <w:rPr>
          <w:rFonts w:ascii="Arial" w:cs="Arial" w:eastAsia="Arial" w:hAnsi="Arial"/>
          <w:sz w:val="22"/>
          <w:szCs w:val="22"/>
          <w:color w:val="auto"/>
        </w:rPr>
        <w:t>This Section I applies to any Incentive-Based Compensation received by an Executive Officer during the Clawback Period. Incentive-Based Compensation is deemed “received” in the fiscal period during which the applicable financial reporting measure (as specified in the terms of the award) is attained, even if the payment or grant occurs before or after the end of that fiscal period.</w:t>
      </w:r>
    </w:p>
    <w:p>
      <w:pPr>
        <w:spacing w:after="0" w:line="150" w:lineRule="exact"/>
        <w:rPr>
          <w:sz w:val="20"/>
          <w:szCs w:val="20"/>
          <w:color w:val="auto"/>
        </w:rPr>
      </w:pPr>
    </w:p>
    <w:p>
      <w:pPr>
        <w:ind w:left="1320" w:hanging="664"/>
        <w:spacing w:after="0"/>
        <w:tabs>
          <w:tab w:leader="none" w:pos="13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Amount Required to be Repaid Pursuant to Section I</w:t>
      </w:r>
    </w:p>
    <w:p>
      <w:pPr>
        <w:spacing w:after="0" w:line="181" w:lineRule="exact"/>
        <w:rPr>
          <w:sz w:val="20"/>
          <w:szCs w:val="20"/>
          <w:color w:val="auto"/>
        </w:rPr>
      </w:pPr>
    </w:p>
    <w:p>
      <w:pPr>
        <w:ind w:right="60" w:firstLine="1296"/>
        <w:spacing w:after="0" w:line="226" w:lineRule="auto"/>
        <w:rPr>
          <w:sz w:val="20"/>
          <w:szCs w:val="20"/>
          <w:color w:val="auto"/>
        </w:rPr>
      </w:pPr>
      <w:r>
        <w:rPr>
          <w:rFonts w:ascii="Arial" w:cs="Arial" w:eastAsia="Arial" w:hAnsi="Arial"/>
          <w:sz w:val="22"/>
          <w:szCs w:val="22"/>
          <w:color w:val="auto"/>
        </w:rPr>
        <w:t>The amount of Incentive-Based Compensation that must be repaid (subject to the few limitations discussed below) is the amount of Incentive-Based Compensation received by the Executive Officer that exceeds the amount of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131" w:name="page132"/>
    <w:bookmarkEnd w:id="131"/>
    <w:p>
      <w:pPr>
        <w:spacing w:after="0" w:line="210" w:lineRule="auto"/>
        <w:rPr>
          <w:sz w:val="20"/>
          <w:szCs w:val="20"/>
          <w:color w:val="auto"/>
        </w:rPr>
      </w:pPr>
      <w:r>
        <w:rPr>
          <w:rFonts w:ascii="Arial" w:cs="Arial" w:eastAsia="Arial" w:hAnsi="Arial"/>
          <w:sz w:val="22"/>
          <w:szCs w:val="22"/>
          <w:color w:val="auto"/>
        </w:rPr>
        <w:t>Based Compensation that otherwise would have been received had it been determined based on the Restatement (the “Recoverable Amount”). Applying this definition, after a Restatement, the Company will recalculate the applicable financial reporting measure and the Recoverable Amount in accordance with SEC and exchange rules. The Company will determine whether, based on that financial reporting measure as calculated relying on the original financial statements, an Executive Officer received a greater amount of Incentive-Based Compensation than would have been received applying the recalculated financial measure. Where Incentive-Based Compensation is based only in part on the achievement of a financial reporting measure, the Company will determine the portion of the original Incentive-Based Compensation based on such financial reporting measure that was restated and will calculate the Recoverable Amount attributable to such affected portion of the Incentive-Based Compensation. All Recoverable Amounts will be calculated on a pre-tax basis to ensure that the Company recovers the full amount of Incentive-Based Compensation that was erroneously awarded.</w:t>
      </w:r>
    </w:p>
    <w:p>
      <w:pPr>
        <w:spacing w:after="0" w:line="157" w:lineRule="exact"/>
        <w:rPr>
          <w:sz w:val="20"/>
          <w:szCs w:val="20"/>
          <w:color w:val="auto"/>
        </w:rPr>
      </w:pPr>
    </w:p>
    <w:p>
      <w:pPr>
        <w:ind w:right="120" w:firstLine="1296"/>
        <w:spacing w:after="0" w:line="215" w:lineRule="auto"/>
        <w:rPr>
          <w:sz w:val="20"/>
          <w:szCs w:val="20"/>
          <w:color w:val="auto"/>
        </w:rPr>
      </w:pPr>
      <w:r>
        <w:rPr>
          <w:rFonts w:ascii="Arial" w:cs="Arial" w:eastAsia="Arial" w:hAnsi="Arial"/>
          <w:sz w:val="22"/>
          <w:szCs w:val="22"/>
          <w:color w:val="auto"/>
        </w:rPr>
        <w:t>For Incentive-Based Compensation based on stock price or total shareholder return (“TSR”), where the amount of erroneously awarded compensation is not subject to mathematical recalculation directly from the information in the Restatement (1) the Company shall determine the Recoverable Amount based on a reasonable estimate of the effect of the Restatement on the stock price or the TSR upon which Incentive-Based Compensation was received; and (2) the Company shall maintain documentation of the determination of that reasonable estimate and provide such documentation to Nasdaq when requested.</w:t>
      </w:r>
    </w:p>
    <w:p>
      <w:pPr>
        <w:spacing w:after="0" w:line="152" w:lineRule="exact"/>
        <w:rPr>
          <w:sz w:val="20"/>
          <w:szCs w:val="20"/>
          <w:color w:val="auto"/>
        </w:rPr>
      </w:pPr>
    </w:p>
    <w:p>
      <w:pPr>
        <w:ind w:right="480" w:firstLine="1296"/>
        <w:spacing w:after="0" w:line="256" w:lineRule="auto"/>
        <w:rPr>
          <w:sz w:val="20"/>
          <w:szCs w:val="20"/>
          <w:color w:val="auto"/>
        </w:rPr>
      </w:pPr>
      <w:r>
        <w:rPr>
          <w:rFonts w:ascii="Arial" w:cs="Arial" w:eastAsia="Arial" w:hAnsi="Arial"/>
          <w:sz w:val="21"/>
          <w:szCs w:val="21"/>
          <w:color w:val="auto"/>
        </w:rPr>
        <w:t>In no event shall the Company be required to award Executive Officers an additional payment if the restated or accurate financial results would have resulted in a higher Incentive-Based Compensation payment.</w:t>
      </w:r>
    </w:p>
    <w:p>
      <w:pPr>
        <w:spacing w:after="0" w:line="133" w:lineRule="exact"/>
        <w:rPr>
          <w:sz w:val="20"/>
          <w:szCs w:val="20"/>
          <w:color w:val="auto"/>
        </w:rPr>
      </w:pPr>
    </w:p>
    <w:p>
      <w:pPr>
        <w:ind w:right="280" w:firstLine="1296"/>
        <w:spacing w:after="0" w:line="217" w:lineRule="auto"/>
        <w:rPr>
          <w:sz w:val="20"/>
          <w:szCs w:val="20"/>
          <w:color w:val="auto"/>
        </w:rPr>
      </w:pPr>
      <w:r>
        <w:rPr>
          <w:rFonts w:ascii="Arial" w:cs="Arial" w:eastAsia="Arial" w:hAnsi="Arial"/>
          <w:sz w:val="22"/>
          <w:szCs w:val="22"/>
          <w:color w:val="auto"/>
        </w:rPr>
        <w:t>If equity compensation is recoverable due to being granted to the Executive Officer (when the accounting results were the reason the equity compensation was granted) or vested (when the accounting results were the reason the equity compensation was vested), in each case during the Clawback Period, the Company will recover the excess portion of the equity award that would not have been granted or vested based on the Restatement, as follows:</w:t>
      </w:r>
    </w:p>
    <w:p>
      <w:pPr>
        <w:spacing w:after="0" w:line="152" w:lineRule="exact"/>
        <w:rPr>
          <w:sz w:val="20"/>
          <w:szCs w:val="20"/>
          <w:color w:val="auto"/>
        </w:rPr>
      </w:pPr>
    </w:p>
    <w:p>
      <w:pPr>
        <w:ind w:left="1300" w:hanging="320"/>
        <w:spacing w:after="0"/>
        <w:tabs>
          <w:tab w:leader="none" w:pos="1300" w:val="left"/>
        </w:tabs>
        <w:numPr>
          <w:ilvl w:val="0"/>
          <w:numId w:val="6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if the </w:t>
      </w:r>
      <w:r>
        <w:rPr>
          <w:rFonts w:ascii="Arial" w:cs="Arial" w:eastAsia="Arial" w:hAnsi="Arial"/>
          <w:sz w:val="22"/>
          <w:szCs w:val="22"/>
          <w:u w:val="single" w:color="auto"/>
          <w:color w:val="auto"/>
        </w:rPr>
        <w:t>equity award is still outstanding</w:t>
      </w:r>
      <w:r>
        <w:rPr>
          <w:rFonts w:ascii="Arial" w:cs="Arial" w:eastAsia="Arial" w:hAnsi="Arial"/>
          <w:sz w:val="22"/>
          <w:szCs w:val="22"/>
          <w:color w:val="auto"/>
        </w:rPr>
        <w:t>, the Executive Officer will forfeit the excess portion of the award;</w:t>
      </w:r>
    </w:p>
    <w:p>
      <w:pPr>
        <w:spacing w:after="0" w:line="178" w:lineRule="exact"/>
        <w:rPr>
          <w:rFonts w:ascii="Times New Roman" w:cs="Times New Roman" w:eastAsia="Times New Roman" w:hAnsi="Times New Roman"/>
          <w:sz w:val="22"/>
          <w:szCs w:val="22"/>
          <w:color w:val="auto"/>
        </w:rPr>
      </w:pPr>
    </w:p>
    <w:p>
      <w:pPr>
        <w:ind w:left="1300" w:right="140" w:hanging="320"/>
        <w:spacing w:after="0" w:line="220" w:lineRule="auto"/>
        <w:tabs>
          <w:tab w:leader="none" w:pos="1295" w:val="left"/>
        </w:tabs>
        <w:numPr>
          <w:ilvl w:val="0"/>
          <w:numId w:val="6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if the </w:t>
      </w:r>
      <w:r>
        <w:rPr>
          <w:rFonts w:ascii="Arial" w:cs="Arial" w:eastAsia="Arial" w:hAnsi="Arial"/>
          <w:sz w:val="22"/>
          <w:szCs w:val="22"/>
          <w:u w:val="single" w:color="auto"/>
          <w:color w:val="auto"/>
        </w:rPr>
        <w:t>equity award has been exercised or settled into shares</w:t>
      </w:r>
      <w:r>
        <w:rPr>
          <w:rFonts w:ascii="Arial" w:cs="Arial" w:eastAsia="Arial" w:hAnsi="Arial"/>
          <w:sz w:val="22"/>
          <w:szCs w:val="22"/>
          <w:color w:val="auto"/>
        </w:rPr>
        <w:t xml:space="preserve"> (the “Underlying Shares”), and the Executive Officer still holds the Underlying Shares, the Company will recover the number of Underlying Shares relating to the excess portion of the award (less any exercise price paid for the Underlying Shares); and</w:t>
      </w:r>
    </w:p>
    <w:p>
      <w:pPr>
        <w:spacing w:after="0" w:line="151" w:lineRule="exact"/>
        <w:rPr>
          <w:rFonts w:ascii="Times New Roman" w:cs="Times New Roman" w:eastAsia="Times New Roman" w:hAnsi="Times New Roman"/>
          <w:sz w:val="22"/>
          <w:szCs w:val="22"/>
          <w:color w:val="auto"/>
        </w:rPr>
      </w:pPr>
    </w:p>
    <w:p>
      <w:pPr>
        <w:ind w:left="1300" w:right="720" w:hanging="320"/>
        <w:spacing w:after="0" w:line="225" w:lineRule="auto"/>
        <w:tabs>
          <w:tab w:leader="none" w:pos="1295" w:val="left"/>
        </w:tabs>
        <w:numPr>
          <w:ilvl w:val="0"/>
          <w:numId w:val="6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if the </w:t>
      </w:r>
      <w:r>
        <w:rPr>
          <w:rFonts w:ascii="Arial" w:cs="Arial" w:eastAsia="Arial" w:hAnsi="Arial"/>
          <w:sz w:val="22"/>
          <w:szCs w:val="22"/>
          <w:u w:val="single" w:color="auto"/>
          <w:color w:val="auto"/>
        </w:rPr>
        <w:t>Underlying Shares have been sold by the Executive Officer</w:t>
      </w:r>
      <w:r>
        <w:rPr>
          <w:rFonts w:ascii="Arial" w:cs="Arial" w:eastAsia="Arial" w:hAnsi="Arial"/>
          <w:sz w:val="22"/>
          <w:szCs w:val="22"/>
          <w:color w:val="auto"/>
        </w:rPr>
        <w:t>, the Company will recover the proceeds received by the Executive Officer from the sale of the Underlying Shares relating to the excess portion of the award (less any exercise price paid for the Underlying Shares).</w:t>
      </w:r>
    </w:p>
    <w:p>
      <w:pPr>
        <w:spacing w:after="0" w:line="152" w:lineRule="exact"/>
        <w:rPr>
          <w:sz w:val="20"/>
          <w:szCs w:val="20"/>
          <w:color w:val="auto"/>
        </w:rPr>
      </w:pPr>
    </w:p>
    <w:p>
      <w:pPr>
        <w:jc w:val="both"/>
        <w:ind w:right="240" w:firstLine="1296"/>
        <w:spacing w:after="0" w:line="237" w:lineRule="auto"/>
        <w:rPr>
          <w:sz w:val="20"/>
          <w:szCs w:val="20"/>
          <w:color w:val="auto"/>
        </w:rPr>
      </w:pPr>
      <w:r>
        <w:rPr>
          <w:rFonts w:ascii="Arial" w:cs="Arial" w:eastAsia="Arial" w:hAnsi="Arial"/>
          <w:sz w:val="21"/>
          <w:szCs w:val="21"/>
          <w:color w:val="auto"/>
        </w:rPr>
        <w:t>The Board will take such action as it deems appropriate, in its sole and absolute discretion, to recover the Recoverable Amount from the Executive Officer reasonably promptly, unless the Board determines that it would be impracticable to recover such amount and (1) the direct costs of enforcing recovery would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32" w:name="page133"/>
    <w:bookmarkEnd w:id="132"/>
    <w:p>
      <w:pPr>
        <w:spacing w:after="0" w:line="209" w:lineRule="auto"/>
        <w:rPr>
          <w:sz w:val="20"/>
          <w:szCs w:val="20"/>
          <w:color w:val="auto"/>
        </w:rPr>
      </w:pPr>
      <w:r>
        <w:rPr>
          <w:rFonts w:ascii="Arial" w:cs="Arial" w:eastAsia="Arial" w:hAnsi="Arial"/>
          <w:sz w:val="22"/>
          <w:szCs w:val="22"/>
          <w:color w:val="auto"/>
        </w:rPr>
        <w:t>Recoverable Amount after the Company has made a reasonable attempt to recover such Recoverable Amount, or (2) recovery would likely cause an otherwise tax-qualified retirement plan, under which benefits are broadly available to employees of the Company, to fail to meet the requirements of 26 U.S.C. 401(a)(13) or 26 U.S.C. 411(a) and regulations thereunder. Specifically, the timing and method for promptly recouping the Recoverable Amount may include, without limitation, seeking reimbursement of all or part of any cash or equity-based award, cancelling prior cash or equity-based awards, whether vested or unvested or paid or unpaid, canceling or offsetting against any planned future cash or equity-based awards, forfeiture of deferred compensation, subject to compliance with 26 U.S.C. 409A and the regulations thereunder, and any other method authorized by applicable law or contract. Subject to compliance with any applicable law and to the extent consistent with 26 U.S.C. 409A, the Company may recover the Recoverable Amount from any amount otherwise payable to the Executive Officer, including amounts payable to such individual under any otherwise applicable Company plan or program, including base salary, bonus, commissions, and compensation previously deferred by the Executive Officer. Notwithstanding the foregoing, the Company makes no guarantee as to the treatment of such amounts under applicable law, including, without limitation, 26 U.S.C. 409A, and shall have no liability with respect thereto.</w:t>
      </w:r>
    </w:p>
    <w:p>
      <w:pPr>
        <w:spacing w:after="0" w:line="200" w:lineRule="exact"/>
        <w:rPr>
          <w:sz w:val="20"/>
          <w:szCs w:val="20"/>
          <w:color w:val="auto"/>
        </w:rPr>
      </w:pPr>
    </w:p>
    <w:p>
      <w:pPr>
        <w:spacing w:after="0" w:line="222" w:lineRule="exact"/>
        <w:rPr>
          <w:sz w:val="20"/>
          <w:szCs w:val="20"/>
          <w:color w:val="auto"/>
        </w:rPr>
      </w:pPr>
    </w:p>
    <w:p>
      <w:pPr>
        <w:ind w:left="1320" w:hanging="664"/>
        <w:spacing w:after="0"/>
        <w:tabs>
          <w:tab w:leader="none" w:pos="13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Section 304 of the Sarbanes-Oxley Act of 2002 Clawback Requirements</w:t>
      </w:r>
    </w:p>
    <w:p>
      <w:pPr>
        <w:ind w:right="80" w:firstLine="1296"/>
        <w:spacing w:after="0" w:line="213" w:lineRule="auto"/>
        <w:rPr>
          <w:sz w:val="20"/>
          <w:szCs w:val="20"/>
          <w:color w:val="auto"/>
        </w:rPr>
      </w:pPr>
      <w:r>
        <w:rPr>
          <w:rFonts w:ascii="Arial" w:cs="Arial" w:eastAsia="Arial" w:hAnsi="Arial"/>
          <w:sz w:val="22"/>
          <w:szCs w:val="22"/>
          <w:color w:val="auto"/>
        </w:rPr>
        <w:t>In addition to the provisions described above, if the Company is required to prepare an accounting restatement due to the material noncompliance of the Company, as a result of misconduct, with any financial reporting requirement under the securities laws, then, in accordance with Section 304 of the Sarbanes-Oxley Act, the CEO and CFO (at the time the financial document embodying such financial reporting requirement was originally issued) shall reimburse the Company for:</w:t>
      </w:r>
    </w:p>
    <w:p>
      <w:pPr>
        <w:spacing w:after="0" w:line="153" w:lineRule="exact"/>
        <w:rPr>
          <w:sz w:val="20"/>
          <w:szCs w:val="20"/>
          <w:color w:val="auto"/>
        </w:rPr>
      </w:pPr>
    </w:p>
    <w:p>
      <w:pPr>
        <w:ind w:left="1300" w:right="240" w:hanging="320"/>
        <w:spacing w:after="0" w:line="225" w:lineRule="auto"/>
        <w:tabs>
          <w:tab w:leader="none" w:pos="1295" w:val="left"/>
        </w:tabs>
        <w:numPr>
          <w:ilvl w:val="1"/>
          <w:numId w:val="71"/>
        </w:numPr>
        <w:rPr>
          <w:rFonts w:ascii="Times New Roman" w:cs="Times New Roman" w:eastAsia="Times New Roman" w:hAnsi="Times New Roman"/>
          <w:sz w:val="22"/>
          <w:szCs w:val="22"/>
          <w:color w:val="auto"/>
        </w:rPr>
      </w:pPr>
      <w:r>
        <w:rPr>
          <w:rFonts w:ascii="Arial" w:cs="Arial" w:eastAsia="Arial" w:hAnsi="Arial"/>
          <w:sz w:val="22"/>
          <w:szCs w:val="22"/>
          <w:color w:val="auto"/>
        </w:rPr>
        <w:t>any bonus or other incentive-based or equity-based compensation received from the Company during the 12-month period following the first public issuance or filing with the Securities and Exchange Commission (whichever first occurs) of such financial document; and</w:t>
      </w:r>
    </w:p>
    <w:p>
      <w:pPr>
        <w:spacing w:after="0" w:line="15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1"/>
        </w:numPr>
        <w:rPr>
          <w:rFonts w:ascii="Times New Roman" w:cs="Times New Roman" w:eastAsia="Times New Roman" w:hAnsi="Times New Roman"/>
          <w:sz w:val="22"/>
          <w:szCs w:val="22"/>
          <w:color w:val="auto"/>
        </w:rPr>
      </w:pPr>
      <w:r>
        <w:rPr>
          <w:rFonts w:ascii="Arial" w:cs="Arial" w:eastAsia="Arial" w:hAnsi="Arial"/>
          <w:sz w:val="22"/>
          <w:szCs w:val="22"/>
          <w:color w:val="auto"/>
        </w:rPr>
        <w:t>any profits realized from the sale of securities of the Company during that 12-month period.</w:t>
      </w:r>
    </w:p>
    <w:p>
      <w:pPr>
        <w:spacing w:after="0" w:line="17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F.</w:t>
      </w:r>
      <w:r>
        <w:rPr>
          <w:rFonts w:ascii="Arial" w:cs="Arial" w:eastAsia="Arial" w:hAnsi="Arial"/>
          <w:sz w:val="21"/>
          <w:szCs w:val="21"/>
          <w:b w:val="1"/>
          <w:bCs w:val="1"/>
          <w:color w:val="auto"/>
        </w:rPr>
        <w:t>Crediting of Recovery Amounts</w:t>
      </w:r>
    </w:p>
    <w:p>
      <w:pPr>
        <w:spacing w:after="0" w:line="181" w:lineRule="exact"/>
        <w:rPr>
          <w:sz w:val="20"/>
          <w:szCs w:val="20"/>
          <w:color w:val="auto"/>
        </w:rPr>
      </w:pPr>
    </w:p>
    <w:p>
      <w:pPr>
        <w:ind w:firstLine="1296"/>
        <w:spacing w:after="0" w:line="211" w:lineRule="auto"/>
        <w:rPr>
          <w:sz w:val="20"/>
          <w:szCs w:val="20"/>
          <w:color w:val="auto"/>
        </w:rPr>
      </w:pPr>
      <w:r>
        <w:rPr>
          <w:rFonts w:ascii="Arial" w:cs="Arial" w:eastAsia="Arial" w:hAnsi="Arial"/>
          <w:sz w:val="22"/>
          <w:szCs w:val="22"/>
          <w:color w:val="auto"/>
        </w:rPr>
        <w:t>To the extent the clawback requirements in subsections A, B, C and D of this Section 1 (the “Rule 10D-1 Clawback Requirements”) would provide for recovery of Incentive-Based Compensation recoverable by the Company pursuant to Section 304 of the Sarbanes-Oxley Act, in accordance with subsection E of this Section 1 (the “Sarbanes-Oxley Clawback Requirements”), and/or any other recovery obligations (including pursuant to employment agreements or plan awards), the amount such Executive Officer has already reimbursed the Company shall be credited to the required recovery under the Rule 10D-1 Clawback Requirements. Recovery pursuant to the Rule 10D-1 Clawback Requirements does not preclude recovery pursuant to the Sarbanes-Oxley Clawback Requirements, to the extent any applicable amounts have not been reimbursed to the Company. Recovery pursuant to the Rule 10D-1 Clawback Requirements and the Sarbanes-Oxley Clawback Requirements does not preclude recovery under Section II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Section II - Discretionary Clawback Recovery</w:t>
      </w:r>
    </w:p>
    <w:p>
      <w:pPr>
        <w:spacing w:after="0" w:line="208" w:lineRule="exact"/>
        <w:rPr>
          <w:sz w:val="20"/>
          <w:szCs w:val="20"/>
          <w:color w:val="auto"/>
        </w:rPr>
      </w:pPr>
    </w:p>
    <w:p>
      <w:pPr>
        <w:ind w:firstLine="1296"/>
        <w:spacing w:after="0" w:line="212" w:lineRule="auto"/>
        <w:rPr>
          <w:sz w:val="20"/>
          <w:szCs w:val="20"/>
          <w:color w:val="auto"/>
        </w:rPr>
      </w:pPr>
      <w:r>
        <w:rPr>
          <w:rFonts w:ascii="Arial" w:cs="Arial" w:eastAsia="Arial" w:hAnsi="Arial"/>
          <w:sz w:val="22"/>
          <w:szCs w:val="22"/>
          <w:color w:val="auto"/>
        </w:rPr>
        <w:t>If the Board (or, for employees who are not Executive Officers, the Company’s Chief People Officer, General Counsel, or Chief Compliance Officer, each a Board “delegate”) determines that an employee (A) has engaged in conduct or (B) oversees employees who engage in conduct and knew of or was willfully blind to conduct that (1) constitutes a breach of an agreement with the Company or any of its subsidiaries, (2) would give rise to a termination for Cause (even if the Company does not actually terminate the employee), or (3) is otherwise detrimental to the Company, in each case, the Board (or its delegate) may in its sole discretion take a range of actions to remedy the conduct, prevent its recurrence, and impose such discipline as would be appropriate. Discipline will vary depending on the facts and circumstances, and may include, without limitation:</w:t>
      </w:r>
    </w:p>
    <w:p>
      <w:pPr>
        <w:spacing w:after="0" w:line="156" w:lineRule="exact"/>
        <w:rPr>
          <w:sz w:val="20"/>
          <w:szCs w:val="20"/>
          <w:color w:val="auto"/>
        </w:rPr>
      </w:pPr>
    </w:p>
    <w:p>
      <w:pPr>
        <w:ind w:left="1620" w:hanging="316"/>
        <w:spacing w:after="0"/>
        <w:tabs>
          <w:tab w:leader="none" w:pos="16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termination of employment;</w:t>
      </w:r>
    </w:p>
    <w:p>
      <w:pPr>
        <w:spacing w:after="0" w:line="179" w:lineRule="exact"/>
        <w:rPr>
          <w:rFonts w:ascii="Arial" w:cs="Arial" w:eastAsia="Arial" w:hAnsi="Arial"/>
          <w:sz w:val="22"/>
          <w:szCs w:val="22"/>
          <w:color w:val="auto"/>
        </w:rPr>
      </w:pPr>
    </w:p>
    <w:p>
      <w:pPr>
        <w:ind w:left="1620" w:hanging="316"/>
        <w:spacing w:after="0"/>
        <w:tabs>
          <w:tab w:leader="none" w:pos="16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initiating an action for breach of fiduciary duty; and</w:t>
      </w:r>
    </w:p>
    <w:p>
      <w:pPr>
        <w:spacing w:after="0" w:line="179" w:lineRule="exact"/>
        <w:rPr>
          <w:rFonts w:ascii="Arial" w:cs="Arial" w:eastAsia="Arial" w:hAnsi="Arial"/>
          <w:sz w:val="22"/>
          <w:szCs w:val="22"/>
          <w:color w:val="auto"/>
        </w:rPr>
      </w:pPr>
    </w:p>
    <w:p>
      <w:pPr>
        <w:ind w:left="1560" w:right="620" w:hanging="256"/>
        <w:spacing w:after="0" w:line="236" w:lineRule="auto"/>
        <w:tabs>
          <w:tab w:leader="none" w:pos="1625" w:val="left"/>
        </w:tabs>
        <w:numPr>
          <w:ilvl w:val="0"/>
          <w:numId w:val="72"/>
        </w:numPr>
        <w:rPr>
          <w:rFonts w:ascii="Arial" w:cs="Arial" w:eastAsia="Arial" w:hAnsi="Arial"/>
          <w:sz w:val="22"/>
          <w:szCs w:val="22"/>
          <w:color w:val="auto"/>
        </w:rPr>
      </w:pPr>
      <w:r>
        <w:rPr>
          <w:rFonts w:ascii="Arial" w:cs="Arial" w:eastAsia="Arial" w:hAnsi="Arial"/>
          <w:sz w:val="22"/>
          <w:szCs w:val="22"/>
          <w:color w:val="auto"/>
        </w:rPr>
        <w:t>seeking reimbursement of Incentive-Based Compensation and Variable Compensation paid or awarded to the employee.</w:t>
      </w:r>
    </w:p>
    <w:p>
      <w:pPr>
        <w:spacing w:after="0" w:line="151" w:lineRule="exact"/>
        <w:rPr>
          <w:sz w:val="20"/>
          <w:szCs w:val="20"/>
          <w:color w:val="auto"/>
        </w:rPr>
      </w:pPr>
    </w:p>
    <w:p>
      <w:pPr>
        <w:ind w:right="440" w:firstLine="1296"/>
        <w:spacing w:after="0" w:line="236" w:lineRule="auto"/>
        <w:rPr>
          <w:sz w:val="20"/>
          <w:szCs w:val="20"/>
          <w:color w:val="auto"/>
        </w:rPr>
      </w:pPr>
      <w:r>
        <w:rPr>
          <w:rFonts w:ascii="Arial" w:cs="Arial" w:eastAsia="Arial" w:hAnsi="Arial"/>
          <w:sz w:val="22"/>
          <w:szCs w:val="22"/>
          <w:color w:val="auto"/>
        </w:rPr>
        <w:t>These remedies would be in addition to, and not in lieu of, any actions imposed by law enforcement agencies, regulators, or other authorities or other Company disciplinary action.</w:t>
      </w:r>
    </w:p>
    <w:p>
      <w:pPr>
        <w:spacing w:after="0" w:line="149" w:lineRule="exact"/>
        <w:rPr>
          <w:sz w:val="20"/>
          <w:szCs w:val="20"/>
          <w:color w:val="auto"/>
        </w:rPr>
      </w:pPr>
    </w:p>
    <w:p>
      <w:pPr>
        <w:jc w:val="center"/>
        <w:ind w:right="7640"/>
        <w:spacing w:after="0"/>
        <w:rPr>
          <w:sz w:val="20"/>
          <w:szCs w:val="20"/>
          <w:color w:val="auto"/>
        </w:rPr>
      </w:pPr>
      <w:r>
        <w:rPr>
          <w:rFonts w:ascii="Arial" w:cs="Arial" w:eastAsia="Arial" w:hAnsi="Arial"/>
          <w:sz w:val="21"/>
          <w:szCs w:val="21"/>
          <w:b w:val="1"/>
          <w:bCs w:val="1"/>
          <w:color w:val="auto"/>
        </w:rPr>
        <w:t>Section III — Policy Administration</w:t>
      </w:r>
    </w:p>
    <w:p>
      <w:pPr>
        <w:spacing w:after="0" w:line="203" w:lineRule="exact"/>
        <w:rPr>
          <w:sz w:val="20"/>
          <w:szCs w:val="20"/>
          <w:color w:val="auto"/>
        </w:rPr>
      </w:pPr>
    </w:p>
    <w:p>
      <w:pPr>
        <w:jc w:val="center"/>
        <w:ind w:right="7680"/>
        <w:spacing w:after="0"/>
        <w:rPr>
          <w:sz w:val="20"/>
          <w:szCs w:val="20"/>
          <w:color w:val="auto"/>
        </w:rPr>
      </w:pPr>
      <w:r>
        <w:rPr>
          <w:rFonts w:ascii="Arial" w:cs="Arial" w:eastAsia="Arial" w:hAnsi="Arial"/>
          <w:sz w:val="22"/>
          <w:szCs w:val="22"/>
          <w:b w:val="1"/>
          <w:bCs w:val="1"/>
          <w:color w:val="auto"/>
        </w:rPr>
        <w:t>A. General Provisions</w:t>
      </w:r>
    </w:p>
    <w:p>
      <w:pPr>
        <w:ind w:right="1280" w:firstLine="1296"/>
        <w:spacing w:after="0" w:line="227" w:lineRule="auto"/>
        <w:rPr>
          <w:sz w:val="20"/>
          <w:szCs w:val="20"/>
          <w:color w:val="auto"/>
        </w:rPr>
      </w:pPr>
      <w:r>
        <w:rPr>
          <w:rFonts w:ascii="Arial" w:cs="Arial" w:eastAsia="Arial" w:hAnsi="Arial"/>
          <w:sz w:val="22"/>
          <w:szCs w:val="22"/>
          <w:color w:val="auto"/>
        </w:rPr>
        <w:t>This Policy may be amended by the Board from time to time. Changes to this Policy will be communicated to all persons to whom this Policy applies.</w:t>
      </w:r>
    </w:p>
    <w:p>
      <w:pPr>
        <w:spacing w:after="0" w:line="149" w:lineRule="exact"/>
        <w:rPr>
          <w:sz w:val="20"/>
          <w:szCs w:val="20"/>
          <w:color w:val="auto"/>
        </w:rPr>
      </w:pPr>
    </w:p>
    <w:p>
      <w:pPr>
        <w:ind w:right="60" w:firstLine="1296"/>
        <w:spacing w:after="0" w:line="226" w:lineRule="auto"/>
        <w:rPr>
          <w:sz w:val="20"/>
          <w:szCs w:val="20"/>
          <w:color w:val="auto"/>
        </w:rPr>
      </w:pPr>
      <w:r>
        <w:rPr>
          <w:rFonts w:ascii="Arial" w:cs="Arial" w:eastAsia="Arial" w:hAnsi="Arial"/>
          <w:sz w:val="22"/>
          <w:szCs w:val="22"/>
          <w:color w:val="auto"/>
        </w:rPr>
        <w:t>The Company will not indemnify or provide insurance to cover (1) any repayment of Incentive-Based Compensation or Variable Compensation in accordance with this Policy, or (2) any claims relating to the enforcement of the Company’s rights under this Policy.</w:t>
      </w:r>
    </w:p>
    <w:p>
      <w:pPr>
        <w:spacing w:after="0" w:line="149" w:lineRule="exact"/>
        <w:rPr>
          <w:sz w:val="20"/>
          <w:szCs w:val="20"/>
          <w:color w:val="auto"/>
        </w:rPr>
      </w:pPr>
    </w:p>
    <w:p>
      <w:pPr>
        <w:ind w:right="100" w:firstLine="1296"/>
        <w:spacing w:after="0" w:line="220" w:lineRule="auto"/>
        <w:rPr>
          <w:sz w:val="20"/>
          <w:szCs w:val="20"/>
          <w:color w:val="auto"/>
        </w:rPr>
      </w:pPr>
      <w:r>
        <w:rPr>
          <w:rFonts w:ascii="Arial" w:cs="Arial" w:eastAsia="Arial" w:hAnsi="Arial"/>
          <w:sz w:val="22"/>
          <w:szCs w:val="22"/>
          <w:color w:val="auto"/>
        </w:rPr>
        <w:t>The provisions of this Policy apply to the fullest extent of the law; provided however, to the extent that any provisions of this Policy are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52" w:lineRule="exact"/>
        <w:rPr>
          <w:sz w:val="20"/>
          <w:szCs w:val="20"/>
          <w:color w:val="auto"/>
        </w:rPr>
      </w:pPr>
    </w:p>
    <w:p>
      <w:pPr>
        <w:ind w:right="20" w:firstLine="1296"/>
        <w:spacing w:after="0" w:line="228" w:lineRule="auto"/>
        <w:rPr>
          <w:sz w:val="20"/>
          <w:szCs w:val="20"/>
          <w:color w:val="auto"/>
        </w:rPr>
      </w:pPr>
      <w:r>
        <w:rPr>
          <w:rFonts w:ascii="Arial" w:cs="Arial" w:eastAsia="Arial" w:hAnsi="Arial"/>
          <w:sz w:val="21"/>
          <w:szCs w:val="21"/>
          <w:color w:val="auto"/>
        </w:rPr>
        <w:t>This Policy is in addition to (and not in lieu of) any right of repayment, forfeiture, or right of offset against any Executive Officer or other employee that is required pursuant to any other statutory or Company repayment requirement (regardless of whether implemented at any time prior to or following the adoption of this Policy). Nothing in this Policy in any way detracts from or limits any obligation that those subject to it have in law or pursuant to a management, employment, consulting, or other agreement with the Company or any of its subsidiaries.</w:t>
      </w:r>
    </w:p>
    <w:p>
      <w:pPr>
        <w:spacing w:after="0" w:line="149" w:lineRule="exact"/>
        <w:rPr>
          <w:sz w:val="20"/>
          <w:szCs w:val="20"/>
          <w:color w:val="auto"/>
        </w:rPr>
      </w:pPr>
    </w:p>
    <w:p>
      <w:pPr>
        <w:ind w:right="60" w:firstLine="1296"/>
        <w:spacing w:after="0" w:line="236" w:lineRule="auto"/>
        <w:rPr>
          <w:sz w:val="20"/>
          <w:szCs w:val="20"/>
          <w:color w:val="auto"/>
        </w:rPr>
      </w:pPr>
      <w:r>
        <w:rPr>
          <w:rFonts w:ascii="Arial" w:cs="Arial" w:eastAsia="Arial" w:hAnsi="Arial"/>
          <w:sz w:val="22"/>
          <w:szCs w:val="22"/>
          <w:color w:val="auto"/>
        </w:rPr>
        <w:t>All determinations and decisions made by the Board (or any committee thereof or delegate) pursuant to the provisions of this Policy shall be final,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393" w:right="359" w:bottom="1440" w:gutter="0" w:footer="0" w:header="0"/>
        </w:sectPr>
      </w:pPr>
    </w:p>
    <w:bookmarkStart w:id="134" w:name="page135"/>
    <w:bookmarkEnd w:id="134"/>
    <w:p>
      <w:pPr>
        <w:ind w:right="80"/>
        <w:spacing w:after="0" w:line="212" w:lineRule="auto"/>
        <w:rPr>
          <w:sz w:val="20"/>
          <w:szCs w:val="20"/>
          <w:color w:val="auto"/>
        </w:rPr>
      </w:pPr>
      <w:r>
        <w:rPr>
          <w:rFonts w:ascii="Arial" w:cs="Arial" w:eastAsia="Arial" w:hAnsi="Arial"/>
          <w:sz w:val="22"/>
          <w:szCs w:val="22"/>
          <w:color w:val="auto"/>
        </w:rPr>
        <w:t>and binding on the Company, its subsidiaries and the persons to whom this Policy applies. The Policy is binding and enforceable against all Executive Officers and employees and their beneficiaries, heirs, executors, administrators, or other legal representatives. Any questions about the interpretation of this Policy may be addressed to the Company’s General Counsel. Any employees of the Company and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rights to indemnification of the members of the Board or officers of the Company under applicable law or other Company policy.</w:t>
      </w:r>
    </w:p>
    <w:p>
      <w:pPr>
        <w:spacing w:after="0" w:line="149" w:lineRule="exact"/>
        <w:rPr>
          <w:sz w:val="20"/>
          <w:szCs w:val="20"/>
          <w:color w:val="auto"/>
        </w:rPr>
      </w:pPr>
    </w:p>
    <w:p>
      <w:pPr>
        <w:ind w:right="120" w:firstLine="1296"/>
        <w:spacing w:after="0" w:line="231" w:lineRule="auto"/>
        <w:rPr>
          <w:sz w:val="20"/>
          <w:szCs w:val="20"/>
          <w:color w:val="auto"/>
        </w:rPr>
      </w:pPr>
      <w:r>
        <w:rPr>
          <w:rFonts w:ascii="Arial" w:cs="Arial" w:eastAsia="Arial" w:hAnsi="Arial"/>
          <w:sz w:val="21"/>
          <w:szCs w:val="21"/>
          <w:color w:val="auto"/>
        </w:rPr>
        <w:t>Any action by the Company to recover amounts under this Policy from any individual shall not, whether alone or in combination with any other action, event or condition, be deemed (1) “good reason” for resignation or to serve as a basis for a claim of constructive termination under any benefits or compensation arrangement applicable to such individual, or (2) to constitute a breach of a contract or other arrangement to which such individual is party.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Definitions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as determined in the sole discretion of the Board or its delegate, as applicable, an</w:t>
      </w:r>
    </w:p>
    <w:p>
      <w:pPr>
        <w:spacing w:after="0"/>
        <w:rPr>
          <w:sz w:val="20"/>
          <w:szCs w:val="20"/>
          <w:color w:val="auto"/>
        </w:rPr>
      </w:pPr>
      <w:r>
        <w:rPr>
          <w:rFonts w:ascii="Arial" w:cs="Arial" w:eastAsia="Arial" w:hAnsi="Arial"/>
          <w:sz w:val="22"/>
          <w:szCs w:val="22"/>
          <w:color w:val="auto"/>
        </w:rPr>
        <w:t>employee’s:</w:t>
      </w:r>
    </w:p>
    <w:p>
      <w:pPr>
        <w:spacing w:after="0" w:line="159" w:lineRule="exact"/>
        <w:rPr>
          <w:sz w:val="20"/>
          <w:szCs w:val="20"/>
          <w:color w:val="auto"/>
        </w:rPr>
      </w:pPr>
    </w:p>
    <w:p>
      <w:pPr>
        <w:ind w:left="1960" w:right="260" w:hanging="656"/>
        <w:spacing w:after="0" w:line="226" w:lineRule="auto"/>
        <w:tabs>
          <w:tab w:leader="none" w:pos="19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breach of the Employee Innovation and Proprietary Information Agreement or any other confidentiality, non-solicitation, or non-competition agreement with the Company or breach of a material term of any other agreement between the employee and the Company;</w:t>
      </w:r>
    </w:p>
    <w:p>
      <w:pPr>
        <w:spacing w:after="0" w:line="149" w:lineRule="exact"/>
        <w:rPr>
          <w:rFonts w:ascii="Arial" w:cs="Arial" w:eastAsia="Arial" w:hAnsi="Arial"/>
          <w:sz w:val="22"/>
          <w:szCs w:val="22"/>
          <w:color w:val="auto"/>
        </w:rPr>
      </w:pPr>
    </w:p>
    <w:p>
      <w:pPr>
        <w:ind w:left="1960" w:right="360" w:hanging="656"/>
        <w:spacing w:after="0" w:line="236" w:lineRule="auto"/>
        <w:tabs>
          <w:tab w:leader="none" w:pos="19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engagement in conduct that results in, or has the potential to cause, material harm financially, reputationally, or otherwise to the Company;</w:t>
      </w:r>
    </w:p>
    <w:p>
      <w:pPr>
        <w:spacing w:after="0" w:line="150" w:lineRule="exact"/>
        <w:rPr>
          <w:rFonts w:ascii="Arial" w:cs="Arial" w:eastAsia="Arial" w:hAnsi="Arial"/>
          <w:sz w:val="22"/>
          <w:szCs w:val="22"/>
          <w:color w:val="auto"/>
        </w:rPr>
      </w:pPr>
    </w:p>
    <w:p>
      <w:pPr>
        <w:ind w:left="1980" w:hanging="676"/>
        <w:spacing w:after="0"/>
        <w:tabs>
          <w:tab w:leader="none" w:pos="19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commission of an act of dishonesty, fraud, embezzlement or theft;</w:t>
      </w:r>
    </w:p>
    <w:p>
      <w:pPr>
        <w:spacing w:after="0" w:line="179" w:lineRule="exact"/>
        <w:rPr>
          <w:rFonts w:ascii="Arial" w:cs="Arial" w:eastAsia="Arial" w:hAnsi="Arial"/>
          <w:sz w:val="22"/>
          <w:szCs w:val="22"/>
          <w:color w:val="auto"/>
        </w:rPr>
      </w:pPr>
    </w:p>
    <w:p>
      <w:pPr>
        <w:ind w:left="1980" w:hanging="676"/>
        <w:spacing w:after="0"/>
        <w:tabs>
          <w:tab w:leader="none" w:pos="19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conviction of, or plea of guilty or no contest to, a felony or crime involving moral turpitude; or</w:t>
      </w:r>
    </w:p>
    <w:p>
      <w:pPr>
        <w:spacing w:after="0" w:line="179" w:lineRule="exact"/>
        <w:rPr>
          <w:rFonts w:ascii="Arial" w:cs="Arial" w:eastAsia="Arial" w:hAnsi="Arial"/>
          <w:sz w:val="22"/>
          <w:szCs w:val="22"/>
          <w:color w:val="auto"/>
        </w:rPr>
      </w:pPr>
    </w:p>
    <w:p>
      <w:pPr>
        <w:ind w:left="1960" w:right="360" w:hanging="656"/>
        <w:spacing w:after="0" w:line="236" w:lineRule="auto"/>
        <w:tabs>
          <w:tab w:leader="none" w:pos="19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failure to comply with the Company’s policies and procedures, including but not limited to The Spirit &amp; the Letter.</w:t>
      </w:r>
    </w:p>
    <w:p>
      <w:pPr>
        <w:spacing w:after="0" w:line="149" w:lineRule="exact"/>
        <w:rPr>
          <w:sz w:val="20"/>
          <w:szCs w:val="20"/>
          <w:color w:val="auto"/>
        </w:rPr>
      </w:pPr>
    </w:p>
    <w:p>
      <w:pPr>
        <w:ind w:firstLine="1296"/>
        <w:spacing w:after="0" w:line="214" w:lineRule="auto"/>
        <w:rPr>
          <w:sz w:val="20"/>
          <w:szCs w:val="20"/>
          <w:color w:val="auto"/>
        </w:rPr>
      </w:pPr>
      <w:r>
        <w:rPr>
          <w:rFonts w:ascii="Arial" w:cs="Arial" w:eastAsia="Arial" w:hAnsi="Arial"/>
          <w:sz w:val="22"/>
          <w:szCs w:val="22"/>
          <w:b w:val="1"/>
          <w:bCs w:val="1"/>
          <w:color w:val="auto"/>
        </w:rPr>
        <w:t xml:space="preserve">Clawback Period </w:t>
      </w:r>
      <w:r>
        <w:rPr>
          <w:rFonts w:ascii="Arial" w:cs="Arial" w:eastAsia="Arial" w:hAnsi="Arial"/>
          <w:sz w:val="22"/>
          <w:szCs w:val="22"/>
          <w:color w:val="auto"/>
        </w:rPr>
        <w:t>means any of the three completed fiscal years immediately preceding (i) the date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(or Audit Committee) concludes, or the Board (or Audit Committee) reasonably should have concluded, that the Company is required to prepare a Restatement, or (ii) the date that a court, regulator, or other legally authorized body directs the Company to prepare a Restatement as well as any transition period of less than nine months that is within or immediately following such three fiscal years. For the avoidance of doubt, the Clawback Period with respect to an Executive Officer only applies to Incentive-Based Compensation received by the Executive Officer (a) on or after October 2, 2023, (b) after beginning services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35" w:name="page136"/>
    <w:bookmarkEnd w:id="135"/>
    <w:p>
      <w:pPr>
        <w:ind w:right="80"/>
        <w:spacing w:after="0" w:line="236" w:lineRule="auto"/>
        <w:rPr>
          <w:sz w:val="20"/>
          <w:szCs w:val="20"/>
          <w:color w:val="auto"/>
        </w:rPr>
      </w:pPr>
      <w:r>
        <w:rPr>
          <w:rFonts w:ascii="Arial" w:cs="Arial" w:eastAsia="Arial" w:hAnsi="Arial"/>
          <w:sz w:val="22"/>
          <w:szCs w:val="22"/>
          <w:color w:val="auto"/>
        </w:rPr>
        <w:t>Executive Officer and (c) if that person served as an Executive Officer at any time during the performance period for such Incentive-Based Compensation.</w:t>
      </w:r>
    </w:p>
    <w:p>
      <w:pPr>
        <w:spacing w:after="0" w:line="149" w:lineRule="exact"/>
        <w:rPr>
          <w:sz w:val="20"/>
          <w:szCs w:val="20"/>
          <w:color w:val="auto"/>
        </w:rPr>
      </w:pPr>
    </w:p>
    <w:p>
      <w:pPr>
        <w:ind w:firstLine="1296"/>
        <w:spacing w:after="0" w:line="211" w:lineRule="auto"/>
        <w:rPr>
          <w:sz w:val="20"/>
          <w:szCs w:val="20"/>
          <w:color w:val="auto"/>
        </w:rPr>
      </w:pPr>
      <w:r>
        <w:rPr>
          <w:rFonts w:ascii="Arial" w:cs="Arial" w:eastAsia="Arial" w:hAnsi="Arial"/>
          <w:sz w:val="22"/>
          <w:szCs w:val="22"/>
          <w:b w:val="1"/>
          <w:bCs w:val="1"/>
          <w:color w:val="auto"/>
        </w:rPr>
        <w:t xml:space="preserve">Incentive-Based Compensation </w:t>
      </w:r>
      <w:r>
        <w:rPr>
          <w:rFonts w:ascii="Arial" w:cs="Arial" w:eastAsia="Arial" w:hAnsi="Arial"/>
          <w:sz w:val="22"/>
          <w:szCs w:val="22"/>
          <w:color w:val="auto"/>
        </w:rPr>
        <w:t>means all incentive-based compensation including cash and equity</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granted, earned, or vested based wholly or in part upon the attainment of any “financial reporting measure.” Financial reporting measures are those that are (1) determined and presented in accordance with the accounting principles used in preparing the Company’s financial statements; (2) derived wholly or in part from financial information used in preparing the Company’s financial statements (including non-GAAP measures); and (3) based in whole or in part on the Company’s stock price or total shareholder return. Incentive-Based Compensation does not include annual base salary, compensation that is awarded solely based on service to the Company (e.g., a time-vested award, including time-vesting stock options or RSUs), or compensation that is awarded solely based on subjective standards, strategic measures (e.g., completion of a merger), or operational measures (e.g., attainment of a certain market share) that are not financial reporting measures.</w:t>
      </w:r>
    </w:p>
    <w:p>
      <w:pPr>
        <w:spacing w:after="0" w:line="152"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21"/>
          <w:szCs w:val="21"/>
          <w:b w:val="1"/>
          <w:bCs w:val="1"/>
          <w:color w:val="auto"/>
        </w:rPr>
        <w:t xml:space="preserve">Variable Compensation </w:t>
      </w:r>
      <w:r>
        <w:rPr>
          <w:rFonts w:ascii="Arial" w:cs="Arial" w:eastAsia="Arial" w:hAnsi="Arial"/>
          <w:sz w:val="21"/>
          <w:szCs w:val="21"/>
          <w:color w:val="auto"/>
        </w:rPr>
        <w:t>means performance-based compensation that does not otherwise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Incentive-Based Compensation, including compensation (1) awarded solely based on subjective standards, strategic measures (e.g., completion of a merger), operational measures (e.g., attainment of a certain market share), or other discretionary performance; (2) based on orders or sales attainment (i.e., sales incentive compensation); or (3) based on service to the Company (e.g., a time-vested award, including time-vesting stock options or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120"/>
      </w:cols>
      <w:pgMar w:left="320" w:top="139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lvl w:ilvl="1">
      <w:lvlJc w:val="left"/>
      <w:lvlText w:val="•"/>
      <w:numFmt w:val="bullet"/>
      <w:start w:val="1"/>
    </w:lvl>
  </w:abstractNum>
  <w:abstractNum w:abstractNumId="8">
    <w:nsid w:val="153EA438"/>
    <w:multiLevelType w:val="hybridMultilevel"/>
    <w:lvl w:ilvl="0">
      <w:lvlJc w:val="left"/>
      <w:lvlText w:val="•"/>
      <w:numFmt w:val="bullet"/>
      <w:start w:val="1"/>
    </w:lvl>
    <w:lvl w:ilvl="1">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0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1"/>
    </w:lvl>
    <w:lvl w:ilvl="1">
      <w:lvlJc w:val="left"/>
      <w:lvlText w:val="%2)"/>
      <w:numFmt w:val="lowerLetter"/>
      <w:start w:val="1"/>
    </w:lvl>
  </w:abstractNum>
  <w:abstractNum w:abstractNumId="62">
    <w:nsid w:val="5DB70AE5"/>
    <w:multiLevelType w:val="hybridMultilevel"/>
    <w:lvl w:ilvl="0">
      <w:lvlJc w:val="left"/>
      <w:lvlText w:val="%1."/>
      <w:numFmt w:val="decimal"/>
      <w:start w:val="1"/>
    </w:lvl>
    <w:lvl w:ilvl="1">
      <w:lvlJc w:val="left"/>
      <w:lvlText w:val="%2)"/>
      <w:numFmt w:val="lowerLetter"/>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upperLetter"/>
      <w:start w:val="1"/>
    </w:lvl>
  </w:abstractNum>
  <w:abstractNum w:abstractNumId="65">
    <w:nsid w:val="15014ACB"/>
    <w:multiLevelType w:val="hybridMultilevel"/>
    <w:lvl w:ilvl="0">
      <w:lvlJc w:val="left"/>
      <w:lvlText w:val="%1."/>
      <w:numFmt w:val="upperLetter"/>
      <w:start w:val="2"/>
    </w:lvl>
  </w:abstractNum>
  <w:abstractNum w:abstractNumId="66">
    <w:nsid w:val="5F5E7FD0"/>
    <w:multiLevelType w:val="hybridMultilevel"/>
    <w:lvl w:ilvl="0">
      <w:lvlJc w:val="left"/>
      <w:lvlText w:val="%1."/>
      <w:numFmt w:val="upperLetter"/>
      <w:start w:val="3"/>
    </w:lvl>
  </w:abstractNum>
  <w:abstractNum w:abstractNumId="67">
    <w:nsid w:val="98A3148"/>
    <w:multiLevelType w:val="hybridMultilevel"/>
    <w:lvl w:ilvl="0">
      <w:lvlJc w:val="left"/>
      <w:lvlText w:val="%1."/>
      <w:numFmt w:val="upperLetter"/>
      <w:start w:val="4"/>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upperLetter"/>
      <w:start w:val="5"/>
    </w:lvl>
  </w:abstractNum>
  <w:abstractNum w:abstractNumId="70">
    <w:nsid w:val="42C296BD"/>
    <w:multiLevelType w:val="hybridMultilevel"/>
    <w:lvl w:ilvl="0">
      <w:lvlJc w:val="left"/>
      <w:lvlText w:val="%1"/>
      <w:numFmt w:val="upperLetter"/>
      <w:start w:val="1"/>
    </w:lvl>
    <w:lvl w:ilvl="1">
      <w:lvlJc w:val="left"/>
      <w:lvlText w:val="•"/>
      <w:numFmt w:val="bullet"/>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9" Type="http://schemas.openxmlformats.org/officeDocument/2006/relationships/image" Target="media/image134.png"/><Relationship Id="rId162" Type="http://schemas.openxmlformats.org/officeDocument/2006/relationships/image" Target="media/image135.png"/><Relationship Id="rId164" Type="http://schemas.openxmlformats.org/officeDocument/2006/relationships/image" Target="media/image136.png"/><Relationship Id="rId166" Type="http://schemas.openxmlformats.org/officeDocument/2006/relationships/image" Target="media/image137.png"/><Relationship Id="rId169" Type="http://schemas.openxmlformats.org/officeDocument/2006/relationships/image" Target="media/image138.png"/><Relationship Id="rId172" Type="http://schemas.openxmlformats.org/officeDocument/2006/relationships/image" Target="media/image139.png"/><Relationship Id="rId175" Type="http://schemas.openxmlformats.org/officeDocument/2006/relationships/image" Target="media/image140.png"/><Relationship Id="rId178" Type="http://schemas.openxmlformats.org/officeDocument/2006/relationships/image" Target="media/image141.png"/><Relationship Id="rId181" Type="http://schemas.openxmlformats.org/officeDocument/2006/relationships/image" Target="media/image142.png"/><Relationship Id="rId184"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91" Type="http://schemas.openxmlformats.org/officeDocument/2006/relationships/image" Target="media/image146.png"/><Relationship Id="rId194" Type="http://schemas.openxmlformats.org/officeDocument/2006/relationships/image" Target="media/image147.png"/><Relationship Id="rId197" Type="http://schemas.openxmlformats.org/officeDocument/2006/relationships/image" Target="media/image148.png"/><Relationship Id="rId200"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141" Type="http://schemas.openxmlformats.org/officeDocument/2006/relationships/hyperlink" Target="https://www.sec.gov/Archives/edgar/data/1932393/000119312523001161/d386556dex21.htm" TargetMode="External"/><Relationship Id="rId142" Type="http://schemas.openxmlformats.org/officeDocument/2006/relationships/hyperlink" Target="https://www.sec.gov/Archives/edgar/data/1932393/000119312522314166/d439598dex31.htm" TargetMode="External"/><Relationship Id="rId143" Type="http://schemas.openxmlformats.org/officeDocument/2006/relationships/hyperlink" Target="https://www.sec.gov/Archives/edgar/data/1932393/000119312522314166/d439598dex32.htm" TargetMode="External"/><Relationship Id="rId144" Type="http://schemas.openxmlformats.org/officeDocument/2006/relationships/hyperlink" Target="https://www.sec.gov/Archives/edgar/data/40545/000119312522292079/d425000dex41.htm" TargetMode="External"/><Relationship Id="rId145" Type="http://schemas.openxmlformats.org/officeDocument/2006/relationships/hyperlink" Target="https://www.sec.gov/Archives/edgar/data/40545/000119312522292079/d425000dex42.htm" TargetMode="External"/><Relationship Id="rId146" Type="http://schemas.openxmlformats.org/officeDocument/2006/relationships/hyperlink" Target="https://www.sec.gov/Archives/edgar/data/40545/000119312522292079/d425000dex43.htm" TargetMode="External"/><Relationship Id="rId147" Type="http://schemas.openxmlformats.org/officeDocument/2006/relationships/hyperlink" Target="https://www.sec.gov/Archives/edgar/data/1932393/000193239323000025/ge4q202210kexhibit44.htm" TargetMode="External"/><Relationship Id="rId148" Type="http://schemas.openxmlformats.org/officeDocument/2006/relationships/hyperlink" Target="https://www.sec.gov/Archives/edgar/data/1932393/000119312523001161/d386556dex101.htm" TargetMode="External"/><Relationship Id="rId149" Type="http://schemas.openxmlformats.org/officeDocument/2006/relationships/hyperlink" Target="https://www.sec.gov/Archives/edgar/data/1932393/000119312523001161/d386556dex102.htm" TargetMode="External"/><Relationship Id="rId150" Type="http://schemas.openxmlformats.org/officeDocument/2006/relationships/hyperlink" Target="https://www.sec.gov/Archives/edgar/data/1932393/000119312523001161/d386556dex103.htm" TargetMode="External"/><Relationship Id="rId151" Type="http://schemas.openxmlformats.org/officeDocument/2006/relationships/hyperlink" Target="https://www.sec.gov/Archives/edgar/data/1932393/000119312523001161/d386556dex104.htm" TargetMode="External"/><Relationship Id="rId152" Type="http://schemas.openxmlformats.org/officeDocument/2006/relationships/hyperlink" Target="https://www.sec.gov/Archives/edgar/data/1932393/000119312523001161/d386556dex105.htm" TargetMode="External"/><Relationship Id="rId153" Type="http://schemas.openxmlformats.org/officeDocument/2006/relationships/hyperlink" Target="https://www.sec.gov/Archives/edgar/data/1932393/000119312523001161/d386556dex106.htm" TargetMode="External"/><Relationship Id="rId154" Type="http://schemas.openxmlformats.org/officeDocument/2006/relationships/hyperlink" Target="https://www.sec.gov/Archives/edgar/data/1932393/000119312522260650/d379971dex107.htm" TargetMode="External"/><Relationship Id="rId155" Type="http://schemas.openxmlformats.org/officeDocument/2006/relationships/hyperlink" Target="https://www.sec.gov/Archives/edgar/data/1932393/000119312522279103/d379971dex108.htm" TargetMode="External"/><Relationship Id="rId156" Type="http://schemas.openxmlformats.org/officeDocument/2006/relationships/hyperlink" Target="https://www.sec.gov/Archives/edgar/data/1932393/000193239323000133/gehc8-k_121523xexhibit101.htm" TargetMode="External"/><Relationship Id="rId157" Type="http://schemas.openxmlformats.org/officeDocument/2006/relationships/hyperlink" Target="https://www.sec.gov/Archives/edgar/data/1932393/000119312522279103/d379971dex1010.htm" TargetMode="External"/><Relationship Id="rId158" Type="http://schemas.openxmlformats.org/officeDocument/2006/relationships/hyperlink" Target="https://www.sec.gov/Archives/edgar/data/1932393/000119312522304909/d383836dex1011.htm" TargetMode="External"/><Relationship Id="rId160" Type="http://schemas.openxmlformats.org/officeDocument/2006/relationships/hyperlink" Target="https://www.sec.gov/Archives/edgar/data/1932393/000119312522304909/d383836dex1012.htm" TargetMode="External"/><Relationship Id="rId161" Type="http://schemas.openxmlformats.org/officeDocument/2006/relationships/hyperlink" Target="https://www.sec.gov/Archives/edgar/data/1932393/000119312522304909/d383836dex1013.htm" TargetMode="External"/><Relationship Id="rId163" Type="http://schemas.openxmlformats.org/officeDocument/2006/relationships/hyperlink" Target="https://www.sec.gov/Archives/edgar/data/1932393/000119312522304909/d383836dex1014.htm" TargetMode="External"/><Relationship Id="rId165" Type="http://schemas.openxmlformats.org/officeDocument/2006/relationships/hyperlink" Target="https://www.sec.gov/Archives/edgar/data/1932393/000119312522279103/d379971dex1015.htm" TargetMode="External"/><Relationship Id="rId167" Type="http://schemas.openxmlformats.org/officeDocument/2006/relationships/hyperlink" Target="https://www.sec.gov/Archives/edgar/data/1932393/000119312522288985/d379971dex1016.htm" TargetMode="External"/><Relationship Id="rId168" Type="http://schemas.openxmlformats.org/officeDocument/2006/relationships/hyperlink" Target="https://www.sec.gov/Archives/edgar/data/1932393/000119312522279103/d379971dex1016.htm" TargetMode="External"/><Relationship Id="rId170" Type="http://schemas.openxmlformats.org/officeDocument/2006/relationships/hyperlink" Target="https://www.sec.gov/Archives/edgar/data/1932393/000193239323000087/gehc1q202310qexhibit1012.htm" TargetMode="External"/><Relationship Id="rId171" Type="http://schemas.openxmlformats.org/officeDocument/2006/relationships/hyperlink" Target="https://www.sec.gov/Archives/edgar/data/1932393/000193239323000087/gehc1q202310qexhibit1013.htm" TargetMode="External"/><Relationship Id="rId173" Type="http://schemas.openxmlformats.org/officeDocument/2006/relationships/hyperlink" Target="https://www.sec.gov/Archives/edgar/data/1932393/000193239323000087/gehc1q202310qexhibit1014.htm" TargetMode="External"/><Relationship Id="rId174" Type="http://schemas.openxmlformats.org/officeDocument/2006/relationships/hyperlink" Target="https://www.sec.gov/Archives/edgar/data/1932393/000193239323000112/gehc2q202310qexhibit102.htm" TargetMode="External"/><Relationship Id="rId176" Type="http://schemas.openxmlformats.org/officeDocument/2006/relationships/hyperlink" Target="https://www.sec.gov/Archives/edgar/data/1932393/000193239323000087/gehc1q202310qexhibit1015.htm" TargetMode="External"/><Relationship Id="rId177" Type="http://schemas.openxmlformats.org/officeDocument/2006/relationships/hyperlink" Target="https://www.sec.gov/Archives/edgar/data/1932393/000193239323000125/gehc3q202310qexhibit101.htm" TargetMode="External"/><Relationship Id="rId179" Type="http://schemas.openxmlformats.org/officeDocument/2006/relationships/hyperlink" Target="https://www.sec.gov/Archives/edgar/data/1932393/000119312522279103/d379971dex1017.htm" TargetMode="External"/><Relationship Id="rId180" Type="http://schemas.openxmlformats.org/officeDocument/2006/relationships/hyperlink" Target="https://www.sec.gov/Archives/edgar/data/1932393/000119312522279103/d379971dex1018.htm" TargetMode="External"/><Relationship Id="rId182" Type="http://schemas.openxmlformats.org/officeDocument/2006/relationships/hyperlink" Target="https://www.sec.gov/Archives/edgar/data/1932393/000119312522279103/d379971dex1019.htm" TargetMode="External"/><Relationship Id="rId183" Type="http://schemas.openxmlformats.org/officeDocument/2006/relationships/hyperlink" Target="https://www.sec.gov/Archives/edgar/data/1932393/000119312522279103/d379971dex1020.htm" TargetMode="External"/><Relationship Id="rId185" Type="http://schemas.openxmlformats.org/officeDocument/2006/relationships/hyperlink" Target="https://www.sec.gov/Archives/edgar/data/1932393/000119312522279103/d379971dex1021.htm" TargetMode="External"/><Relationship Id="rId186" Type="http://schemas.openxmlformats.org/officeDocument/2006/relationships/hyperlink" Target="https://www.sec.gov/Archives/edgar/data/1932393/000193239323000012/onegehcannualbonusplaneffe.htm" TargetMode="External"/><Relationship Id="rId189" Type="http://schemas.openxmlformats.org/officeDocument/2006/relationships/hyperlink" Target="https://www.sec.gov/Archives/edgar/data/1932393/000193239323000112/gehc2q202310qexhibit101.htm" TargetMode="External"/><Relationship Id="rId190" Type="http://schemas.openxmlformats.org/officeDocument/2006/relationships/hyperlink" Target="https://www.sec.gov/Archives/edgar/data/1932393/000193239323000087/gehc1q202310qexhibit109.htm" TargetMode="External"/><Relationship Id="rId192" Type="http://schemas.openxmlformats.org/officeDocument/2006/relationships/hyperlink" Target="https://www.sec.gov/Archives/edgar/data/1932393/000193239323000012/formofaward2023ltiprsugran.htm" TargetMode="External"/><Relationship Id="rId193" Type="http://schemas.openxmlformats.org/officeDocument/2006/relationships/hyperlink" Target="https://www.sec.gov/Archives/edgar/data/1932393/000193239323000012/formofaward2023ltipstockop.htm" TargetMode="External"/><Relationship Id="rId195" Type="http://schemas.openxmlformats.org/officeDocument/2006/relationships/hyperlink" Target="https://www.sec.gov/Archives/edgar/data/1932393/000193239323000037/formofaward-2023ltiprsugra.htm" TargetMode="External"/><Relationship Id="rId196" Type="http://schemas.openxmlformats.org/officeDocument/2006/relationships/hyperlink" Target="https://www.sec.gov/Archives/edgar/data/1932393/000193239323000037/formofaward-2023ltipstocko.htm" TargetMode="External"/><Relationship Id="rId198" Type="http://schemas.openxmlformats.org/officeDocument/2006/relationships/hyperlink" Target="https://www.sec.gov/Archives/edgar/data/1932393/000193239323000037/formofaward-2023ltippsugra.htm" TargetMode="External"/><Relationship Id="rId199" Type="http://schemas.openxmlformats.org/officeDocument/2006/relationships/hyperlink" Target="https://www.sec.gov/Archives/edgar/data/1932393/000193239323000012/formofawardgehealthcare-gl.htm" TargetMode="External"/><Relationship Id="rId201" Type="http://schemas.openxmlformats.org/officeDocument/2006/relationships/hyperlink" Target="https://www.sec.gov/Archives/edgar/data/1932393/000193239323000087/gehc1q202310qexhibit1010.htm" TargetMode="External"/><Relationship Id="rId202" Type="http://schemas.openxmlformats.org/officeDocument/2006/relationships/hyperlink" Target="https://www.sec.gov/Archives/edgar/data/1932393/000193239323000087/gehc1q202310qexhibit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2024-02-06T05:34:45Z</dcterms:created>
  <dcterms:modified xsi:type="dcterms:W3CDTF">2024-02-06T05:34:45Z</dcterms:modified>
</cp:coreProperties>
</file>