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jc w:val="center"/>
        <w:ind w:left="3680" w:right="1360" w:hanging="2307"/>
        <w:spacing w:after="0" w:line="280" w:lineRule="auto"/>
        <w:tabs>
          <w:tab w:leader="none" w:pos="157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jc w:val="center"/>
        <w:ind w:left="3980" w:right="1360" w:hanging="2605"/>
        <w:spacing w:after="0" w:line="325" w:lineRule="auto"/>
        <w:tabs>
          <w:tab w:leader="none" w:pos="156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 to ____</w:t>
      </w:r>
    </w:p>
    <w:p>
      <w:pPr>
        <w:spacing w:after="0" w:line="1" w:lineRule="exact"/>
        <w:rPr>
          <w:rFonts w:ascii="MS PGothic" w:cs="MS PGothic" w:eastAsia="MS PGothic" w:hAnsi="MS PGothic"/>
          <w:sz w:val="16"/>
          <w:szCs w:val="16"/>
          <w:color w:val="auto"/>
          <w:highlight w:val="black"/>
        </w:rPr>
      </w:pPr>
    </w:p>
    <w:p>
      <w:pPr>
        <w:ind w:left="426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12065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10" w:type="dxa"/>
        <w:tblCellMar>
          <w:top w:w="0" w:type="dxa"/>
          <w:left w:w="0" w:type="dxa"/>
          <w:bottom w:w="0" w:type="dxa"/>
          <w:right w:w="0" w:type="dxa"/>
        </w:tblCellMar>
      </w:tblPr>
      <w:tr>
        <w:trPr>
          <w:trHeight w:val="221"/>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1"/>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bl>
    <w:p>
      <w:pPr>
        <w:spacing w:after="0" w:line="323" w:lineRule="exact"/>
        <w:rPr>
          <w:sz w:val="24"/>
          <w:szCs w:val="24"/>
          <w:color w:val="auto"/>
        </w:rPr>
      </w:pPr>
    </w:p>
    <w:p>
      <w:pPr>
        <w:jc w:val="both"/>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w:t>
      </w:r>
    </w:p>
    <w:p>
      <w:pPr>
        <w:spacing w:after="0" w:line="21" w:lineRule="exact"/>
        <w:rPr>
          <w:sz w:val="24"/>
          <w:szCs w:val="24"/>
          <w:color w:val="auto"/>
        </w:rPr>
      </w:pPr>
    </w:p>
    <w:p>
      <w:pPr>
        <w:ind w:right="180"/>
        <w:spacing w:after="0" w:line="211" w:lineRule="exact"/>
        <w:rPr>
          <w:sz w:val="20"/>
          <w:szCs w:val="20"/>
          <w:color w:val="auto"/>
        </w:rPr>
      </w:pPr>
      <w:r>
        <w:rPr>
          <w:rFonts w:ascii="Arial" w:cs="Arial" w:eastAsia="Arial" w:hAnsi="Arial"/>
          <w:sz w:val="16"/>
          <w:szCs w:val="16"/>
          <w:color w:val="auto"/>
        </w:rPr>
        <w:t xml:space="preserve">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9" w:lineRule="exact"/>
        <w:rPr>
          <w:sz w:val="24"/>
          <w:szCs w:val="24"/>
          <w:color w:val="auto"/>
        </w:rPr>
      </w:pPr>
    </w:p>
    <w:tbl>
      <w:tblPr>
        <w:tblLayout w:type="fixed"/>
        <w:tblInd w:w="1680" w:type="dxa"/>
        <w:tblCellMar>
          <w:top w:w="0" w:type="dxa"/>
          <w:left w:w="0" w:type="dxa"/>
          <w:bottom w:w="0" w:type="dxa"/>
          <w:right w:w="0" w:type="dxa"/>
        </w:tblCellMar>
      </w:tblPr>
      <w:tr>
        <w:trPr>
          <w:trHeight w:val="256"/>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Large 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2760" w:type="dxa"/>
            <w:vAlign w:val="bottom"/>
          </w:tcPr>
          <w:p>
            <w:pPr>
              <w:jc w:val="center"/>
              <w:ind w:right="779"/>
              <w:spacing w:after="0"/>
              <w:rPr>
                <w:sz w:val="20"/>
                <w:szCs w:val="20"/>
                <w:color w:val="auto"/>
              </w:rPr>
            </w:pPr>
            <w:r>
              <w:rPr>
                <w:rFonts w:ascii="Arial" w:cs="Arial" w:eastAsia="Arial" w:hAnsi="Arial"/>
                <w:sz w:val="16"/>
                <w:szCs w:val="16"/>
                <w:color w:val="auto"/>
              </w:rPr>
              <w:t>Non-accelerated filer</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jc w:val="center"/>
              <w:ind w:left="19"/>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60" w:type="dxa"/>
            <w:vAlign w:val="bottom"/>
          </w:tcPr>
          <w:p>
            <w:pPr>
              <w:jc w:val="center"/>
              <w:ind w:right="759"/>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720" w:type="dxa"/>
            <w:vAlign w:val="bottom"/>
          </w:tcPr>
          <w:p>
            <w:pPr>
              <w:spacing w:after="0"/>
              <w:rPr>
                <w:sz w:val="23"/>
                <w:szCs w:val="23"/>
                <w:color w:val="auto"/>
              </w:rPr>
            </w:pPr>
          </w:p>
        </w:tc>
        <w:tc>
          <w:tcPr>
            <w:tcW w:w="980" w:type="dxa"/>
            <w:vAlign w:val="bottom"/>
          </w:tcPr>
          <w:p>
            <w:pPr>
              <w:spacing w:after="0"/>
              <w:rPr>
                <w:sz w:val="23"/>
                <w:szCs w:val="23"/>
                <w:color w:val="auto"/>
              </w:rPr>
            </w:pPr>
          </w:p>
        </w:tc>
      </w:tr>
    </w:tbl>
    <w:p>
      <w:pPr>
        <w:spacing w:after="0" w:line="87"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20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There were 456,872,979 shares of common stock with a par value of $0.01 per share outstanding as of October 23,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709930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1640" w:type="dxa"/>
            <w:vAlign w:val="bottom"/>
            <w:gridSpan w:val="5"/>
          </w:tcPr>
          <w:p>
            <w:pPr>
              <w:ind w:left="1240"/>
              <w:spacing w:after="0"/>
              <w:rPr>
                <w:sz w:val="20"/>
                <w:szCs w:val="20"/>
                <w:color w:val="auto"/>
              </w:rPr>
            </w:pPr>
            <w:r>
              <w:rPr>
                <w:rFonts w:ascii="Arial" w:cs="Arial" w:eastAsia="Arial" w:hAnsi="Arial"/>
                <w:sz w:val="16"/>
                <w:szCs w:val="16"/>
                <w:b w:val="1"/>
                <w:bCs w:val="1"/>
                <w:color w:val="auto"/>
                <w:w w:val="99"/>
              </w:rPr>
              <w:t>Page</w:t>
            </w:r>
          </w:p>
        </w:tc>
      </w:tr>
      <w:tr>
        <w:trPr>
          <w:trHeight w:val="426"/>
        </w:trPr>
        <w:tc>
          <w:tcPr>
            <w:tcW w:w="960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3</w:t>
            </w:r>
          </w:p>
        </w:tc>
        <w:tc>
          <w:tcPr>
            <w:tcW w:w="20" w:type="dxa"/>
            <w:vAlign w:val="bottom"/>
          </w:tcPr>
          <w:p>
            <w:pPr>
              <w:spacing w:after="0"/>
              <w:rPr>
                <w:sz w:val="24"/>
                <w:szCs w:val="24"/>
                <w:color w:val="auto"/>
              </w:rPr>
            </w:pPr>
          </w:p>
        </w:tc>
      </w:tr>
      <w:tr>
        <w:trPr>
          <w:trHeight w:val="499"/>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Financial Information</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229"/>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rPr>
                <w:sz w:val="20"/>
                <w:szCs w:val="20"/>
                <w:color w:val="auto"/>
              </w:rPr>
            </w:pPr>
            <w:r>
              <w:rPr>
                <w:rFonts w:ascii="Arial" w:cs="Arial" w:eastAsia="Arial" w:hAnsi="Arial"/>
                <w:sz w:val="16"/>
                <w:szCs w:val="16"/>
                <w:color w:val="auto"/>
              </w:rPr>
              <w:t>Condensed Consolidated Financial Statements (Unaudited)</w:t>
            </w: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060" w:type="dxa"/>
            <w:vAlign w:val="bottom"/>
          </w:tcPr>
          <w:p>
            <w:pPr>
              <w:spacing w:after="0"/>
              <w:rPr>
                <w:sz w:val="18"/>
                <w:szCs w:val="18"/>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Income</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5</w:t>
            </w:r>
          </w:p>
        </w:tc>
        <w:tc>
          <w:tcPr>
            <w:tcW w:w="2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Comprehensive Income (Loss)</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6</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Financial Position</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7</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Changes in Equity</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8</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060" w:type="dxa"/>
            <w:vAlign w:val="bottom"/>
          </w:tcPr>
          <w:p>
            <w:pPr>
              <w:spacing w:after="0"/>
              <w:rPr>
                <w:sz w:val="20"/>
                <w:szCs w:val="20"/>
                <w:color w:val="auto"/>
              </w:rPr>
            </w:pPr>
          </w:p>
        </w:tc>
        <w:tc>
          <w:tcPr>
            <w:tcW w:w="8540" w:type="dxa"/>
            <w:vAlign w:val="bottom"/>
          </w:tcPr>
          <w:p>
            <w:pPr>
              <w:ind w:left="520"/>
              <w:spacing w:after="0"/>
              <w:rPr>
                <w:sz w:val="20"/>
                <w:szCs w:val="20"/>
                <w:color w:val="auto"/>
              </w:rPr>
            </w:pPr>
            <w:r>
              <w:rPr>
                <w:rFonts w:ascii="Arial" w:cs="Arial" w:eastAsia="Arial" w:hAnsi="Arial"/>
                <w:sz w:val="16"/>
                <w:szCs w:val="16"/>
                <w:color w:val="auto"/>
              </w:rPr>
              <w:t>Condensed Consolidated Statements of Cash Flows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10</w:t>
            </w:r>
          </w:p>
        </w:tc>
        <w:tc>
          <w:tcPr>
            <w:tcW w:w="20" w:type="dxa"/>
            <w:vAlign w:val="bottom"/>
          </w:tcPr>
          <w:p>
            <w:pPr>
              <w:spacing w:after="0"/>
              <w:rPr>
                <w:sz w:val="20"/>
                <w:szCs w:val="20"/>
                <w:color w:val="auto"/>
              </w:rPr>
            </w:pPr>
          </w:p>
        </w:tc>
      </w:tr>
      <w:tr>
        <w:trPr>
          <w:trHeight w:val="237"/>
        </w:trPr>
        <w:tc>
          <w:tcPr>
            <w:tcW w:w="1060" w:type="dxa"/>
            <w:vAlign w:val="bottom"/>
          </w:tcPr>
          <w:p>
            <w:pPr>
              <w:spacing w:after="0"/>
              <w:rPr>
                <w:sz w:val="20"/>
                <w:szCs w:val="20"/>
                <w:color w:val="auto"/>
              </w:rPr>
            </w:pPr>
          </w:p>
        </w:tc>
        <w:tc>
          <w:tcPr>
            <w:tcW w:w="8540" w:type="dxa"/>
            <w:vAlign w:val="bottom"/>
          </w:tcPr>
          <w:p>
            <w:pPr>
              <w:ind w:left="20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11</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60" w:type="dxa"/>
            <w:vAlign w:val="bottom"/>
            <w:gridSpan w:val="2"/>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 (“MD&amp;A”)</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30</w:t>
            </w:r>
          </w:p>
        </w:tc>
        <w:tc>
          <w:tcPr>
            <w:tcW w:w="20" w:type="dxa"/>
            <w:vAlign w:val="bottom"/>
          </w:tcPr>
          <w:p>
            <w:pPr>
              <w:spacing w:after="0"/>
              <w:rPr>
                <w:sz w:val="20"/>
                <w:szCs w:val="20"/>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43</w:t>
            </w:r>
          </w:p>
        </w:tc>
        <w:tc>
          <w:tcPr>
            <w:tcW w:w="20" w:type="dxa"/>
            <w:vAlign w:val="bottom"/>
          </w:tcPr>
          <w:p>
            <w:pPr>
              <w:spacing w:after="0"/>
              <w:rPr>
                <w:sz w:val="20"/>
                <w:szCs w:val="20"/>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620" w:type="dxa"/>
            <w:vAlign w:val="bottom"/>
            <w:gridSpan w:val="4"/>
          </w:tcPr>
          <w:p>
            <w:pPr>
              <w:jc w:val="right"/>
              <w:spacing w:after="0"/>
              <w:rPr>
                <w:sz w:val="20"/>
                <w:szCs w:val="20"/>
                <w:color w:val="auto"/>
              </w:rPr>
            </w:pPr>
            <w:r>
              <w:rPr>
                <w:rFonts w:ascii="Arial" w:cs="Arial" w:eastAsia="Arial" w:hAnsi="Arial"/>
                <w:sz w:val="16"/>
                <w:szCs w:val="16"/>
                <w:color w:val="3051F2"/>
              </w:rPr>
              <w:t>43</w:t>
            </w:r>
          </w:p>
        </w:tc>
        <w:tc>
          <w:tcPr>
            <w:tcW w:w="20" w:type="dxa"/>
            <w:vAlign w:val="bottom"/>
          </w:tcPr>
          <w:p>
            <w:pPr>
              <w:spacing w:after="0"/>
              <w:rPr>
                <w:sz w:val="20"/>
                <w:szCs w:val="20"/>
                <w:color w:val="auto"/>
              </w:rPr>
            </w:pPr>
          </w:p>
        </w:tc>
      </w:tr>
      <w:tr>
        <w:trPr>
          <w:trHeight w:val="391"/>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540" w:type="dxa"/>
            <w:vAlign w:val="bottom"/>
          </w:tcPr>
          <w:p>
            <w:pPr>
              <w:ind w:left="200"/>
              <w:spacing w:after="0"/>
              <w:rPr>
                <w:sz w:val="20"/>
                <w:szCs w:val="20"/>
                <w:color w:val="auto"/>
              </w:rPr>
            </w:pPr>
            <w:r>
              <w:rPr>
                <w:rFonts w:ascii="Arial" w:cs="Arial" w:eastAsia="Arial" w:hAnsi="Arial"/>
                <w:sz w:val="16"/>
                <w:szCs w:val="16"/>
                <w:b w:val="1"/>
                <w:bCs w:val="1"/>
                <w:color w:val="auto"/>
              </w:rPr>
              <w:t>Other Information</w:t>
            </w:r>
          </w:p>
        </w:tc>
        <w:tc>
          <w:tcPr>
            <w:tcW w:w="1440" w:type="dxa"/>
            <w:vAlign w:val="bottom"/>
          </w:tcPr>
          <w:p>
            <w:pPr>
              <w:spacing w:after="0"/>
              <w:rPr>
                <w:sz w:val="24"/>
                <w:szCs w:val="24"/>
                <w:color w:val="auto"/>
              </w:rPr>
            </w:pPr>
          </w:p>
        </w:tc>
        <w:tc>
          <w:tcPr>
            <w:tcW w:w="2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20" w:type="dxa"/>
            <w:vAlign w:val="bottom"/>
          </w:tcPr>
          <w:p>
            <w:pPr>
              <w:spacing w:after="0"/>
              <w:rPr>
                <w:sz w:val="24"/>
                <w:szCs w:val="24"/>
                <w:color w:val="auto"/>
              </w:rPr>
            </w:pPr>
          </w:p>
        </w:tc>
      </w:tr>
      <w:tr>
        <w:trPr>
          <w:trHeight w:val="21"/>
        </w:trPr>
        <w:tc>
          <w:tcPr>
            <w:tcW w:w="1060" w:type="dxa"/>
            <w:vAlign w:val="bottom"/>
            <w:tcBorders>
              <w:bottom w:val="single" w:sz="8" w:color="6022A6"/>
            </w:tcBorders>
          </w:tcPr>
          <w:p>
            <w:pPr>
              <w:spacing w:after="0" w:line="20" w:lineRule="exact"/>
              <w:rPr>
                <w:sz w:val="1"/>
                <w:szCs w:val="1"/>
                <w:color w:val="auto"/>
              </w:rPr>
            </w:pPr>
          </w:p>
        </w:tc>
        <w:tc>
          <w:tcPr>
            <w:tcW w:w="8540" w:type="dxa"/>
            <w:vAlign w:val="bottom"/>
            <w:tcBorders>
              <w:bottom w:val="single" w:sz="8" w:color="6022A6"/>
            </w:tcBorders>
          </w:tcPr>
          <w:p>
            <w:pPr>
              <w:spacing w:after="0" w:line="20" w:lineRule="exact"/>
              <w:rPr>
                <w:sz w:val="1"/>
                <w:szCs w:val="1"/>
                <w:color w:val="auto"/>
              </w:rPr>
            </w:pPr>
          </w:p>
        </w:tc>
        <w:tc>
          <w:tcPr>
            <w:tcW w:w="144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1060" w:type="dxa"/>
            <w:vAlign w:val="bottom"/>
          </w:tcPr>
          <w:p>
            <w:pPr>
              <w:ind w:left="260"/>
              <w:spacing w:after="0" w:line="183" w:lineRule="exact"/>
              <w:rPr>
                <w:sz w:val="20"/>
                <w:szCs w:val="20"/>
                <w:color w:val="auto"/>
              </w:rPr>
            </w:pPr>
            <w:r>
              <w:rPr>
                <w:rFonts w:ascii="Arial" w:cs="Arial" w:eastAsia="Arial" w:hAnsi="Arial"/>
                <w:sz w:val="16"/>
                <w:szCs w:val="16"/>
                <w:b w:val="1"/>
                <w:bCs w:val="1"/>
                <w:color w:val="auto"/>
              </w:rPr>
              <w:t>Item 1.</w:t>
            </w:r>
          </w:p>
        </w:tc>
        <w:tc>
          <w:tcPr>
            <w:tcW w:w="8540" w:type="dxa"/>
            <w:vAlign w:val="bottom"/>
          </w:tcPr>
          <w:p>
            <w:pPr>
              <w:ind w:left="200"/>
              <w:spacing w:after="0" w:line="183" w:lineRule="exact"/>
              <w:rPr>
                <w:sz w:val="20"/>
                <w:szCs w:val="20"/>
                <w:color w:val="auto"/>
              </w:rPr>
            </w:pPr>
            <w:r>
              <w:rPr>
                <w:rFonts w:ascii="Arial" w:cs="Arial" w:eastAsia="Arial" w:hAnsi="Arial"/>
                <w:sz w:val="16"/>
                <w:szCs w:val="16"/>
                <w:color w:val="auto"/>
              </w:rPr>
              <w:t>Legal Proceedings</w:t>
            </w:r>
          </w:p>
        </w:tc>
        <w:tc>
          <w:tcPr>
            <w:tcW w:w="1440" w:type="dxa"/>
            <w:vAlign w:val="bottom"/>
          </w:tcPr>
          <w:p>
            <w:pPr>
              <w:spacing w:after="0"/>
              <w:rPr>
                <w:sz w:val="15"/>
                <w:szCs w:val="15"/>
                <w:color w:val="auto"/>
              </w:rPr>
            </w:pPr>
          </w:p>
        </w:tc>
        <w:tc>
          <w:tcPr>
            <w:tcW w:w="180" w:type="dxa"/>
            <w:vAlign w:val="bottom"/>
            <w:tcBorders>
              <w:bottom w:val="single" w:sz="8" w:color="3051F2"/>
            </w:tcBorders>
            <w:gridSpan w:val="3"/>
          </w:tcPr>
          <w:p>
            <w:pPr>
              <w:jc w:val="right"/>
              <w:spacing w:after="0" w:line="183" w:lineRule="exact"/>
              <w:rPr>
                <w:sz w:val="20"/>
                <w:szCs w:val="20"/>
                <w:color w:val="auto"/>
              </w:rPr>
            </w:pPr>
            <w:r>
              <w:rPr>
                <w:rFonts w:ascii="Arial" w:cs="Arial" w:eastAsia="Arial" w:hAnsi="Arial"/>
                <w:sz w:val="16"/>
                <w:szCs w:val="16"/>
                <w:color w:val="3051F2"/>
                <w:w w:val="89"/>
              </w:rPr>
              <w:t>43</w:t>
            </w:r>
          </w:p>
        </w:tc>
        <w:tc>
          <w:tcPr>
            <w:tcW w:w="20" w:type="dxa"/>
            <w:vAlign w:val="bottom"/>
          </w:tcPr>
          <w:p>
            <w:pPr>
              <w:spacing w:after="0"/>
              <w:rPr>
                <w:sz w:val="15"/>
                <w:szCs w:val="15"/>
                <w:color w:val="auto"/>
              </w:rPr>
            </w:pPr>
          </w:p>
        </w:tc>
      </w:tr>
      <w:tr>
        <w:trPr>
          <w:trHeight w:val="237"/>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1A.</w:t>
            </w:r>
          </w:p>
        </w:tc>
        <w:tc>
          <w:tcPr>
            <w:tcW w:w="854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43</w:t>
            </w:r>
          </w:p>
        </w:tc>
        <w:tc>
          <w:tcPr>
            <w:tcW w:w="20" w:type="dxa"/>
            <w:vAlign w:val="bottom"/>
          </w:tcPr>
          <w:p>
            <w:pPr>
              <w:spacing w:after="0"/>
              <w:rPr>
                <w:sz w:val="20"/>
                <w:szCs w:val="20"/>
                <w:color w:val="auto"/>
              </w:rPr>
            </w:pPr>
          </w:p>
        </w:tc>
      </w:tr>
      <w:tr>
        <w:trPr>
          <w:trHeight w:val="23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540" w:type="dxa"/>
            <w:vAlign w:val="bottom"/>
          </w:tcPr>
          <w:p>
            <w:pPr>
              <w:ind w:left="200"/>
              <w:spacing w:after="0"/>
              <w:rPr>
                <w:sz w:val="20"/>
                <w:szCs w:val="20"/>
                <w:color w:val="auto"/>
              </w:rPr>
            </w:pPr>
            <w:r>
              <w:rPr>
                <w:rFonts w:ascii="Arial" w:cs="Arial" w:eastAsia="Arial" w:hAnsi="Arial"/>
                <w:sz w:val="16"/>
                <w:szCs w:val="16"/>
                <w:color w:val="auto"/>
              </w:rPr>
              <w:t>Unregistered Sales of Equity Securities and Use of Proceeds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540" w:type="dxa"/>
            <w:vAlign w:val="bottom"/>
          </w:tcPr>
          <w:p>
            <w:pPr>
              <w:ind w:left="200"/>
              <w:spacing w:after="0"/>
              <w:rPr>
                <w:sz w:val="20"/>
                <w:szCs w:val="20"/>
                <w:color w:val="auto"/>
              </w:rPr>
            </w:pPr>
            <w:r>
              <w:rPr>
                <w:rFonts w:ascii="Arial" w:cs="Arial" w:eastAsia="Arial" w:hAnsi="Arial"/>
                <w:sz w:val="16"/>
                <w:szCs w:val="16"/>
                <w:color w:val="auto"/>
              </w:rPr>
              <w:t>Defaults Upon Senior Securities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54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5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236"/>
        </w:trPr>
        <w:tc>
          <w:tcPr>
            <w:tcW w:w="1060" w:type="dxa"/>
            <w:vAlign w:val="bottom"/>
          </w:tcPr>
          <w:p>
            <w:pPr>
              <w:ind w:left="260"/>
              <w:spacing w:after="0"/>
              <w:rPr>
                <w:sz w:val="20"/>
                <w:szCs w:val="20"/>
                <w:color w:val="auto"/>
              </w:rPr>
            </w:pPr>
            <w:r>
              <w:rPr>
                <w:rFonts w:ascii="Arial" w:cs="Arial" w:eastAsia="Arial" w:hAnsi="Arial"/>
                <w:sz w:val="16"/>
                <w:szCs w:val="16"/>
                <w:b w:val="1"/>
                <w:bCs w:val="1"/>
                <w:color w:val="auto"/>
              </w:rPr>
              <w:t>Item 6.</w:t>
            </w:r>
          </w:p>
        </w:tc>
        <w:tc>
          <w:tcPr>
            <w:tcW w:w="8540" w:type="dxa"/>
            <w:vAlign w:val="bottom"/>
          </w:tcPr>
          <w:p>
            <w:pPr>
              <w:ind w:left="200"/>
              <w:spacing w:after="0"/>
              <w:rPr>
                <w:sz w:val="20"/>
                <w:szCs w:val="20"/>
                <w:color w:val="auto"/>
              </w:rPr>
            </w:pPr>
            <w:r>
              <w:rPr>
                <w:rFonts w:ascii="Arial" w:cs="Arial" w:eastAsia="Arial" w:hAnsi="Arial"/>
                <w:sz w:val="16"/>
                <w:szCs w:val="16"/>
                <w:color w:val="auto"/>
              </w:rPr>
              <w:t>Exhibits</w:t>
            </w:r>
          </w:p>
        </w:tc>
        <w:tc>
          <w:tcPr>
            <w:tcW w:w="1440" w:type="dxa"/>
            <w:vAlign w:val="bottom"/>
          </w:tcPr>
          <w:p>
            <w:pPr>
              <w:spacing w:after="0"/>
              <w:rPr>
                <w:sz w:val="20"/>
                <w:szCs w:val="20"/>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44</w:t>
            </w:r>
          </w:p>
        </w:tc>
        <w:tc>
          <w:tcPr>
            <w:tcW w:w="20" w:type="dxa"/>
            <w:vAlign w:val="bottom"/>
          </w:tcPr>
          <w:p>
            <w:pPr>
              <w:spacing w:after="0"/>
              <w:rPr>
                <w:sz w:val="20"/>
                <w:szCs w:val="20"/>
                <w:color w:val="auto"/>
              </w:rPr>
            </w:pPr>
          </w:p>
        </w:tc>
      </w:tr>
      <w:tr>
        <w:trPr>
          <w:trHeight w:val="45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3051F2"/>
            </w:tcBorders>
            <w:gridSpan w:val="3"/>
          </w:tcPr>
          <w:p>
            <w:pPr>
              <w:jc w:val="right"/>
              <w:spacing w:after="0"/>
              <w:rPr>
                <w:sz w:val="20"/>
                <w:szCs w:val="20"/>
                <w:color w:val="auto"/>
              </w:rPr>
            </w:pPr>
            <w:r>
              <w:rPr>
                <w:rFonts w:ascii="Arial" w:cs="Arial" w:eastAsia="Arial" w:hAnsi="Arial"/>
                <w:sz w:val="16"/>
                <w:szCs w:val="16"/>
                <w:color w:val="3051F2"/>
                <w:w w:val="89"/>
              </w:rPr>
              <w:t>45</w:t>
            </w:r>
          </w:p>
        </w:tc>
        <w:tc>
          <w:tcPr>
            <w:tcW w:w="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Quarterly Report on Form 10-Q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the impacts of macroeconomic and market conditions and volatility on our business operations, financial results, and financial position and on supply chains and the world economy; our cost structure; our funding and liquidity; the impacts on our business of manufacturing, sourcing, and supply chain management; the Russia and Ukraine conflict; our operations as a stand-alone company;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our ability to successfully complete strategic transactions; the actions or inactions of third parties with whom we partner and the various collaboration, licensing, and other partnerships and alliances we have with third parties; demand for our products, services, or solutions and factors that affect that demand; management of our supply chain and our ability to cost-effectively secure the materials we need to operate our business; disruptions in our operations; changes in third-party and government reimbursement processes, rates, contractual relationships, and mix of public and private payers, including related to government shutdowns; the delayed China stimulus and the ongoing anti-corruption campaign; our ability to attract and/or retain key personnel and qualified employees; global geopolitical and economic instability, including as a result of the conflict between Ukraine and Russia, the conflict in the Middle East, and the actions in the Red Sea region; public health crises, epidemics, and pandemics, and their effects on our business; maintenance and protection of our intellectual property rights, as well as maintenance of successful research and development efforts with respect to commercially successful products and technologies; the impact of potential information technology (“IT”), cybersecurity, or data security breaches; compliance with the various legal, regulatory, tax, privacy, and other laws to which we are subject, such as the Foreign Corrupt Practices Act and similar anti-corruption and anti-bribery laws globally, and related changes, claims, inquiries, investigations, or actions; our ability to control increases in healthcare costs and any subsequent effect on demand for our products, services, or solutions; the impacts related to our increasing focus on and investment in cloud, edge, artificial intelligence, and software offerings; the impact of potential product liability claims; environmental, social, and governance matters; our ability to operate effectively as an independent, publicly traded company; and our level of indebtedness, as well as our general ability to comply with covenants under our debt instruments, and any related effect on our business. Please also see the “Risk Factors” section of our Annual Report on Form 10-K for the fiscal year ended December 31, 2023 filed with the United States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68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6"/>
        </w:trPr>
        <w:tc>
          <w:tcPr>
            <w:tcW w:w="9680" w:type="dxa"/>
            <w:vAlign w:val="bottom"/>
          </w:tcPr>
          <w:p>
            <w:pPr>
              <w:ind w:left="20"/>
              <w:spacing w:after="0"/>
              <w:rPr>
                <w:sz w:val="20"/>
                <w:szCs w:val="20"/>
                <w:color w:val="auto"/>
              </w:rPr>
            </w:pPr>
            <w:r>
              <w:rPr>
                <w:rFonts w:ascii="Arial" w:cs="Arial" w:eastAsia="Arial" w:hAnsi="Arial"/>
                <w:sz w:val="16"/>
                <w:szCs w:val="16"/>
                <w:b w:val="1"/>
                <w:bCs w:val="1"/>
                <w:color w:val="auto"/>
              </w:rPr>
              <w:t>Item 1. Condensed Consolidated Financial Statements (Unaudited)</w:t>
            </w:r>
          </w:p>
        </w:tc>
        <w:tc>
          <w:tcPr>
            <w:tcW w:w="1560" w:type="dxa"/>
            <w:vAlign w:val="bottom"/>
            <w:gridSpan w:val="5"/>
          </w:tcPr>
          <w:p>
            <w:pPr>
              <w:ind w:left="1160"/>
              <w:spacing w:after="0"/>
              <w:rPr>
                <w:sz w:val="20"/>
                <w:szCs w:val="20"/>
                <w:color w:val="auto"/>
              </w:rPr>
            </w:pPr>
            <w:r>
              <w:rPr>
                <w:rFonts w:ascii="Arial" w:cs="Arial" w:eastAsia="Arial" w:hAnsi="Arial"/>
                <w:sz w:val="16"/>
                <w:szCs w:val="16"/>
                <w:b w:val="1"/>
                <w:bCs w:val="1"/>
                <w:color w:val="auto"/>
                <w:w w:val="99"/>
              </w:rPr>
              <w:t>Page</w:t>
            </w:r>
          </w:p>
        </w:tc>
      </w:tr>
      <w:tr>
        <w:trPr>
          <w:trHeight w:val="21"/>
        </w:trPr>
        <w:tc>
          <w:tcPr>
            <w:tcW w:w="9680" w:type="dxa"/>
            <w:vAlign w:val="bottom"/>
            <w:tcBorders>
              <w:bottom w:val="single" w:sz="8" w:color="6400A0"/>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680" w:type="dxa"/>
            <w:vAlign w:val="bottom"/>
          </w:tcPr>
          <w:p>
            <w:pPr>
              <w:ind w:left="20"/>
              <w:spacing w:after="0" w:line="183" w:lineRule="exact"/>
              <w:rPr>
                <w:sz w:val="20"/>
                <w:szCs w:val="20"/>
                <w:color w:val="auto"/>
              </w:rPr>
            </w:pPr>
            <w:r>
              <w:rPr>
                <w:rFonts w:ascii="Arial" w:cs="Arial" w:eastAsia="Arial" w:hAnsi="Arial"/>
                <w:sz w:val="16"/>
                <w:szCs w:val="16"/>
                <w:color w:val="auto"/>
              </w:rPr>
              <w:t>Condensed Consolidated Statements of Income</w:t>
            </w:r>
          </w:p>
        </w:tc>
        <w:tc>
          <w:tcPr>
            <w:tcW w:w="1540" w:type="dxa"/>
            <w:vAlign w:val="bottom"/>
            <w:gridSpan w:val="4"/>
          </w:tcPr>
          <w:p>
            <w:pPr>
              <w:jc w:val="right"/>
              <w:spacing w:after="0" w:line="183" w:lineRule="exact"/>
              <w:rPr>
                <w:sz w:val="20"/>
                <w:szCs w:val="20"/>
                <w:color w:val="auto"/>
              </w:rPr>
            </w:pPr>
            <w:r>
              <w:rPr>
                <w:rFonts w:ascii="Arial" w:cs="Arial" w:eastAsia="Arial" w:hAnsi="Arial"/>
                <w:sz w:val="16"/>
                <w:szCs w:val="16"/>
                <w:color w:val="0E32E1"/>
              </w:rPr>
              <w:t>5</w:t>
            </w:r>
          </w:p>
        </w:tc>
        <w:tc>
          <w:tcPr>
            <w:tcW w:w="20" w:type="dxa"/>
            <w:vAlign w:val="bottom"/>
          </w:tcPr>
          <w:p>
            <w:pPr>
              <w:spacing w:after="0"/>
              <w:rPr>
                <w:sz w:val="15"/>
                <w:szCs w:val="15"/>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Comprehensive Income (Loss)</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6</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Financial Position</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7</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Changes in Equity</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8</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0"/>
              <w:spacing w:after="0"/>
              <w:rPr>
                <w:sz w:val="20"/>
                <w:szCs w:val="20"/>
                <w:color w:val="auto"/>
              </w:rPr>
            </w:pPr>
            <w:r>
              <w:rPr>
                <w:rFonts w:ascii="Arial" w:cs="Arial" w:eastAsia="Arial" w:hAnsi="Arial"/>
                <w:sz w:val="16"/>
                <w:szCs w:val="16"/>
                <w:color w:val="auto"/>
              </w:rPr>
              <w:t>Condensed Consolidated Statements of Cash Flows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10</w:t>
            </w:r>
          </w:p>
        </w:tc>
        <w:tc>
          <w:tcPr>
            <w:tcW w:w="20" w:type="dxa"/>
            <w:vAlign w:val="bottom"/>
          </w:tcPr>
          <w:p>
            <w:pPr>
              <w:spacing w:after="0"/>
              <w:rPr>
                <w:sz w:val="20"/>
                <w:szCs w:val="20"/>
                <w:color w:val="auto"/>
              </w:rPr>
            </w:pPr>
          </w:p>
        </w:tc>
      </w:tr>
      <w:tr>
        <w:trPr>
          <w:trHeight w:val="236"/>
        </w:trPr>
        <w:tc>
          <w:tcPr>
            <w:tcW w:w="9680" w:type="dxa"/>
            <w:vAlign w:val="bottom"/>
          </w:tcPr>
          <w:p>
            <w:pPr>
              <w:ind w:left="20"/>
              <w:spacing w:after="0"/>
              <w:rPr>
                <w:sz w:val="20"/>
                <w:szCs w:val="20"/>
                <w:color w:val="auto"/>
              </w:rPr>
            </w:pPr>
            <w:r>
              <w:rPr>
                <w:rFonts w:ascii="Arial" w:cs="Arial" w:eastAsia="Arial" w:hAnsi="Arial"/>
                <w:sz w:val="16"/>
                <w:szCs w:val="16"/>
                <w:color w:val="auto"/>
              </w:rPr>
              <w:t>Notes to the Condensed Consolidated Financial Statements (Unaudited)</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 Organization and Basis of Presentation</w:t>
            </w:r>
          </w:p>
        </w:tc>
        <w:tc>
          <w:tcPr>
            <w:tcW w:w="1540" w:type="dxa"/>
            <w:vAlign w:val="bottom"/>
            <w:gridSpan w:val="4"/>
          </w:tcPr>
          <w:p>
            <w:pPr>
              <w:jc w:val="right"/>
              <w:spacing w:after="0"/>
              <w:rPr>
                <w:sz w:val="20"/>
                <w:szCs w:val="20"/>
                <w:color w:val="auto"/>
              </w:rPr>
            </w:pPr>
            <w:r>
              <w:rPr>
                <w:rFonts w:ascii="Arial" w:cs="Arial" w:eastAsia="Arial" w:hAnsi="Arial"/>
                <w:sz w:val="16"/>
                <w:szCs w:val="16"/>
                <w:color w:val="0E32E1"/>
              </w:rPr>
              <w:t>11</w:t>
            </w:r>
          </w:p>
        </w:tc>
        <w:tc>
          <w:tcPr>
            <w:tcW w:w="20" w:type="dxa"/>
            <w:vAlign w:val="bottom"/>
          </w:tcPr>
          <w:p>
            <w:pPr>
              <w:spacing w:after="0"/>
              <w:rPr>
                <w:sz w:val="20"/>
                <w:szCs w:val="20"/>
                <w:color w:val="auto"/>
              </w:rPr>
            </w:pPr>
          </w:p>
        </w:tc>
      </w:tr>
      <w:tr>
        <w:trPr>
          <w:trHeight w:val="20"/>
        </w:trPr>
        <w:tc>
          <w:tcPr>
            <w:tcW w:w="96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gridSpan w:val="2"/>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2. Revenue Recognition</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12</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3. Segment Information</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13</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4. Receivables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14</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5. Financing Receivables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6. Leases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7. Acquisitions, Goodwill, and Other Intangible Assets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15</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8. Borrowings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16</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9. Postretirement Benefit Plans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17</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10. Income Taxes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18</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11. Accumulated Other Comprehensive Income (Loss) – Net</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19</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12. Financial Instruments and Fair Value Measurements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20</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13. Commitments, Guarantees, Product Warranties, and Other Loss Contingencies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24</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14. Restructuring Activities</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25</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15. Earnings Per Share</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26</w:t>
            </w:r>
          </w:p>
        </w:tc>
        <w:tc>
          <w:tcPr>
            <w:tcW w:w="20" w:type="dxa"/>
            <w:vAlign w:val="bottom"/>
          </w:tcPr>
          <w:p>
            <w:pPr>
              <w:spacing w:after="0"/>
              <w:rPr>
                <w:sz w:val="20"/>
                <w:szCs w:val="20"/>
                <w:color w:val="auto"/>
              </w:rPr>
            </w:pPr>
          </w:p>
        </w:tc>
      </w:tr>
      <w:tr>
        <w:trPr>
          <w:trHeight w:val="237"/>
        </w:trPr>
        <w:tc>
          <w:tcPr>
            <w:tcW w:w="9680" w:type="dxa"/>
            <w:vAlign w:val="bottom"/>
          </w:tcPr>
          <w:p>
            <w:pPr>
              <w:ind w:left="240"/>
              <w:spacing w:after="0"/>
              <w:rPr>
                <w:sz w:val="20"/>
                <w:szCs w:val="20"/>
                <w:color w:val="auto"/>
              </w:rPr>
            </w:pPr>
            <w:r>
              <w:rPr>
                <w:rFonts w:ascii="Arial" w:cs="Arial" w:eastAsia="Arial" w:hAnsi="Arial"/>
                <w:sz w:val="16"/>
                <w:szCs w:val="16"/>
                <w:color w:val="auto"/>
              </w:rPr>
              <w:t>Note 16. Supplemental Financial Information</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26</w:t>
            </w:r>
          </w:p>
        </w:tc>
        <w:tc>
          <w:tcPr>
            <w:tcW w:w="20" w:type="dxa"/>
            <w:vAlign w:val="bottom"/>
          </w:tcPr>
          <w:p>
            <w:pPr>
              <w:spacing w:after="0"/>
              <w:rPr>
                <w:sz w:val="20"/>
                <w:szCs w:val="20"/>
                <w:color w:val="auto"/>
              </w:rPr>
            </w:pPr>
          </w:p>
        </w:tc>
      </w:tr>
      <w:tr>
        <w:trPr>
          <w:trHeight w:val="236"/>
        </w:trPr>
        <w:tc>
          <w:tcPr>
            <w:tcW w:w="9680" w:type="dxa"/>
            <w:vAlign w:val="bottom"/>
          </w:tcPr>
          <w:p>
            <w:pPr>
              <w:ind w:left="240"/>
              <w:spacing w:after="0"/>
              <w:rPr>
                <w:sz w:val="20"/>
                <w:szCs w:val="20"/>
                <w:color w:val="auto"/>
              </w:rPr>
            </w:pPr>
            <w:r>
              <w:rPr>
                <w:rFonts w:ascii="Arial" w:cs="Arial" w:eastAsia="Arial" w:hAnsi="Arial"/>
                <w:sz w:val="16"/>
                <w:szCs w:val="16"/>
                <w:color w:val="auto"/>
              </w:rPr>
              <w:t>Note 17. Related Parties and Transition Services Agreement</w:t>
            </w:r>
          </w:p>
        </w:tc>
        <w:tc>
          <w:tcPr>
            <w:tcW w:w="1360" w:type="dxa"/>
            <w:vAlign w:val="bottom"/>
          </w:tcPr>
          <w:p>
            <w:pPr>
              <w:spacing w:after="0"/>
              <w:rPr>
                <w:sz w:val="20"/>
                <w:szCs w:val="20"/>
                <w:color w:val="auto"/>
              </w:rPr>
            </w:pPr>
          </w:p>
        </w:tc>
        <w:tc>
          <w:tcPr>
            <w:tcW w:w="180" w:type="dxa"/>
            <w:vAlign w:val="bottom"/>
            <w:tcBorders>
              <w:bottom w:val="single" w:sz="8" w:color="0E32E1"/>
            </w:tcBorders>
            <w:gridSpan w:val="3"/>
          </w:tcPr>
          <w:p>
            <w:pPr>
              <w:jc w:val="right"/>
              <w:spacing w:after="0"/>
              <w:rPr>
                <w:sz w:val="20"/>
                <w:szCs w:val="20"/>
                <w:color w:val="auto"/>
              </w:rPr>
            </w:pPr>
            <w:r>
              <w:rPr>
                <w:rFonts w:ascii="Arial" w:cs="Arial" w:eastAsia="Arial" w:hAnsi="Arial"/>
                <w:sz w:val="16"/>
                <w:szCs w:val="16"/>
                <w:color w:val="0E32E1"/>
                <w:w w:val="89"/>
              </w:rPr>
              <w:t>29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3"/>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Income (Unaudited)</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6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40" w:type="dxa"/>
            <w:vAlign w:val="bottom"/>
            <w:gridSpan w:val="4"/>
          </w:tcPr>
          <w:p>
            <w:pPr>
              <w:jc w:val="center"/>
              <w:ind w:right="220"/>
              <w:spacing w:after="0" w:line="182" w:lineRule="exact"/>
              <w:rPr>
                <w:sz w:val="20"/>
                <w:szCs w:val="20"/>
                <w:color w:val="auto"/>
              </w:rPr>
            </w:pPr>
            <w:r>
              <w:rPr>
                <w:rFonts w:ascii="Arial" w:cs="Arial" w:eastAsia="Arial" w:hAnsi="Arial"/>
                <w:sz w:val="16"/>
                <w:szCs w:val="16"/>
                <w:b w:val="1"/>
                <w:bCs w:val="1"/>
                <w:color w:val="454545"/>
              </w:rPr>
              <w:t>For the three months ended</w:t>
            </w:r>
          </w:p>
        </w:tc>
        <w:tc>
          <w:tcPr>
            <w:tcW w:w="160" w:type="dxa"/>
            <w:vAlign w:val="bottom"/>
          </w:tcPr>
          <w:p>
            <w:pPr>
              <w:spacing w:after="0"/>
              <w:rPr>
                <w:sz w:val="15"/>
                <w:szCs w:val="15"/>
                <w:color w:val="auto"/>
              </w:rPr>
            </w:pPr>
          </w:p>
        </w:tc>
        <w:tc>
          <w:tcPr>
            <w:tcW w:w="2340" w:type="dxa"/>
            <w:vAlign w:val="bottom"/>
            <w:gridSpan w:val="3"/>
          </w:tcPr>
          <w:p>
            <w:pPr>
              <w:jc w:val="right"/>
              <w:ind w:right="119"/>
              <w:spacing w:after="0" w:line="182" w:lineRule="exact"/>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454545"/>
              </w:rPr>
              <w:t>September 30</w:t>
            </w:r>
          </w:p>
        </w:tc>
        <w:tc>
          <w:tcPr>
            <w:tcW w:w="160" w:type="dxa"/>
            <w:vAlign w:val="bottom"/>
          </w:tcPr>
          <w:p>
            <w:pPr>
              <w:spacing w:after="0"/>
              <w:rPr>
                <w:sz w:val="19"/>
                <w:szCs w:val="19"/>
                <w:color w:val="auto"/>
              </w:rPr>
            </w:pPr>
          </w:p>
        </w:tc>
        <w:tc>
          <w:tcPr>
            <w:tcW w:w="2340" w:type="dxa"/>
            <w:vAlign w:val="bottom"/>
            <w:gridSpan w:val="3"/>
          </w:tcPr>
          <w:p>
            <w:pPr>
              <w:jc w:val="right"/>
              <w:ind w:right="639"/>
              <w:spacing w:after="0"/>
              <w:rPr>
                <w:sz w:val="20"/>
                <w:szCs w:val="20"/>
                <w:color w:val="auto"/>
              </w:rPr>
            </w:pPr>
            <w:r>
              <w:rPr>
                <w:rFonts w:ascii="Arial" w:cs="Arial" w:eastAsia="Arial" w:hAnsi="Arial"/>
                <w:sz w:val="16"/>
                <w:szCs w:val="16"/>
                <w:b w:val="1"/>
                <w:bCs w:val="1"/>
                <w:color w:val="454545"/>
              </w:rPr>
              <w:t>September 30</w:t>
            </w:r>
          </w:p>
        </w:tc>
        <w:tc>
          <w:tcPr>
            <w:tcW w:w="0" w:type="dxa"/>
            <w:vAlign w:val="bottom"/>
          </w:tcPr>
          <w:p>
            <w:pPr>
              <w:spacing w:after="0"/>
              <w:rPr>
                <w:sz w:val="1"/>
                <w:szCs w:val="1"/>
                <w:color w:val="auto"/>
              </w:rPr>
            </w:pPr>
          </w:p>
        </w:tc>
      </w:tr>
      <w:tr>
        <w:trPr>
          <w:trHeight w:val="21"/>
        </w:trPr>
        <w:tc>
          <w:tcPr>
            <w:tcW w:w="61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1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6120" w:type="dxa"/>
            <w:vAlign w:val="bottom"/>
            <w:tcBorders>
              <w:bottom w:val="single" w:sz="8" w:color="6022A6"/>
            </w:tcBorders>
            <w:vMerge w:val="continue"/>
          </w:tcPr>
          <w:p>
            <w:pPr>
              <w:spacing w:after="0"/>
              <w:rPr>
                <w:sz w:val="19"/>
                <w:szCs w:val="19"/>
                <w:color w:val="auto"/>
              </w:rPr>
            </w:pPr>
          </w:p>
        </w:tc>
        <w:tc>
          <w:tcPr>
            <w:tcW w:w="14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280" w:type="dxa"/>
            <w:vAlign w:val="bottom"/>
            <w:tcBorders>
              <w:bottom w:val="single" w:sz="8" w:color="6022A6"/>
            </w:tcBorders>
          </w:tcPr>
          <w:p>
            <w:pPr>
              <w:spacing w:after="0"/>
              <w:rPr>
                <w:sz w:val="19"/>
                <w:szCs w:val="19"/>
                <w:color w:val="auto"/>
              </w:rPr>
            </w:pPr>
          </w:p>
        </w:tc>
        <w:tc>
          <w:tcPr>
            <w:tcW w:w="980" w:type="dxa"/>
            <w:vAlign w:val="bottom"/>
            <w:tcBorders>
              <w:bottom w:val="single" w:sz="8" w:color="6022A6"/>
            </w:tcBorders>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8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100" w:type="dxa"/>
            <w:vAlign w:val="bottom"/>
            <w:tcBorders>
              <w:bottom w:val="single" w:sz="8" w:color="6022A6"/>
            </w:tcBorders>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260" w:type="dxa"/>
            <w:vAlign w:val="bottom"/>
            <w:tcBorders>
              <w:bottom w:val="single" w:sz="8" w:color="6022A6"/>
            </w:tcBorders>
          </w:tcPr>
          <w:p>
            <w:pPr>
              <w:spacing w:after="0"/>
              <w:rPr>
                <w:sz w:val="19"/>
                <w:szCs w:val="19"/>
                <w:color w:val="auto"/>
              </w:rPr>
            </w:pPr>
          </w:p>
        </w:tc>
        <w:tc>
          <w:tcPr>
            <w:tcW w:w="980" w:type="dxa"/>
            <w:vAlign w:val="bottom"/>
            <w:tcBorders>
              <w:bottom w:val="single" w:sz="8" w:color="6022A6"/>
            </w:tcBorders>
          </w:tcPr>
          <w:p>
            <w:pPr>
              <w:jc w:val="right"/>
              <w:ind w:right="35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3,201</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3,186</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9,454</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9,530</w:t>
            </w:r>
          </w:p>
        </w:tc>
        <w:tc>
          <w:tcPr>
            <w:tcW w:w="0" w:type="dxa"/>
            <w:vAlign w:val="bottom"/>
          </w:tcPr>
          <w:p>
            <w:pPr>
              <w:spacing w:after="0"/>
              <w:rPr>
                <w:sz w:val="1"/>
                <w:szCs w:val="1"/>
                <w:color w:val="auto"/>
              </w:rPr>
            </w:pPr>
          </w:p>
        </w:tc>
      </w:tr>
      <w:tr>
        <w:trPr>
          <w:trHeight w:val="228"/>
        </w:trPr>
        <w:tc>
          <w:tcPr>
            <w:tcW w:w="612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4,899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4,816</w:t>
            </w:r>
          </w:p>
        </w:tc>
        <w:tc>
          <w:tcPr>
            <w:tcW w:w="0" w:type="dxa"/>
            <w:vAlign w:val="bottom"/>
          </w:tcPr>
          <w:p>
            <w:pPr>
              <w:spacing w:after="0"/>
              <w:rPr>
                <w:sz w:val="1"/>
                <w:szCs w:val="1"/>
                <w:color w:val="auto"/>
              </w:rPr>
            </w:pPr>
          </w:p>
        </w:tc>
      </w:tr>
      <w:tr>
        <w:trPr>
          <w:trHeight w:val="29"/>
        </w:trPr>
        <w:tc>
          <w:tcPr>
            <w:tcW w:w="6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4,863</w:t>
            </w:r>
          </w:p>
        </w:tc>
        <w:tc>
          <w:tcPr>
            <w:tcW w:w="28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4,822</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14,353</w:t>
            </w:r>
          </w:p>
        </w:tc>
        <w:tc>
          <w:tcPr>
            <w:tcW w:w="26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14,346</w:t>
            </w:r>
          </w:p>
        </w:tc>
        <w:tc>
          <w:tcPr>
            <w:tcW w:w="0" w:type="dxa"/>
            <w:vAlign w:val="bottom"/>
          </w:tcPr>
          <w:p>
            <w:pPr>
              <w:spacing w:after="0"/>
              <w:rPr>
                <w:sz w:val="1"/>
                <w:szCs w:val="1"/>
                <w:color w:val="auto"/>
              </w:rPr>
            </w:pPr>
          </w:p>
        </w:tc>
      </w:tr>
      <w:tr>
        <w:trPr>
          <w:trHeight w:val="221"/>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2,033</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2,076</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6,045</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6,197</w:t>
            </w:r>
          </w:p>
        </w:tc>
        <w:tc>
          <w:tcPr>
            <w:tcW w:w="0" w:type="dxa"/>
            <w:vAlign w:val="bottom"/>
          </w:tcPr>
          <w:p>
            <w:pPr>
              <w:spacing w:after="0"/>
              <w:rPr>
                <w:sz w:val="1"/>
                <w:szCs w:val="1"/>
                <w:color w:val="auto"/>
              </w:rPr>
            </w:pPr>
          </w:p>
        </w:tc>
      </w:tr>
      <w:tr>
        <w:trPr>
          <w:trHeight w:val="29"/>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1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805</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811</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2,378</w:t>
            </w:r>
          </w:p>
        </w:tc>
        <w:tc>
          <w:tcPr>
            <w:tcW w:w="26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2,383</w:t>
            </w:r>
          </w:p>
        </w:tc>
        <w:tc>
          <w:tcPr>
            <w:tcW w:w="0" w:type="dxa"/>
            <w:vAlign w:val="bottom"/>
          </w:tcPr>
          <w:p>
            <w:pPr>
              <w:spacing w:after="0"/>
              <w:rPr>
                <w:sz w:val="1"/>
                <w:szCs w:val="1"/>
                <w:color w:val="auto"/>
              </w:rPr>
            </w:pPr>
          </w:p>
        </w:tc>
      </w:tr>
      <w:tr>
        <w:trPr>
          <w:trHeight w:val="229"/>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1,935</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5,930</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5,766</w:t>
            </w: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1,034</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996</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3,139</w:t>
            </w:r>
          </w:p>
        </w:tc>
        <w:tc>
          <w:tcPr>
            <w:tcW w:w="2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3,130</w:t>
            </w:r>
          </w:p>
        </w:tc>
        <w:tc>
          <w:tcPr>
            <w:tcW w:w="0" w:type="dxa"/>
            <w:vAlign w:val="bottom"/>
          </w:tcPr>
          <w:p>
            <w:pPr>
              <w:spacing w:after="0"/>
              <w:rPr>
                <w:sz w:val="1"/>
                <w:szCs w:val="1"/>
                <w:color w:val="auto"/>
              </w:rPr>
            </w:pPr>
          </w:p>
        </w:tc>
      </w:tr>
      <w:tr>
        <w:trPr>
          <w:trHeight w:val="227"/>
        </w:trPr>
        <w:tc>
          <w:tcPr>
            <w:tcW w:w="61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316</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890</w:t>
            </w:r>
          </w:p>
        </w:tc>
        <w:tc>
          <w:tcPr>
            <w:tcW w:w="0" w:type="dxa"/>
            <w:vAlign w:val="bottom"/>
          </w:tcPr>
          <w:p>
            <w:pPr>
              <w:spacing w:after="0"/>
              <w:rPr>
                <w:sz w:val="1"/>
                <w:szCs w:val="1"/>
                <w:color w:val="auto"/>
              </w:rPr>
            </w:pPr>
          </w:p>
        </w:tc>
      </w:tr>
      <w:tr>
        <w:trPr>
          <w:trHeight w:val="29"/>
        </w:trPr>
        <w:tc>
          <w:tcPr>
            <w:tcW w:w="6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1,350</w:t>
            </w:r>
          </w:p>
        </w:tc>
        <w:tc>
          <w:tcPr>
            <w:tcW w:w="28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1,318</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4,106</w:t>
            </w:r>
          </w:p>
        </w:tc>
        <w:tc>
          <w:tcPr>
            <w:tcW w:w="26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4,020</w:t>
            </w:r>
          </w:p>
        </w:tc>
        <w:tc>
          <w:tcPr>
            <w:tcW w:w="0" w:type="dxa"/>
            <w:vAlign w:val="bottom"/>
          </w:tcPr>
          <w:p>
            <w:pPr>
              <w:spacing w:after="0"/>
              <w:rPr>
                <w:sz w:val="1"/>
                <w:szCs w:val="1"/>
                <w:color w:val="auto"/>
              </w:rPr>
            </w:pPr>
          </w:p>
        </w:tc>
      </w:tr>
      <w:tr>
        <w:trPr>
          <w:trHeight w:val="229"/>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676</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617</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1,824</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1,746</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138</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383</w:t>
            </w:r>
          </w:p>
        </w:tc>
        <w:tc>
          <w:tcPr>
            <w:tcW w:w="2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411</w:t>
            </w:r>
          </w:p>
        </w:tc>
        <w:tc>
          <w:tcPr>
            <w:tcW w:w="0" w:type="dxa"/>
            <w:vAlign w:val="bottom"/>
          </w:tcPr>
          <w:p>
            <w:pPr>
              <w:spacing w:after="0"/>
              <w:rPr>
                <w:sz w:val="1"/>
                <w:szCs w:val="1"/>
                <w:color w:val="auto"/>
              </w:rPr>
            </w:pPr>
          </w:p>
        </w:tc>
      </w:tr>
      <w:tr>
        <w:trPr>
          <w:trHeight w:val="228"/>
        </w:trPr>
        <w:tc>
          <w:tcPr>
            <w:tcW w:w="612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(306)</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9"/>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1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9"/>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658</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636</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1,747</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1,752</w:t>
            </w: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1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c>
          <w:tcPr>
            <w:tcW w:w="2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(435)</w:t>
            </w:r>
          </w:p>
        </w:tc>
        <w:tc>
          <w:tcPr>
            <w:tcW w:w="26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(550)</w:t>
            </w:r>
          </w:p>
        </w:tc>
        <w:tc>
          <w:tcPr>
            <w:tcW w:w="0" w:type="dxa"/>
            <w:vAlign w:val="bottom"/>
          </w:tcPr>
          <w:p>
            <w:pPr>
              <w:spacing w:after="0"/>
              <w:rPr>
                <w:sz w:val="1"/>
                <w:szCs w:val="1"/>
                <w:color w:val="auto"/>
              </w:rPr>
            </w:pPr>
          </w:p>
        </w:tc>
      </w:tr>
      <w:tr>
        <w:trPr>
          <w:trHeight w:val="229"/>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386</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1,312</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1,202</w:t>
            </w: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1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490</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1,312</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1,198</w:t>
            </w: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28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9"/>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470</w:t>
            </w: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1,272</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1,165</w:t>
            </w: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14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1"/>
                <w:szCs w:val="21"/>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9"/>
        </w:trPr>
        <w:tc>
          <w:tcPr>
            <w:tcW w:w="6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 common stockholders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470</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1,272</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982</w:t>
            </w:r>
          </w:p>
        </w:tc>
        <w:tc>
          <w:tcPr>
            <w:tcW w:w="0" w:type="dxa"/>
            <w:vAlign w:val="bottom"/>
          </w:tcPr>
          <w:p>
            <w:pPr>
              <w:spacing w:after="0"/>
              <w:rPr>
                <w:sz w:val="1"/>
                <w:szCs w:val="1"/>
                <w:color w:val="auto"/>
              </w:rPr>
            </w:pPr>
          </w:p>
        </w:tc>
      </w:tr>
      <w:tr>
        <w:trPr>
          <w:trHeight w:val="21"/>
        </w:trPr>
        <w:tc>
          <w:tcPr>
            <w:tcW w:w="6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6120" w:type="dxa"/>
            <w:vAlign w:val="bottom"/>
            <w:shd w:val="clear" w:color="auto" w:fill="E4E4E4"/>
          </w:tcPr>
          <w:p>
            <w:pPr>
              <w:spacing w:after="0"/>
              <w:rPr>
                <w:sz w:val="21"/>
                <w:szCs w:val="21"/>
                <w:color w:val="auto"/>
              </w:rPr>
            </w:pPr>
          </w:p>
        </w:tc>
        <w:tc>
          <w:tcPr>
            <w:tcW w:w="140" w:type="dxa"/>
            <w:vAlign w:val="bottom"/>
            <w:shd w:val="clear" w:color="auto" w:fill="E4E4E4"/>
          </w:tcPr>
          <w:p>
            <w:pPr>
              <w:spacing w:after="0"/>
              <w:rPr>
                <w:sz w:val="21"/>
                <w:szCs w:val="21"/>
                <w:color w:val="auto"/>
              </w:rPr>
            </w:pPr>
          </w:p>
        </w:tc>
        <w:tc>
          <w:tcPr>
            <w:tcW w:w="1100" w:type="dxa"/>
            <w:vAlign w:val="bottom"/>
            <w:shd w:val="clear" w:color="auto" w:fill="E4E4E4"/>
          </w:tcPr>
          <w:p>
            <w:pPr>
              <w:spacing w:after="0"/>
              <w:rPr>
                <w:sz w:val="21"/>
                <w:szCs w:val="21"/>
                <w:color w:val="auto"/>
              </w:rPr>
            </w:pPr>
          </w:p>
        </w:tc>
        <w:tc>
          <w:tcPr>
            <w:tcW w:w="280" w:type="dxa"/>
            <w:vAlign w:val="bottom"/>
            <w:shd w:val="clear" w:color="auto" w:fill="E4E4E4"/>
          </w:tcPr>
          <w:p>
            <w:pPr>
              <w:spacing w:after="0"/>
              <w:rPr>
                <w:sz w:val="21"/>
                <w:szCs w:val="21"/>
                <w:color w:val="auto"/>
              </w:rPr>
            </w:pPr>
          </w:p>
        </w:tc>
        <w:tc>
          <w:tcPr>
            <w:tcW w:w="98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100" w:type="dxa"/>
            <w:vAlign w:val="bottom"/>
            <w:shd w:val="clear" w:color="auto" w:fill="E4E4E4"/>
          </w:tcPr>
          <w:p>
            <w:pPr>
              <w:spacing w:after="0"/>
              <w:rPr>
                <w:sz w:val="21"/>
                <w:szCs w:val="21"/>
                <w:color w:val="auto"/>
              </w:rPr>
            </w:pPr>
          </w:p>
        </w:tc>
        <w:tc>
          <w:tcPr>
            <w:tcW w:w="260" w:type="dxa"/>
            <w:vAlign w:val="bottom"/>
            <w:shd w:val="clear" w:color="auto" w:fill="E4E4E4"/>
          </w:tcPr>
          <w:p>
            <w:pPr>
              <w:spacing w:after="0"/>
              <w:rPr>
                <w:sz w:val="21"/>
                <w:szCs w:val="21"/>
                <w:color w:val="auto"/>
              </w:rPr>
            </w:pPr>
          </w:p>
        </w:tc>
        <w:tc>
          <w:tcPr>
            <w:tcW w:w="98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20"/>
              <w:spacing w:after="0" w:line="175" w:lineRule="exact"/>
              <w:rPr>
                <w:sz w:val="20"/>
                <w:szCs w:val="20"/>
                <w:color w:val="auto"/>
              </w:rPr>
            </w:pPr>
            <w:r>
              <w:rPr>
                <w:rFonts w:ascii="Arial" w:cs="Arial" w:eastAsia="Arial" w:hAnsi="Arial"/>
                <w:sz w:val="16"/>
                <w:szCs w:val="16"/>
                <w:b w:val="1"/>
                <w:bCs w:val="1"/>
                <w:color w:val="auto"/>
              </w:rPr>
              <w:t>Earnings per share from continuing operations attributable to GE HealthCare</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common stockholders: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0.83</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2.79</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28"/>
        </w:trPr>
        <w:tc>
          <w:tcPr>
            <w:tcW w:w="6120" w:type="dxa"/>
            <w:vAlign w:val="bottom"/>
          </w:tcPr>
          <w:p>
            <w:pPr>
              <w:ind w:left="12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9"/>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1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Earnings per share attributable to GE HealthCare common stockholders:</w:t>
            </w:r>
          </w:p>
        </w:tc>
        <w:tc>
          <w:tcPr>
            <w:tcW w:w="14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9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20" w:type="dxa"/>
            <w:vAlign w:val="bottom"/>
          </w:tcPr>
          <w:p>
            <w:pPr>
              <w:ind w:left="120"/>
              <w:spacing w:after="0"/>
              <w:rPr>
                <w:sz w:val="20"/>
                <w:szCs w:val="20"/>
                <w:color w:val="auto"/>
              </w:rPr>
            </w:pPr>
            <w:r>
              <w:rPr>
                <w:rFonts w:ascii="Arial" w:cs="Arial" w:eastAsia="Arial" w:hAnsi="Arial"/>
                <w:sz w:val="16"/>
                <w:szCs w:val="16"/>
                <w:color w:val="auto"/>
              </w:rPr>
              <w:t>Basic</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9"/>
        </w:trPr>
        <w:tc>
          <w:tcPr>
            <w:tcW w:w="6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1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0.82</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26"/>
        </w:trPr>
        <w:tc>
          <w:tcPr>
            <w:tcW w:w="6120" w:type="dxa"/>
            <w:vAlign w:val="bottom"/>
          </w:tcPr>
          <w:p>
            <w:pPr>
              <w:ind w:left="20"/>
              <w:spacing w:after="0"/>
              <w:rPr>
                <w:sz w:val="20"/>
                <w:szCs w:val="20"/>
                <w:color w:val="auto"/>
              </w:rPr>
            </w:pPr>
            <w:r>
              <w:rPr>
                <w:rFonts w:ascii="Arial" w:cs="Arial" w:eastAsia="Arial" w:hAnsi="Arial"/>
                <w:sz w:val="16"/>
                <w:szCs w:val="16"/>
                <w:b w:val="1"/>
                <w:bCs w:val="1"/>
                <w:color w:val="auto"/>
              </w:rPr>
              <w:t>Weighted-average number of shares outstanding:</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1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457</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456</w:t>
            </w:r>
          </w:p>
        </w:tc>
        <w:tc>
          <w:tcPr>
            <w:tcW w:w="2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28"/>
        </w:trPr>
        <w:tc>
          <w:tcPr>
            <w:tcW w:w="6120" w:type="dxa"/>
            <w:vAlign w:val="bottom"/>
          </w:tcPr>
          <w:p>
            <w:pPr>
              <w:ind w:left="12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459</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9"/>
        </w:trPr>
        <w:tc>
          <w:tcPr>
            <w:tcW w:w="6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51"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6960" w:type="dxa"/>
            <w:vAlign w:val="bottom"/>
            <w:gridSpan w:val="3"/>
          </w:tcPr>
          <w:p>
            <w:pPr>
              <w:ind w:left="20"/>
              <w:spacing w:after="0"/>
              <w:rPr>
                <w:sz w:val="20"/>
                <w:szCs w:val="20"/>
                <w:color w:val="auto"/>
              </w:rPr>
            </w:pPr>
            <w:r>
              <w:rPr>
                <w:rFonts w:ascii="Arial" w:cs="Arial" w:eastAsia="Arial" w:hAnsi="Arial"/>
                <w:sz w:val="16"/>
                <w:szCs w:val="16"/>
                <w:b w:val="1"/>
                <w:bCs w:val="1"/>
                <w:color w:val="auto"/>
              </w:rPr>
              <w:t>Condensed Consolidated Statements of Comprehensive Income (Loss) (Unaudited)</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center"/>
              <w:ind w:right="300"/>
              <w:spacing w:after="0" w:line="182" w:lineRule="exact"/>
              <w:rPr>
                <w:sz w:val="20"/>
                <w:szCs w:val="20"/>
                <w:color w:val="auto"/>
              </w:rPr>
            </w:pPr>
            <w:r>
              <w:rPr>
                <w:rFonts w:ascii="Arial" w:cs="Arial" w:eastAsia="Arial" w:hAnsi="Arial"/>
                <w:sz w:val="16"/>
                <w:szCs w:val="16"/>
                <w:b w:val="1"/>
                <w:bCs w:val="1"/>
                <w:color w:val="454545"/>
              </w:rPr>
              <w:t>For the three months ended</w:t>
            </w:r>
          </w:p>
        </w:tc>
        <w:tc>
          <w:tcPr>
            <w:tcW w:w="220" w:type="dxa"/>
            <w:vAlign w:val="bottom"/>
          </w:tcPr>
          <w:p>
            <w:pPr>
              <w:spacing w:after="0"/>
              <w:rPr>
                <w:sz w:val="15"/>
                <w:szCs w:val="15"/>
                <w:color w:val="auto"/>
              </w:rPr>
            </w:pPr>
          </w:p>
        </w:tc>
        <w:tc>
          <w:tcPr>
            <w:tcW w:w="2580" w:type="dxa"/>
            <w:vAlign w:val="bottom"/>
            <w:gridSpan w:val="3"/>
          </w:tcPr>
          <w:p>
            <w:pPr>
              <w:jc w:val="right"/>
              <w:ind w:right="279"/>
              <w:spacing w:after="0" w:line="182" w:lineRule="exact"/>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454545"/>
              </w:rPr>
              <w:t>September 30</w:t>
            </w:r>
          </w:p>
        </w:tc>
        <w:tc>
          <w:tcPr>
            <w:tcW w:w="220" w:type="dxa"/>
            <w:vAlign w:val="bottom"/>
          </w:tcPr>
          <w:p>
            <w:pPr>
              <w:spacing w:after="0"/>
              <w:rPr>
                <w:sz w:val="19"/>
                <w:szCs w:val="19"/>
                <w:color w:val="auto"/>
              </w:rPr>
            </w:pPr>
          </w:p>
        </w:tc>
        <w:tc>
          <w:tcPr>
            <w:tcW w:w="25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454545"/>
              </w:rPr>
              <w:t>September 30</w:t>
            </w:r>
          </w:p>
        </w:tc>
        <w:tc>
          <w:tcPr>
            <w:tcW w:w="0" w:type="dxa"/>
            <w:vAlign w:val="bottom"/>
          </w:tcPr>
          <w:p>
            <w:pPr>
              <w:spacing w:after="0"/>
              <w:rPr>
                <w:sz w:val="1"/>
                <w:szCs w:val="1"/>
                <w:color w:val="auto"/>
              </w:rPr>
            </w:pPr>
          </w:p>
        </w:tc>
      </w:tr>
      <w:tr>
        <w:trPr>
          <w:trHeight w:val="21"/>
        </w:trPr>
        <w:tc>
          <w:tcPr>
            <w:tcW w:w="556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net of tax)</w:t>
            </w:r>
          </w:p>
        </w:tc>
        <w:tc>
          <w:tcPr>
            <w:tcW w:w="22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5560" w:type="dxa"/>
            <w:vAlign w:val="bottom"/>
            <w:tcBorders>
              <w:bottom w:val="single" w:sz="8" w:color="6022A6"/>
            </w:tcBorders>
            <w:vMerge w:val="continue"/>
          </w:tcPr>
          <w:p>
            <w:pPr>
              <w:spacing w:after="0"/>
              <w:rPr>
                <w:sz w:val="19"/>
                <w:szCs w:val="19"/>
                <w:color w:val="auto"/>
              </w:rPr>
            </w:pPr>
          </w:p>
        </w:tc>
        <w:tc>
          <w:tcPr>
            <w:tcW w:w="22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10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80" w:type="dxa"/>
            <w:vAlign w:val="bottom"/>
            <w:tcBorders>
              <w:bottom w:val="single" w:sz="8" w:color="6022A6"/>
            </w:tcBorders>
          </w:tcPr>
          <w:p>
            <w:pPr>
              <w:spacing w:after="0"/>
              <w:rPr>
                <w:sz w:val="19"/>
                <w:szCs w:val="19"/>
                <w:color w:val="auto"/>
              </w:rPr>
            </w:pPr>
          </w:p>
        </w:tc>
        <w:tc>
          <w:tcPr>
            <w:tcW w:w="22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1080" w:type="dxa"/>
            <w:vAlign w:val="bottom"/>
            <w:tcBorders>
              <w:bottom w:val="single" w:sz="8" w:color="6022A6"/>
            </w:tcBorders>
          </w:tcPr>
          <w:p>
            <w:pPr>
              <w:jc w:val="right"/>
              <w:ind w:right="43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375</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1,272</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1,165</w:t>
            </w:r>
          </w:p>
        </w:tc>
        <w:tc>
          <w:tcPr>
            <w:tcW w:w="0" w:type="dxa"/>
            <w:vAlign w:val="bottom"/>
          </w:tcPr>
          <w:p>
            <w:pPr>
              <w:spacing w:after="0"/>
              <w:rPr>
                <w:sz w:val="1"/>
                <w:szCs w:val="1"/>
                <w:color w:val="auto"/>
              </w:rPr>
            </w:pPr>
          </w:p>
        </w:tc>
      </w:tr>
      <w:tr>
        <w:trPr>
          <w:trHeight w:val="228"/>
        </w:trPr>
        <w:tc>
          <w:tcPr>
            <w:tcW w:w="5560" w:type="dxa"/>
            <w:vAlign w:val="bottom"/>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9"/>
        </w:trPr>
        <w:tc>
          <w:tcPr>
            <w:tcW w:w="5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490</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382</w:t>
            </w:r>
          </w:p>
        </w:tc>
        <w:tc>
          <w:tcPr>
            <w:tcW w:w="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1,312</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1,198</w:t>
            </w:r>
          </w:p>
        </w:tc>
        <w:tc>
          <w:tcPr>
            <w:tcW w:w="0" w:type="dxa"/>
            <w:vAlign w:val="bottom"/>
          </w:tcPr>
          <w:p>
            <w:pPr>
              <w:spacing w:after="0"/>
              <w:rPr>
                <w:sz w:val="1"/>
                <w:szCs w:val="1"/>
                <w:color w:val="auto"/>
              </w:rPr>
            </w:pPr>
          </w:p>
        </w:tc>
      </w:tr>
      <w:tr>
        <w:trPr>
          <w:trHeight w:val="220"/>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Currency translation adjustments – net of taxes</w:t>
            </w:r>
          </w:p>
        </w:tc>
        <w:tc>
          <w:tcPr>
            <w:tcW w:w="2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177</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c>
          <w:tcPr>
            <w:tcW w:w="3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27"/>
        </w:trPr>
        <w:tc>
          <w:tcPr>
            <w:tcW w:w="5560" w:type="dxa"/>
            <w:vAlign w:val="bottom"/>
          </w:tcPr>
          <w:p>
            <w:pPr>
              <w:ind w:left="20"/>
              <w:spacing w:after="0"/>
              <w:rPr>
                <w:sz w:val="20"/>
                <w:szCs w:val="20"/>
                <w:color w:val="auto"/>
              </w:rPr>
            </w:pPr>
            <w:r>
              <w:rPr>
                <w:rFonts w:ascii="Arial" w:cs="Arial" w:eastAsia="Arial" w:hAnsi="Arial"/>
                <w:sz w:val="16"/>
                <w:szCs w:val="16"/>
                <w:color w:val="auto"/>
              </w:rPr>
              <w:t>Pension and Other Postretirement Plans – net of taxes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9"/>
        </w:trPr>
        <w:tc>
          <w:tcPr>
            <w:tcW w:w="5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 – net of taxes</w:t>
            </w:r>
          </w:p>
        </w:tc>
        <w:tc>
          <w:tcPr>
            <w:tcW w:w="22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32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9"/>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(385)</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(437)</w:t>
            </w:r>
          </w:p>
        </w:tc>
        <w:tc>
          <w:tcPr>
            <w:tcW w:w="0" w:type="dxa"/>
            <w:vAlign w:val="bottom"/>
          </w:tcPr>
          <w:p>
            <w:pPr>
              <w:spacing w:after="0"/>
              <w:rPr>
                <w:sz w:val="1"/>
                <w:szCs w:val="1"/>
                <w:color w:val="auto"/>
              </w:rPr>
            </w:pPr>
          </w:p>
        </w:tc>
      </w:tr>
      <w:tr>
        <w:trPr>
          <w:trHeight w:val="21"/>
        </w:trPr>
        <w:tc>
          <w:tcPr>
            <w:tcW w:w="5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2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563</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1,232</w:t>
            </w:r>
          </w:p>
        </w:tc>
        <w:tc>
          <w:tcPr>
            <w:tcW w:w="3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761</w:t>
            </w:r>
          </w:p>
        </w:tc>
        <w:tc>
          <w:tcPr>
            <w:tcW w:w="0" w:type="dxa"/>
            <w:vAlign w:val="bottom"/>
          </w:tcPr>
          <w:p>
            <w:pPr>
              <w:spacing w:after="0"/>
              <w:rPr>
                <w:sz w:val="1"/>
                <w:szCs w:val="1"/>
                <w:color w:val="auto"/>
              </w:rPr>
            </w:pPr>
          </w:p>
        </w:tc>
      </w:tr>
      <w:tr>
        <w:trPr>
          <w:trHeight w:val="221"/>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9"/>
        </w:trPr>
        <w:tc>
          <w:tcPr>
            <w:tcW w:w="5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544</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1,192</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763</w:t>
            </w:r>
          </w:p>
        </w:tc>
        <w:tc>
          <w:tcPr>
            <w:tcW w:w="0" w:type="dxa"/>
            <w:vAlign w:val="bottom"/>
          </w:tcPr>
          <w:p>
            <w:pPr>
              <w:spacing w:after="0"/>
              <w:rPr>
                <w:sz w:val="1"/>
                <w:szCs w:val="1"/>
                <w:color w:val="auto"/>
              </w:rPr>
            </w:pPr>
          </w:p>
        </w:tc>
      </w:tr>
      <w:tr>
        <w:trPr>
          <w:trHeight w:val="20"/>
        </w:trPr>
        <w:tc>
          <w:tcPr>
            <w:tcW w:w="5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Financial Position (Unaudited)</w:t>
            </w:r>
          </w:p>
        </w:tc>
        <w:tc>
          <w:tcPr>
            <w:tcW w:w="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6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68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16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 2024</w:t>
            </w:r>
          </w:p>
        </w:tc>
        <w:tc>
          <w:tcPr>
            <w:tcW w:w="12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2023</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60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3,568</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$104 and $98</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3,418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3,525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Due from related parties</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2,124</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1,960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current assets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assets</w:t>
            </w:r>
          </w:p>
        </w:tc>
        <w:tc>
          <w:tcPr>
            <w:tcW w:w="60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10,638</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9,410</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Property, plant, and equipment – net</w:t>
            </w:r>
          </w:p>
        </w:tc>
        <w:tc>
          <w:tcPr>
            <w:tcW w:w="6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2,539</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13,138</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12,936</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Other intangible assets – net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4,309</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assets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2,098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assets</w:t>
            </w:r>
          </w:p>
        </w:tc>
        <w:tc>
          <w:tcPr>
            <w:tcW w:w="60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33,855</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32,454</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Short-term borrowings</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Accounts payable</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2,911</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2,947</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Due to related parties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1,915</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1,422</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6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1,409</w:t>
            </w:r>
          </w:p>
        </w:tc>
        <w:tc>
          <w:tcPr>
            <w:tcW w:w="12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6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8,670</w:t>
            </w: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8,981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9,306</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8,436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5,388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5,782</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1,877</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60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25,343</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25,144</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6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60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177</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0" w:type="dxa"/>
            <w:vAlign w:val="bottom"/>
          </w:tcPr>
          <w:p>
            <w:pPr>
              <w:spacing w:after="0"/>
              <w:rPr>
                <w:sz w:val="1"/>
                <w:szCs w:val="1"/>
                <w:color w:val="auto"/>
              </w:rPr>
            </w:pPr>
          </w:p>
        </w:tc>
      </w:tr>
      <w:tr>
        <w:trPr>
          <w:trHeight w:val="20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Common stock, par value $0.01 per share, 1,000,000,000 shares authorized, 457,144,443 shares issued as</w:t>
            </w:r>
          </w:p>
        </w:tc>
        <w:tc>
          <w:tcPr>
            <w:tcW w:w="6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40" w:type="dxa"/>
            <w:vAlign w:val="bottom"/>
          </w:tcPr>
          <w:p>
            <w:pPr>
              <w:ind w:left="20"/>
              <w:spacing w:after="0"/>
              <w:rPr>
                <w:sz w:val="20"/>
                <w:szCs w:val="20"/>
                <w:color w:val="auto"/>
              </w:rPr>
            </w:pPr>
            <w:r>
              <w:rPr>
                <w:rFonts w:ascii="Arial" w:cs="Arial" w:eastAsia="Arial" w:hAnsi="Arial"/>
                <w:sz w:val="16"/>
                <w:szCs w:val="16"/>
                <w:color w:val="auto"/>
              </w:rPr>
              <w:t>of September 30, 2024; 455,342,290 shares issued as of December 31, 2023</w:t>
            </w:r>
          </w:p>
        </w:tc>
        <w:tc>
          <w:tcPr>
            <w:tcW w:w="6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Treasury stock, at cost, 291,053 shares as of September 30, 2024 and 0 shares as of December 31, 2023</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6,551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6,493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Retained earnings</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2,558</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1,326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Accumulated other comprehensive income (loss) – net</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(771)</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(691)</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6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8,317</w:t>
            </w:r>
          </w:p>
        </w:tc>
        <w:tc>
          <w:tcPr>
            <w:tcW w:w="12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7,133</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6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60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8,335</w:t>
            </w:r>
          </w:p>
        </w:tc>
        <w:tc>
          <w:tcPr>
            <w:tcW w:w="12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33,855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32,454</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00"/>
          </w:cols>
          <w:pgMar w:left="340" w:top="119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92" w:right="35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23"/>
        </w:trPr>
        <w:tc>
          <w:tcPr>
            <w:tcW w:w="6120" w:type="dxa"/>
            <w:vAlign w:val="bottom"/>
            <w:gridSpan w:val="7"/>
          </w:tcPr>
          <w:p>
            <w:pPr>
              <w:ind w:left="20"/>
              <w:spacing w:after="0"/>
              <w:rPr>
                <w:sz w:val="20"/>
                <w:szCs w:val="20"/>
                <w:color w:val="auto"/>
              </w:rPr>
            </w:pPr>
            <w:r>
              <w:rPr>
                <w:rFonts w:ascii="Arial" w:cs="Arial" w:eastAsia="Arial" w:hAnsi="Arial"/>
                <w:sz w:val="16"/>
                <w:szCs w:val="16"/>
                <w:b w:val="1"/>
                <w:bCs w:val="1"/>
                <w:color w:val="auto"/>
              </w:rPr>
              <w:t>Condensed Consolidated Statements of Changes in Equity (Unaudited)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8"/>
        </w:trPr>
        <w:tc>
          <w:tcPr>
            <w:tcW w:w="25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300" w:type="dxa"/>
            <w:vAlign w:val="bottom"/>
          </w:tcPr>
          <w:p>
            <w:pPr>
              <w:spacing w:after="0"/>
              <w:rPr>
                <w:sz w:val="24"/>
                <w:szCs w:val="24"/>
                <w:color w:val="auto"/>
              </w:rPr>
            </w:pPr>
          </w:p>
        </w:tc>
        <w:tc>
          <w:tcPr>
            <w:tcW w:w="1760" w:type="dxa"/>
            <w:vAlign w:val="bottom"/>
            <w:gridSpan w:val="3"/>
          </w:tcPr>
          <w:p>
            <w:pPr>
              <w:ind w:left="220"/>
              <w:spacing w:after="0"/>
              <w:rPr>
                <w:sz w:val="20"/>
                <w:szCs w:val="20"/>
                <w:color w:val="auto"/>
              </w:rPr>
            </w:pPr>
            <w:r>
              <w:rPr>
                <w:rFonts w:ascii="Arial" w:cs="Arial" w:eastAsia="Arial" w:hAnsi="Arial"/>
                <w:sz w:val="16"/>
                <w:szCs w:val="16"/>
                <w:b w:val="1"/>
                <w:bCs w:val="1"/>
                <w:color w:val="454545"/>
              </w:rPr>
              <w:t>Treasury stock</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540" w:type="dxa"/>
            <w:vAlign w:val="bottom"/>
          </w:tcPr>
          <w:p>
            <w:pPr>
              <w:spacing w:after="0"/>
              <w:rPr>
                <w:sz w:val="14"/>
                <w:szCs w:val="14"/>
                <w:color w:val="auto"/>
              </w:rPr>
            </w:pPr>
          </w:p>
        </w:tc>
        <w:tc>
          <w:tcPr>
            <w:tcW w:w="940" w:type="dxa"/>
            <w:vAlign w:val="bottom"/>
            <w:tcBorders>
              <w:top w:val="single" w:sz="8" w:color="454545"/>
            </w:tcBorders>
          </w:tcPr>
          <w:p>
            <w:pPr>
              <w:spacing w:after="0"/>
              <w:rPr>
                <w:sz w:val="14"/>
                <w:szCs w:val="14"/>
                <w:color w:val="auto"/>
              </w:rPr>
            </w:pPr>
          </w:p>
        </w:tc>
        <w:tc>
          <w:tcPr>
            <w:tcW w:w="580" w:type="dxa"/>
            <w:vAlign w:val="bottom"/>
            <w:tcBorders>
              <w:top w:val="single" w:sz="8" w:color="454545"/>
            </w:tcBorders>
          </w:tcPr>
          <w:p>
            <w:pPr>
              <w:spacing w:after="0"/>
              <w:rPr>
                <w:sz w:val="14"/>
                <w:szCs w:val="14"/>
                <w:color w:val="auto"/>
              </w:rPr>
            </w:pPr>
          </w:p>
        </w:tc>
        <w:tc>
          <w:tcPr>
            <w:tcW w:w="300" w:type="dxa"/>
            <w:vAlign w:val="bottom"/>
            <w:tcBorders>
              <w:top w:val="single" w:sz="8" w:color="454545"/>
            </w:tcBorders>
          </w:tcPr>
          <w:p>
            <w:pPr>
              <w:spacing w:after="0"/>
              <w:rPr>
                <w:sz w:val="14"/>
                <w:szCs w:val="14"/>
                <w:color w:val="auto"/>
              </w:rPr>
            </w:pPr>
          </w:p>
        </w:tc>
        <w:tc>
          <w:tcPr>
            <w:tcW w:w="900" w:type="dxa"/>
            <w:vAlign w:val="bottom"/>
            <w:tcBorders>
              <w:top w:val="single" w:sz="8" w:color="454545"/>
            </w:tcBorders>
          </w:tcPr>
          <w:p>
            <w:pPr>
              <w:spacing w:after="0"/>
              <w:rPr>
                <w:sz w:val="14"/>
                <w:szCs w:val="14"/>
                <w:color w:val="auto"/>
              </w:rPr>
            </w:pPr>
          </w:p>
        </w:tc>
        <w:tc>
          <w:tcPr>
            <w:tcW w:w="720" w:type="dxa"/>
            <w:vAlign w:val="bottom"/>
            <w:tcBorders>
              <w:top w:val="single" w:sz="8" w:color="454545"/>
            </w:tcBorders>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39"/>
              <w:spacing w:after="0" w:line="161" w:lineRule="exact"/>
              <w:rPr>
                <w:sz w:val="20"/>
                <w:szCs w:val="20"/>
                <w:color w:val="auto"/>
              </w:rPr>
            </w:pPr>
            <w:r>
              <w:rPr>
                <w:rFonts w:ascii="Arial" w:cs="Arial" w:eastAsia="Arial" w:hAnsi="Arial"/>
                <w:sz w:val="16"/>
                <w:szCs w:val="16"/>
                <w:b w:val="1"/>
                <w:bCs w:val="1"/>
                <w:color w:val="454545"/>
              </w:rPr>
              <w:t>Accumulated</w:t>
            </w:r>
          </w:p>
        </w:tc>
        <w:tc>
          <w:tcPr>
            <w:tcW w:w="200" w:type="dxa"/>
            <w:vAlign w:val="bottom"/>
          </w:tcPr>
          <w:p>
            <w:pPr>
              <w:spacing w:after="0"/>
              <w:rPr>
                <w:sz w:val="14"/>
                <w:szCs w:val="14"/>
                <w:color w:val="auto"/>
              </w:rPr>
            </w:pPr>
          </w:p>
        </w:tc>
        <w:tc>
          <w:tcPr>
            <w:tcW w:w="10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rPr>
              <w:t>Equity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19"/>
              <w:spacing w:after="0" w:line="175" w:lineRule="exact"/>
              <w:rPr>
                <w:sz w:val="20"/>
                <w:szCs w:val="20"/>
                <w:color w:val="auto"/>
              </w:rPr>
            </w:pPr>
            <w:r>
              <w:rPr>
                <w:rFonts w:ascii="Arial" w:cs="Arial" w:eastAsia="Arial" w:hAnsi="Arial"/>
                <w:sz w:val="16"/>
                <w:szCs w:val="16"/>
                <w:b w:val="1"/>
                <w:bCs w:val="1"/>
                <w:color w:val="454545"/>
                <w:w w:val="99"/>
              </w:rPr>
              <w:t>other</w:t>
            </w: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Additional</w:t>
            </w:r>
          </w:p>
        </w:tc>
        <w:tc>
          <w:tcPr>
            <w:tcW w:w="120" w:type="dxa"/>
            <w:vAlign w:val="bottom"/>
          </w:tcPr>
          <w:p>
            <w:pPr>
              <w:spacing w:after="0"/>
              <w:rPr>
                <w:sz w:val="16"/>
                <w:szCs w:val="16"/>
                <w:color w:val="auto"/>
              </w:rPr>
            </w:pPr>
          </w:p>
        </w:tc>
        <w:tc>
          <w:tcPr>
            <w:tcW w:w="78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454545"/>
                <w:w w:val="97"/>
              </w:rPr>
              <w:t>Retained</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60" w:type="dxa"/>
            <w:vAlign w:val="bottom"/>
          </w:tcPr>
          <w:p>
            <w:pPr>
              <w:spacing w:after="0"/>
              <w:rPr>
                <w:sz w:val="16"/>
                <w:szCs w:val="16"/>
                <w:color w:val="auto"/>
              </w:rPr>
            </w:pPr>
          </w:p>
        </w:tc>
        <w:tc>
          <w:tcPr>
            <w:tcW w:w="74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176"/>
        </w:trPr>
        <w:tc>
          <w:tcPr>
            <w:tcW w:w="2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w w:val="99"/>
              </w:rPr>
              <w:t>paid-in</w:t>
            </w: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3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54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94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Shares</w:t>
            </w:r>
          </w:p>
        </w:tc>
        <w:tc>
          <w:tcPr>
            <w:tcW w:w="880" w:type="dxa"/>
            <w:vAlign w:val="bottom"/>
            <w:tcBorders>
              <w:bottom w:val="single" w:sz="8" w:color="6022A6"/>
            </w:tcBorders>
            <w:gridSpan w:val="2"/>
          </w:tcPr>
          <w:p>
            <w:pPr>
              <w:jc w:val="right"/>
              <w:ind w:right="59"/>
              <w:spacing w:after="0"/>
              <w:rPr>
                <w:sz w:val="20"/>
                <w:szCs w:val="20"/>
                <w:color w:val="auto"/>
              </w:rPr>
            </w:pPr>
            <w:r>
              <w:rPr>
                <w:rFonts w:ascii="Arial" w:cs="Arial" w:eastAsia="Arial" w:hAnsi="Arial"/>
                <w:sz w:val="16"/>
                <w:szCs w:val="16"/>
                <w:b w:val="1"/>
                <w:bCs w:val="1"/>
                <w:color w:val="454545"/>
              </w:rPr>
              <w:t>Amount</w:t>
            </w:r>
          </w:p>
        </w:tc>
        <w:tc>
          <w:tcPr>
            <w:tcW w:w="900" w:type="dxa"/>
            <w:vAlign w:val="bottom"/>
            <w:tcBorders>
              <w:bottom w:val="single" w:sz="8" w:color="6022A6"/>
            </w:tcBorders>
          </w:tcPr>
          <w:p>
            <w:pPr>
              <w:ind w:left="120"/>
              <w:spacing w:after="0"/>
              <w:rPr>
                <w:sz w:val="20"/>
                <w:szCs w:val="20"/>
                <w:color w:val="auto"/>
              </w:rPr>
            </w:pPr>
            <w:r>
              <w:rPr>
                <w:rFonts w:ascii="Arial" w:cs="Arial" w:eastAsia="Arial" w:hAnsi="Arial"/>
                <w:sz w:val="16"/>
                <w:szCs w:val="16"/>
                <w:b w:val="1"/>
                <w:bCs w:val="1"/>
                <w:color w:val="454545"/>
              </w:rPr>
              <w:t>Shares</w:t>
            </w:r>
          </w:p>
        </w:tc>
        <w:tc>
          <w:tcPr>
            <w:tcW w:w="860" w:type="dxa"/>
            <w:vAlign w:val="bottom"/>
            <w:tcBorders>
              <w:bottom w:val="single" w:sz="8" w:color="6022A6"/>
            </w:tcBorders>
            <w:gridSpan w:val="2"/>
          </w:tcPr>
          <w:p>
            <w:pPr>
              <w:spacing w:after="0"/>
              <w:rPr>
                <w:sz w:val="20"/>
                <w:szCs w:val="20"/>
                <w:color w:val="auto"/>
              </w:rPr>
            </w:pPr>
            <w:r>
              <w:rPr>
                <w:rFonts w:ascii="Arial" w:cs="Arial" w:eastAsia="Arial" w:hAnsi="Arial"/>
                <w:sz w:val="16"/>
                <w:szCs w:val="16"/>
                <w:b w:val="1"/>
                <w:bCs w:val="1"/>
                <w:color w:val="454545"/>
              </w:rPr>
              <w:t>Amount</w:t>
            </w:r>
          </w:p>
        </w:tc>
        <w:tc>
          <w:tcPr>
            <w:tcW w:w="74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rPr>
              <w:t>capital</w:t>
            </w:r>
          </w:p>
        </w:tc>
        <w:tc>
          <w:tcPr>
            <w:tcW w:w="120" w:type="dxa"/>
            <w:vAlign w:val="bottom"/>
            <w:tcBorders>
              <w:bottom w:val="single" w:sz="8" w:color="6022A6"/>
            </w:tcBorders>
          </w:tcPr>
          <w:p>
            <w:pPr>
              <w:spacing w:after="0"/>
              <w:rPr>
                <w:sz w:val="20"/>
                <w:szCs w:val="20"/>
                <w:color w:val="auto"/>
              </w:rPr>
            </w:pPr>
          </w:p>
        </w:tc>
        <w:tc>
          <w:tcPr>
            <w:tcW w:w="780" w:type="dxa"/>
            <w:vAlign w:val="bottom"/>
            <w:tcBorders>
              <w:bottom w:val="single" w:sz="8" w:color="6022A6"/>
            </w:tcBorders>
          </w:tcPr>
          <w:p>
            <w:pPr>
              <w:jc w:val="right"/>
              <w:ind w:right="19"/>
              <w:spacing w:after="0"/>
              <w:rPr>
                <w:sz w:val="20"/>
                <w:szCs w:val="20"/>
                <w:color w:val="auto"/>
              </w:rPr>
            </w:pPr>
            <w:r>
              <w:rPr>
                <w:rFonts w:ascii="Arial" w:cs="Arial" w:eastAsia="Arial" w:hAnsi="Arial"/>
                <w:sz w:val="16"/>
                <w:szCs w:val="16"/>
                <w:b w:val="1"/>
                <w:bCs w:val="1"/>
                <w:color w:val="454545"/>
                <w:w w:val="98"/>
              </w:rPr>
              <w:t>earnings</w:t>
            </w:r>
          </w:p>
        </w:tc>
        <w:tc>
          <w:tcPr>
            <w:tcW w:w="140" w:type="dxa"/>
            <w:vAlign w:val="bottom"/>
            <w:tcBorders>
              <w:bottom w:val="single" w:sz="8" w:color="6022A6"/>
            </w:tcBorders>
          </w:tcPr>
          <w:p>
            <w:pPr>
              <w:spacing w:after="0"/>
              <w:rPr>
                <w:sz w:val="20"/>
                <w:szCs w:val="20"/>
                <w:color w:val="auto"/>
              </w:rPr>
            </w:pPr>
          </w:p>
        </w:tc>
        <w:tc>
          <w:tcPr>
            <w:tcW w:w="118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w w:val="99"/>
              </w:rPr>
              <w:t>net</w:t>
            </w:r>
          </w:p>
        </w:tc>
        <w:tc>
          <w:tcPr>
            <w:tcW w:w="200" w:type="dxa"/>
            <w:vAlign w:val="bottom"/>
            <w:tcBorders>
              <w:bottom w:val="single" w:sz="8" w:color="6022A6"/>
            </w:tcBorders>
          </w:tcPr>
          <w:p>
            <w:pPr>
              <w:spacing w:after="0"/>
              <w:rPr>
                <w:sz w:val="20"/>
                <w:szCs w:val="20"/>
                <w:color w:val="auto"/>
              </w:rPr>
            </w:pPr>
          </w:p>
        </w:tc>
        <w:tc>
          <w:tcPr>
            <w:tcW w:w="100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8"/>
              </w:rPr>
              <w:t>interests</w:t>
            </w:r>
          </w:p>
        </w:tc>
        <w:tc>
          <w:tcPr>
            <w:tcW w:w="16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4"/>
        </w:trPr>
        <w:tc>
          <w:tcPr>
            <w:tcW w:w="2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2024</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457</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5</w:t>
            </w:r>
          </w:p>
        </w:tc>
        <w:tc>
          <w:tcPr>
            <w:tcW w:w="900" w:type="dxa"/>
            <w:vAlign w:val="bottom"/>
            <w:tcBorders>
              <w:bottom w:val="single" w:sz="8" w:color="E4E4E4"/>
            </w:tcBorders>
            <w:shd w:val="clear" w:color="auto" w:fill="E4E4E4"/>
          </w:tcPr>
          <w:p>
            <w:pPr>
              <w:ind w:left="560"/>
              <w:spacing w:after="0"/>
              <w:rPr>
                <w:sz w:val="20"/>
                <w:szCs w:val="20"/>
                <w:color w:val="auto"/>
              </w:rPr>
            </w:pPr>
            <w:r>
              <w:rPr>
                <w:rFonts w:ascii="Arial" w:cs="Arial" w:eastAsia="Arial" w:hAnsi="Arial"/>
                <w:sz w:val="16"/>
                <w:szCs w:val="16"/>
                <w:b w:val="1"/>
                <w:bCs w:val="1"/>
                <w:color w:val="auto"/>
              </w:rPr>
              <w:t>— $</w:t>
            </w:r>
          </w:p>
        </w:tc>
        <w:tc>
          <w:tcPr>
            <w:tcW w:w="860" w:type="dxa"/>
            <w:vAlign w:val="bottom"/>
            <w:tcBorders>
              <w:bottom w:val="single" w:sz="8" w:color="E4E4E4"/>
            </w:tcBorders>
            <w:gridSpan w:val="2"/>
            <w:shd w:val="clear" w:color="auto" w:fill="E4E4E4"/>
          </w:tcPr>
          <w:p>
            <w:pPr>
              <w:ind w:left="480"/>
              <w:spacing w:after="0"/>
              <w:rPr>
                <w:sz w:val="20"/>
                <w:szCs w:val="20"/>
                <w:color w:val="auto"/>
              </w:rPr>
            </w:pPr>
            <w:r>
              <w:rPr>
                <w:rFonts w:ascii="Arial" w:cs="Arial" w:eastAsia="Arial" w:hAnsi="Arial"/>
                <w:sz w:val="16"/>
                <w:szCs w:val="16"/>
                <w:b w:val="1"/>
                <w:bCs w:val="1"/>
                <w:color w:val="auto"/>
              </w:rPr>
              <w:t>— $</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6,540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2,101</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(845)</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7,817</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Issuance of shares under equity</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40" w:type="dxa"/>
            <w:vAlign w:val="bottom"/>
          </w:tcPr>
          <w:p>
            <w:pPr>
              <w:ind w:left="20"/>
              <w:spacing w:after="0"/>
              <w:rPr>
                <w:sz w:val="20"/>
                <w:szCs w:val="20"/>
                <w:color w:val="auto"/>
              </w:rPr>
            </w:pPr>
            <w:r>
              <w:rPr>
                <w:rFonts w:ascii="Arial" w:cs="Arial" w:eastAsia="Arial" w:hAnsi="Arial"/>
                <w:sz w:val="16"/>
                <w:szCs w:val="16"/>
                <w:color w:val="auto"/>
              </w:rPr>
              <w:t>awards, net of shares withheld for</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ind w:left="5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5"/>
        </w:trPr>
        <w:tc>
          <w:tcPr>
            <w:tcW w:w="2540" w:type="dxa"/>
            <w:vAlign w:val="bottom"/>
          </w:tcPr>
          <w:p>
            <w:pPr>
              <w:ind w:left="20"/>
              <w:spacing w:after="0"/>
              <w:rPr>
                <w:sz w:val="20"/>
                <w:szCs w:val="20"/>
                <w:color w:val="auto"/>
              </w:rPr>
            </w:pPr>
            <w:r>
              <w:rPr>
                <w:rFonts w:ascii="Arial" w:cs="Arial" w:eastAsia="Arial" w:hAnsi="Arial"/>
                <w:sz w:val="16"/>
                <w:szCs w:val="16"/>
                <w:color w:val="auto"/>
              </w:rPr>
              <w:t>taxes and other</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08914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291465"/>
                    </a:xfrm>
                    <a:prstGeom prst="rect">
                      <a:avLst/>
                    </a:prstGeom>
                    <a:noFill/>
                  </pic:spPr>
                </pic:pic>
              </a:graphicData>
            </a:graphic>
          </wp:anchor>
        </w:drawing>
      </w:r>
    </w:p>
    <w:p>
      <w:pPr>
        <w:sectPr>
          <w:pgSz w:w="11900" w:h="16838" w:orient="portrait"/>
          <w:cols w:equalWidth="0" w:num="1">
            <w:col w:w="11180"/>
          </w:cols>
          <w:pgMar w:left="360" w:top="1192" w:right="359" w:bottom="1440" w:gutter="0" w:footer="0" w:header="0"/>
        </w:sectPr>
      </w:pPr>
    </w:p>
    <w:p>
      <w:pPr>
        <w:spacing w:after="0" w:line="42" w:lineRule="exact"/>
        <w:rPr>
          <w:sz w:val="20"/>
          <w:szCs w:val="20"/>
          <w:color w:val="auto"/>
        </w:rPr>
      </w:pPr>
    </w:p>
    <w:p>
      <w:pPr>
        <w:ind w:left="20" w:right="420"/>
        <w:spacing w:after="0" w:line="299" w:lineRule="auto"/>
        <w:rPr>
          <w:sz w:val="20"/>
          <w:szCs w:val="20"/>
          <w:color w:val="auto"/>
        </w:rPr>
      </w:pPr>
      <w:r>
        <w:rPr>
          <w:rFonts w:ascii="Arial" w:cs="Arial" w:eastAsia="Arial" w:hAnsi="Arial"/>
          <w:sz w:val="16"/>
          <w:szCs w:val="16"/>
          <w:color w:val="auto"/>
        </w:rPr>
        <w:t>Net income attributable to GE HealthCare</w:t>
      </w:r>
    </w:p>
    <w:p>
      <w:pPr>
        <w:spacing w:after="0" w:line="1" w:lineRule="exact"/>
        <w:rPr>
          <w:sz w:val="20"/>
          <w:szCs w:val="20"/>
          <w:color w:val="auto"/>
        </w:rPr>
      </w:pPr>
    </w:p>
    <w:p>
      <w:pPr>
        <w:ind w:left="20" w:right="380"/>
        <w:spacing w:after="0" w:line="299" w:lineRule="auto"/>
        <w:rPr>
          <w:sz w:val="20"/>
          <w:szCs w:val="20"/>
          <w:color w:val="auto"/>
        </w:rPr>
      </w:pPr>
      <w:r>
        <w:rPr>
          <w:rFonts w:ascii="Arial" w:cs="Arial" w:eastAsia="Arial" w:hAnsi="Arial"/>
          <w:sz w:val="16"/>
          <w:szCs w:val="16"/>
          <w:color w:val="auto"/>
        </w:rPr>
        <w:t>Dividends declared ($0.03 per common share)</w:t>
      </w:r>
    </w:p>
    <w:p>
      <w:pPr>
        <w:spacing w:after="0" w:line="1" w:lineRule="exact"/>
        <w:rPr>
          <w:sz w:val="20"/>
          <w:szCs w:val="20"/>
          <w:color w:val="auto"/>
        </w:rPr>
      </w:pPr>
    </w:p>
    <w:p>
      <w:pPr>
        <w:ind w:left="20" w:right="420"/>
        <w:spacing w:after="0" w:line="284" w:lineRule="auto"/>
        <w:rPr>
          <w:sz w:val="20"/>
          <w:szCs w:val="20"/>
          <w:color w:val="auto"/>
        </w:rPr>
      </w:pPr>
      <w:r>
        <w:rPr>
          <w:rFonts w:ascii="Arial" w:cs="Arial" w:eastAsia="Arial" w:hAnsi="Arial"/>
          <w:sz w:val="16"/>
          <w:szCs w:val="16"/>
          <w:color w:val="auto"/>
        </w:rPr>
        <w:t>Other comprehensive income (loss) attributable to GE HealthCare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ind w:left="320"/>
              <w:spacing w:after="0"/>
              <w:rPr>
                <w:sz w:val="20"/>
                <w:szCs w:val="20"/>
                <w:color w:val="auto"/>
              </w:rPr>
            </w:pPr>
            <w:r>
              <w:rPr>
                <w:rFonts w:ascii="Arial" w:cs="Arial" w:eastAsia="Arial" w:hAnsi="Arial"/>
                <w:sz w:val="16"/>
                <w:szCs w:val="16"/>
                <w:color w:val="auto"/>
              </w:rPr>
              <w:t>—</w:t>
            </w:r>
          </w:p>
        </w:tc>
        <w:tc>
          <w:tcPr>
            <w:tcW w:w="820" w:type="dxa"/>
            <w:vAlign w:val="bottom"/>
          </w:tcPr>
          <w:p>
            <w:pPr>
              <w:ind w:left="340"/>
              <w:spacing w:after="0"/>
              <w:rPr>
                <w:sz w:val="20"/>
                <w:szCs w:val="20"/>
                <w:color w:val="auto"/>
              </w:rPr>
            </w:pPr>
            <w:r>
              <w:rPr>
                <w:rFonts w:ascii="Arial" w:cs="Arial" w:eastAsia="Arial" w:hAnsi="Arial"/>
                <w:sz w:val="16"/>
                <w:szCs w:val="16"/>
                <w:color w:val="auto"/>
              </w:rPr>
              <w:t>—</w:t>
            </w: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c>
          <w:tcPr>
            <w:tcW w:w="860" w:type="dxa"/>
            <w:vAlign w:val="bottom"/>
          </w:tcPr>
          <w:p>
            <w:pPr>
              <w:ind w:left="3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9"/>
              <w:spacing w:after="0"/>
              <w:rPr>
                <w:sz w:val="20"/>
                <w:szCs w:val="20"/>
                <w:color w:val="auto"/>
              </w:rPr>
            </w:pPr>
            <w:r>
              <w:rPr>
                <w:rFonts w:ascii="Arial" w:cs="Arial" w:eastAsia="Arial" w:hAnsi="Arial"/>
                <w:sz w:val="16"/>
                <w:szCs w:val="16"/>
                <w:color w:val="auto"/>
              </w:rPr>
              <w:t>470</w:t>
            </w: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Pr>
          <w:p>
            <w:pPr>
              <w:ind w:lef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ind w:left="320"/>
              <w:spacing w:after="0"/>
              <w:rPr>
                <w:sz w:val="20"/>
                <w:szCs w:val="20"/>
                <w:color w:val="auto"/>
              </w:rPr>
            </w:pPr>
            <w:r>
              <w:rPr>
                <w:rFonts w:ascii="Arial" w:cs="Arial" w:eastAsia="Arial" w:hAnsi="Arial"/>
                <w:sz w:val="16"/>
                <w:szCs w:val="16"/>
                <w:color w:val="auto"/>
              </w:rPr>
              <w:t>—</w:t>
            </w:r>
          </w:p>
        </w:tc>
        <w:tc>
          <w:tcPr>
            <w:tcW w:w="820" w:type="dxa"/>
            <w:vAlign w:val="bottom"/>
          </w:tcPr>
          <w:p>
            <w:pPr>
              <w:ind w:left="340"/>
              <w:spacing w:after="0"/>
              <w:rPr>
                <w:sz w:val="20"/>
                <w:szCs w:val="20"/>
                <w:color w:val="auto"/>
              </w:rPr>
            </w:pPr>
            <w:r>
              <w:rPr>
                <w:rFonts w:ascii="Arial" w:cs="Arial" w:eastAsia="Arial" w:hAnsi="Arial"/>
                <w:sz w:val="16"/>
                <w:szCs w:val="16"/>
                <w:color w:val="auto"/>
              </w:rPr>
              <w:t>—</w:t>
            </w: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c>
          <w:tcPr>
            <w:tcW w:w="860" w:type="dxa"/>
            <w:vAlign w:val="bottom"/>
          </w:tcPr>
          <w:p>
            <w:pPr>
              <w:ind w:left="3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59"/>
              <w:spacing w:after="0"/>
              <w:rPr>
                <w:sz w:val="20"/>
                <w:szCs w:val="20"/>
                <w:color w:val="auto"/>
              </w:rPr>
            </w:pPr>
            <w:r>
              <w:rPr>
                <w:rFonts w:ascii="Arial" w:cs="Arial" w:eastAsia="Arial" w:hAnsi="Arial"/>
                <w:sz w:val="16"/>
                <w:szCs w:val="16"/>
                <w:color w:val="auto"/>
              </w:rPr>
              <w:t>(14)</w:t>
            </w: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Pr>
          <w:p>
            <w:pPr>
              <w:ind w:lef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567"/>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ind w:left="320"/>
              <w:spacing w:after="0"/>
              <w:rPr>
                <w:sz w:val="20"/>
                <w:szCs w:val="20"/>
                <w:color w:val="auto"/>
              </w:rPr>
            </w:pPr>
            <w:r>
              <w:rPr>
                <w:rFonts w:ascii="Arial" w:cs="Arial" w:eastAsia="Arial" w:hAnsi="Arial"/>
                <w:sz w:val="16"/>
                <w:szCs w:val="16"/>
                <w:color w:val="auto"/>
              </w:rPr>
              <w:t>—</w:t>
            </w:r>
          </w:p>
        </w:tc>
        <w:tc>
          <w:tcPr>
            <w:tcW w:w="820" w:type="dxa"/>
            <w:vAlign w:val="bottom"/>
          </w:tcPr>
          <w:p>
            <w:pPr>
              <w:ind w:left="340"/>
              <w:spacing w:after="0"/>
              <w:rPr>
                <w:sz w:val="20"/>
                <w:szCs w:val="20"/>
                <w:color w:val="auto"/>
              </w:rPr>
            </w:pPr>
            <w:r>
              <w:rPr>
                <w:rFonts w:ascii="Arial" w:cs="Arial" w:eastAsia="Arial" w:hAnsi="Arial"/>
                <w:sz w:val="16"/>
                <w:szCs w:val="16"/>
                <w:color w:val="auto"/>
              </w:rPr>
              <w:t>—</w:t>
            </w:r>
          </w:p>
        </w:tc>
        <w:tc>
          <w:tcPr>
            <w:tcW w:w="860" w:type="dxa"/>
            <w:vAlign w:val="bottom"/>
          </w:tcPr>
          <w:p>
            <w:pPr>
              <w:ind w:left="340"/>
              <w:spacing w:after="0"/>
              <w:rPr>
                <w:sz w:val="20"/>
                <w:szCs w:val="20"/>
                <w:color w:val="auto"/>
              </w:rPr>
            </w:pPr>
            <w:r>
              <w:rPr>
                <w:rFonts w:ascii="Arial" w:cs="Arial" w:eastAsia="Arial" w:hAnsi="Arial"/>
                <w:sz w:val="16"/>
                <w:szCs w:val="16"/>
                <w:color w:val="auto"/>
              </w:rPr>
              <w:t>—</w:t>
            </w:r>
          </w:p>
        </w:tc>
        <w:tc>
          <w:tcPr>
            <w:tcW w:w="860" w:type="dxa"/>
            <w:vAlign w:val="bottom"/>
          </w:tcPr>
          <w:p>
            <w:pPr>
              <w:ind w:left="3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74</w:t>
            </w:r>
          </w:p>
        </w:tc>
        <w:tc>
          <w:tcPr>
            <w:tcW w:w="980" w:type="dxa"/>
            <w:vAlign w:val="bottom"/>
          </w:tcPr>
          <w:p>
            <w:pPr>
              <w:ind w:lef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-272415</wp:posOffset>
            </wp:positionV>
            <wp:extent cx="7089140"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42037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2560" w:space="720"/>
            <w:col w:w="7900"/>
          </w:cols>
          <w:pgMar w:left="360" w:top="1192" w:right="35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020" w:type="dxa"/>
            <w:vAlign w:val="bottom"/>
          </w:tcPr>
          <w:p>
            <w:pPr>
              <w:ind w:left="20"/>
              <w:spacing w:after="0"/>
              <w:rPr>
                <w:sz w:val="20"/>
                <w:szCs w:val="20"/>
                <w:color w:val="auto"/>
              </w:rPr>
            </w:pPr>
            <w:r>
              <w:rPr>
                <w:rFonts w:ascii="Arial" w:cs="Arial" w:eastAsia="Arial" w:hAnsi="Arial"/>
                <w:sz w:val="16"/>
                <w:szCs w:val="16"/>
                <w:color w:val="auto"/>
              </w:rPr>
              <w:t>Changes in equity attributable to</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840" w:type="dxa"/>
            <w:vAlign w:val="bottom"/>
            <w:vMerge w:val="restart"/>
          </w:tcPr>
          <w:p>
            <w:pPr>
              <w:jc w:val="right"/>
              <w:ind w:right="479"/>
              <w:spacing w:after="0"/>
              <w:rPr>
                <w:sz w:val="20"/>
                <w:szCs w:val="20"/>
                <w:color w:val="auto"/>
              </w:rPr>
            </w:pPr>
            <w:r>
              <w:rPr>
                <w:rFonts w:ascii="Arial" w:cs="Arial" w:eastAsia="Arial" w:hAnsi="Arial"/>
                <w:sz w:val="16"/>
                <w:szCs w:val="16"/>
                <w:color w:val="auto"/>
              </w:rPr>
              <w:t>—</w:t>
            </w:r>
          </w:p>
        </w:tc>
        <w:tc>
          <w:tcPr>
            <w:tcW w:w="520" w:type="dxa"/>
            <w:vAlign w:val="bottom"/>
            <w:gridSpan w:val="2"/>
            <w:vMerge w:val="restart"/>
          </w:tcPr>
          <w:p>
            <w:pPr>
              <w:ind w:left="100"/>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center"/>
              <w:ind w:left="299"/>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0" w:type="dxa"/>
            <w:vAlign w:val="bottom"/>
            <w:vMerge w:val="restart"/>
          </w:tcPr>
          <w:p>
            <w:pPr>
              <w:ind w:left="82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6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07"/>
        </w:trPr>
        <w:tc>
          <w:tcPr>
            <w:tcW w:w="3020" w:type="dxa"/>
            <w:vAlign w:val="bottom"/>
            <w:vMerge w:val="restart"/>
          </w:tcPr>
          <w:p>
            <w:pPr>
              <w:ind w:left="20"/>
              <w:spacing w:after="0"/>
              <w:rPr>
                <w:sz w:val="20"/>
                <w:szCs w:val="20"/>
                <w:color w:val="auto"/>
              </w:rPr>
            </w:pPr>
            <w:r>
              <w:rPr>
                <w:rFonts w:ascii="Arial" w:cs="Arial" w:eastAsia="Arial" w:hAnsi="Arial"/>
                <w:sz w:val="16"/>
                <w:szCs w:val="16"/>
                <w:color w:val="auto"/>
              </w:rPr>
              <w:t>noncontrolling interests</w:t>
            </w:r>
          </w:p>
        </w:tc>
        <w:tc>
          <w:tcPr>
            <w:tcW w:w="46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Share-based compensation</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ind w:right="4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gridSpan w:val="2"/>
            <w:shd w:val="clear" w:color="auto" w:fill="E4E4E4"/>
          </w:tcPr>
          <w:p>
            <w:pPr>
              <w:ind w:left="10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4E4E4"/>
            </w:tcBorders>
            <w:shd w:val="clear" w:color="auto" w:fill="E4E4E4"/>
          </w:tcPr>
          <w:p>
            <w:pPr>
              <w:jc w:val="center"/>
              <w:ind w:left="299"/>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34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ind w:left="82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9"/>
        </w:trPr>
        <w:tc>
          <w:tcPr>
            <w:tcW w:w="30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Balances as of September 30,</w:t>
            </w: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457</w:t>
            </w:r>
          </w:p>
        </w:tc>
        <w:tc>
          <w:tcPr>
            <w:tcW w:w="50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vMerge w:val="restart"/>
          </w:tcPr>
          <w:p>
            <w:pPr>
              <w:jc w:val="right"/>
              <w:ind w:right="479"/>
              <w:spacing w:after="0"/>
              <w:rPr>
                <w:sz w:val="20"/>
                <w:szCs w:val="20"/>
                <w:color w:val="auto"/>
              </w:rPr>
            </w:pPr>
            <w:r>
              <w:rPr>
                <w:rFonts w:ascii="Arial" w:cs="Arial" w:eastAsia="Arial" w:hAnsi="Arial"/>
                <w:sz w:val="16"/>
                <w:szCs w:val="16"/>
                <w:b w:val="1"/>
                <w:bCs w:val="1"/>
                <w:color w:val="auto"/>
              </w:rPr>
              <w:t>5</w:t>
            </w:r>
          </w:p>
        </w:tc>
        <w:tc>
          <w:tcPr>
            <w:tcW w:w="52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 $</w:t>
            </w:r>
          </w:p>
        </w:tc>
        <w:tc>
          <w:tcPr>
            <w:tcW w:w="620" w:type="dxa"/>
            <w:vAlign w:val="bottom"/>
            <w:tcBorders>
              <w:top w:val="single" w:sz="8" w:color="auto"/>
            </w:tcBorders>
            <w:gridSpan w:val="2"/>
            <w:vMerge w:val="restart"/>
          </w:tcPr>
          <w:p>
            <w:pPr>
              <w:jc w:val="center"/>
              <w:ind w:left="219"/>
              <w:spacing w:after="0"/>
              <w:rPr>
                <w:sz w:val="20"/>
                <w:szCs w:val="20"/>
                <w:color w:val="auto"/>
              </w:rPr>
            </w:pPr>
            <w:r>
              <w:rPr>
                <w:rFonts w:ascii="Arial" w:cs="Arial" w:eastAsia="Arial" w:hAnsi="Arial"/>
                <w:sz w:val="16"/>
                <w:szCs w:val="16"/>
                <w:b w:val="1"/>
                <w:bCs w:val="1"/>
                <w:color w:val="auto"/>
                <w:w w:val="98"/>
              </w:rPr>
              <w:t>(25)</w:t>
            </w:r>
          </w:p>
        </w:tc>
        <w:tc>
          <w:tcPr>
            <w:tcW w:w="2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6,551</w:t>
            </w:r>
          </w:p>
        </w:tc>
        <w:tc>
          <w:tcPr>
            <w:tcW w:w="3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2,558</w:t>
            </w:r>
          </w:p>
        </w:tc>
        <w:tc>
          <w:tcPr>
            <w:tcW w:w="3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6"/>
                <w:szCs w:val="16"/>
                <w:b w:val="1"/>
                <w:bCs w:val="1"/>
                <w:color w:val="auto"/>
              </w:rPr>
              <w:t>(771)</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18</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8,335</w:t>
            </w:r>
          </w:p>
        </w:tc>
        <w:tc>
          <w:tcPr>
            <w:tcW w:w="0" w:type="dxa"/>
            <w:vAlign w:val="bottom"/>
          </w:tcPr>
          <w:p>
            <w:pPr>
              <w:spacing w:after="0"/>
              <w:rPr>
                <w:sz w:val="1"/>
                <w:szCs w:val="1"/>
                <w:color w:val="auto"/>
              </w:rPr>
            </w:pPr>
          </w:p>
        </w:tc>
      </w:tr>
      <w:tr>
        <w:trPr>
          <w:trHeight w:val="115"/>
        </w:trPr>
        <w:tc>
          <w:tcPr>
            <w:tcW w:w="3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2024</w:t>
            </w:r>
          </w:p>
        </w:tc>
        <w:tc>
          <w:tcPr>
            <w:tcW w:w="4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2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0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1"/>
        </w:trPr>
        <w:tc>
          <w:tcPr>
            <w:tcW w:w="3020" w:type="dxa"/>
            <w:vAlign w:val="bottom"/>
          </w:tcPr>
          <w:p>
            <w:pPr>
              <w:spacing w:after="0"/>
              <w:rPr>
                <w:sz w:val="24"/>
                <w:szCs w:val="24"/>
                <w:color w:val="auto"/>
              </w:rPr>
            </w:pPr>
          </w:p>
        </w:tc>
        <w:tc>
          <w:tcPr>
            <w:tcW w:w="1800" w:type="dxa"/>
            <w:vAlign w:val="bottom"/>
            <w:tcBorders>
              <w:bottom w:val="single" w:sz="8" w:color="454545"/>
            </w:tcBorders>
            <w:gridSpan w:val="3"/>
          </w:tcPr>
          <w:p>
            <w:pPr>
              <w:jc w:val="right"/>
              <w:ind w:right="139"/>
              <w:spacing w:after="0"/>
              <w:rPr>
                <w:sz w:val="20"/>
                <w:szCs w:val="20"/>
                <w:color w:val="auto"/>
              </w:rPr>
            </w:pPr>
            <w:r>
              <w:rPr>
                <w:rFonts w:ascii="Arial" w:cs="Arial" w:eastAsia="Arial" w:hAnsi="Arial"/>
                <w:sz w:val="16"/>
                <w:szCs w:val="16"/>
                <w:b w:val="1"/>
                <w:bCs w:val="1"/>
                <w:color w:val="454545"/>
              </w:rPr>
              <w:t>Common stock</w:t>
            </w:r>
          </w:p>
        </w:tc>
        <w:tc>
          <w:tcPr>
            <w:tcW w:w="180" w:type="dxa"/>
            <w:vAlign w:val="bottom"/>
            <w:tcBorders>
              <w:bottom w:val="single" w:sz="8" w:color="454545"/>
            </w:tcBorders>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0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454545"/>
              </w:rPr>
              <w:t>Accumulated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rPr>
              <w:t>Equity</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center"/>
              <w:ind w:right="239"/>
              <w:spacing w:after="0" w:line="175" w:lineRule="exact"/>
              <w:rPr>
                <w:sz w:val="20"/>
                <w:szCs w:val="20"/>
                <w:color w:val="auto"/>
              </w:rPr>
            </w:pPr>
            <w:r>
              <w:rPr>
                <w:rFonts w:ascii="Arial" w:cs="Arial" w:eastAsia="Arial" w:hAnsi="Arial"/>
                <w:sz w:val="16"/>
                <w:szCs w:val="16"/>
                <w:b w:val="1"/>
                <w:bCs w:val="1"/>
                <w:color w:val="454545"/>
                <w:w w:val="99"/>
              </w:rPr>
              <w:t>other</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Additional</w:t>
            </w:r>
          </w:p>
        </w:tc>
        <w:tc>
          <w:tcPr>
            <w:tcW w:w="40" w:type="dxa"/>
            <w:vAlign w:val="bottom"/>
          </w:tcPr>
          <w:p>
            <w:pPr>
              <w:spacing w:after="0"/>
              <w:rPr>
                <w:sz w:val="16"/>
                <w:szCs w:val="16"/>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454545"/>
              </w:rPr>
              <w:t>Retained</w:t>
            </w:r>
          </w:p>
        </w:tc>
        <w:tc>
          <w:tcPr>
            <w:tcW w:w="9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Net parent</w:t>
            </w: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4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6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6"/>
        </w:trPr>
        <w:tc>
          <w:tcPr>
            <w:tcW w:w="3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paid-in</w:t>
            </w:r>
          </w:p>
        </w:tc>
        <w:tc>
          <w:tcPr>
            <w:tcW w:w="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3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income (loss) –</w:t>
            </w:r>
          </w:p>
        </w:tc>
        <w:tc>
          <w:tcPr>
            <w:tcW w:w="40" w:type="dxa"/>
            <w:vAlign w:val="bottom"/>
          </w:tcPr>
          <w:p>
            <w:pPr>
              <w:spacing w:after="0"/>
              <w:rPr>
                <w:sz w:val="15"/>
                <w:szCs w:val="15"/>
                <w:color w:val="auto"/>
              </w:rPr>
            </w:pP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1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02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960" w:type="dxa"/>
            <w:vAlign w:val="bottom"/>
            <w:tcBorders>
              <w:bottom w:val="single" w:sz="8" w:color="6022A6"/>
            </w:tcBorders>
            <w:gridSpan w:val="2"/>
          </w:tcPr>
          <w:p>
            <w:pPr>
              <w:jc w:val="right"/>
              <w:ind w:right="119"/>
              <w:spacing w:after="0"/>
              <w:rPr>
                <w:sz w:val="20"/>
                <w:szCs w:val="20"/>
                <w:color w:val="auto"/>
              </w:rPr>
            </w:pPr>
            <w:r>
              <w:rPr>
                <w:rFonts w:ascii="Arial" w:cs="Arial" w:eastAsia="Arial" w:hAnsi="Arial"/>
                <w:sz w:val="16"/>
                <w:szCs w:val="16"/>
                <w:b w:val="1"/>
                <w:bCs w:val="1"/>
                <w:color w:val="454545"/>
              </w:rPr>
              <w:t>Shares</w:t>
            </w:r>
          </w:p>
        </w:tc>
        <w:tc>
          <w:tcPr>
            <w:tcW w:w="84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Amount</w:t>
            </w:r>
          </w:p>
        </w:tc>
        <w:tc>
          <w:tcPr>
            <w:tcW w:w="180" w:type="dxa"/>
            <w:vAlign w:val="bottom"/>
            <w:tcBorders>
              <w:bottom w:val="single" w:sz="8" w:color="6022A6"/>
            </w:tcBorders>
          </w:tcPr>
          <w:p>
            <w:pPr>
              <w:spacing w:after="0"/>
              <w:rPr>
                <w:sz w:val="20"/>
                <w:szCs w:val="20"/>
                <w:color w:val="auto"/>
              </w:rPr>
            </w:pPr>
          </w:p>
        </w:tc>
        <w:tc>
          <w:tcPr>
            <w:tcW w:w="92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capital</w:t>
            </w:r>
          </w:p>
        </w:tc>
        <w:tc>
          <w:tcPr>
            <w:tcW w:w="40" w:type="dxa"/>
            <w:vAlign w:val="bottom"/>
            <w:tcBorders>
              <w:bottom w:val="single" w:sz="8" w:color="6022A6"/>
            </w:tcBorders>
          </w:tcPr>
          <w:p>
            <w:pPr>
              <w:spacing w:after="0"/>
              <w:rPr>
                <w:sz w:val="20"/>
                <w:szCs w:val="20"/>
                <w:color w:val="auto"/>
              </w:rPr>
            </w:pPr>
          </w:p>
        </w:tc>
        <w:tc>
          <w:tcPr>
            <w:tcW w:w="84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rPr>
              <w:t>earnings</w:t>
            </w:r>
          </w:p>
        </w:tc>
        <w:tc>
          <w:tcPr>
            <w:tcW w:w="94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investment</w:t>
            </w:r>
          </w:p>
        </w:tc>
        <w:tc>
          <w:tcPr>
            <w:tcW w:w="300" w:type="dxa"/>
            <w:vAlign w:val="bottom"/>
            <w:tcBorders>
              <w:bottom w:val="single" w:sz="8" w:color="6022A6"/>
            </w:tcBorders>
          </w:tcPr>
          <w:p>
            <w:pPr>
              <w:spacing w:after="0"/>
              <w:rPr>
                <w:sz w:val="20"/>
                <w:szCs w:val="20"/>
                <w:color w:val="auto"/>
              </w:rPr>
            </w:pPr>
          </w:p>
        </w:tc>
        <w:tc>
          <w:tcPr>
            <w:tcW w:w="1000" w:type="dxa"/>
            <w:vAlign w:val="bottom"/>
            <w:tcBorders>
              <w:bottom w:val="single" w:sz="8" w:color="6022A6"/>
            </w:tcBorders>
          </w:tcPr>
          <w:p>
            <w:pPr>
              <w:jc w:val="center"/>
              <w:ind w:right="239"/>
              <w:spacing w:after="0"/>
              <w:rPr>
                <w:sz w:val="20"/>
                <w:szCs w:val="20"/>
                <w:color w:val="auto"/>
              </w:rPr>
            </w:pPr>
            <w:r>
              <w:rPr>
                <w:rFonts w:ascii="Arial" w:cs="Arial" w:eastAsia="Arial" w:hAnsi="Arial"/>
                <w:sz w:val="16"/>
                <w:szCs w:val="16"/>
                <w:b w:val="1"/>
                <w:bCs w:val="1"/>
                <w:color w:val="454545"/>
                <w:w w:val="99"/>
              </w:rPr>
              <w:t>net</w:t>
            </w:r>
          </w:p>
        </w:tc>
        <w:tc>
          <w:tcPr>
            <w:tcW w:w="40" w:type="dxa"/>
            <w:vAlign w:val="bottom"/>
            <w:tcBorders>
              <w:bottom w:val="single" w:sz="8" w:color="6022A6"/>
            </w:tcBorders>
          </w:tcPr>
          <w:p>
            <w:pPr>
              <w:spacing w:after="0"/>
              <w:rPr>
                <w:sz w:val="20"/>
                <w:szCs w:val="20"/>
                <w:color w:val="auto"/>
              </w:rPr>
            </w:pPr>
          </w:p>
        </w:tc>
        <w:tc>
          <w:tcPr>
            <w:tcW w:w="180" w:type="dxa"/>
            <w:vAlign w:val="bottom"/>
            <w:tcBorders>
              <w:bottom w:val="single" w:sz="8" w:color="6022A6"/>
            </w:tcBorders>
          </w:tcPr>
          <w:p>
            <w:pPr>
              <w:spacing w:after="0"/>
              <w:rPr>
                <w:sz w:val="20"/>
                <w:szCs w:val="20"/>
                <w:color w:val="auto"/>
              </w:rPr>
            </w:pPr>
          </w:p>
        </w:tc>
        <w:tc>
          <w:tcPr>
            <w:tcW w:w="102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8"/>
              </w:rPr>
              <w:t>interests</w:t>
            </w:r>
          </w:p>
        </w:tc>
        <w:tc>
          <w:tcPr>
            <w:tcW w:w="160" w:type="dxa"/>
            <w:vAlign w:val="bottom"/>
            <w:tcBorders>
              <w:bottom w:val="single" w:sz="8" w:color="6022A6"/>
            </w:tcBorders>
          </w:tcPr>
          <w:p>
            <w:pPr>
              <w:spacing w:after="0"/>
              <w:rPr>
                <w:sz w:val="20"/>
                <w:szCs w:val="20"/>
                <w:color w:val="auto"/>
              </w:rPr>
            </w:pPr>
          </w:p>
        </w:tc>
        <w:tc>
          <w:tcPr>
            <w:tcW w:w="74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0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June 30, 2023</w:t>
            </w:r>
          </w:p>
        </w:tc>
        <w:tc>
          <w:tcPr>
            <w:tcW w:w="460" w:type="dxa"/>
            <w:vAlign w:val="bottom"/>
            <w:shd w:val="clear" w:color="auto" w:fill="E4E4E4"/>
          </w:tcPr>
          <w:p>
            <w:pPr>
              <w:spacing w:after="0"/>
              <w:rPr>
                <w:sz w:val="20"/>
                <w:szCs w:val="20"/>
                <w:color w:val="auto"/>
              </w:rPr>
            </w:pPr>
          </w:p>
        </w:tc>
        <w:tc>
          <w:tcPr>
            <w:tcW w:w="5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840" w:type="dxa"/>
            <w:vAlign w:val="bottom"/>
            <w:shd w:val="clear" w:color="auto" w:fill="E4E4E4"/>
          </w:tcPr>
          <w:p>
            <w:pPr>
              <w:jc w:val="right"/>
              <w:ind w:right="619"/>
              <w:spacing w:after="0"/>
              <w:rPr>
                <w:sz w:val="20"/>
                <w:szCs w:val="20"/>
                <w:color w:val="auto"/>
              </w:rPr>
            </w:pPr>
            <w:r>
              <w:rPr>
                <w:rFonts w:ascii="Arial" w:cs="Arial" w:eastAsia="Arial" w:hAnsi="Arial"/>
                <w:sz w:val="16"/>
                <w:szCs w:val="16"/>
                <w:b w:val="1"/>
                <w:bCs w:val="1"/>
                <w:color w:val="auto"/>
              </w:rPr>
              <w:t>$</w:t>
            </w:r>
          </w:p>
        </w:tc>
        <w:tc>
          <w:tcPr>
            <w:tcW w:w="520" w:type="dxa"/>
            <w:vAlign w:val="bottom"/>
            <w:gridSpan w:val="2"/>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5 $</w:t>
            </w:r>
          </w:p>
        </w:tc>
        <w:tc>
          <w:tcPr>
            <w:tcW w:w="5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6,451</w:t>
            </w:r>
          </w:p>
        </w:tc>
        <w:tc>
          <w:tcPr>
            <w:tcW w:w="320" w:type="dxa"/>
            <w:vAlign w:val="bottom"/>
            <w:gridSpan w:val="2"/>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576</w:t>
            </w:r>
          </w:p>
        </w:tc>
        <w:tc>
          <w:tcPr>
            <w:tcW w:w="340" w:type="dxa"/>
            <w:vAlign w:val="bottom"/>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 $</w:t>
            </w: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c>
          <w:tcPr>
            <w:tcW w:w="220" w:type="dxa"/>
            <w:vAlign w:val="bottom"/>
            <w:gridSpan w:val="2"/>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7,114</w:t>
            </w:r>
          </w:p>
        </w:tc>
        <w:tc>
          <w:tcPr>
            <w:tcW w:w="0" w:type="dxa"/>
            <w:vAlign w:val="bottom"/>
          </w:tcPr>
          <w:p>
            <w:pPr>
              <w:spacing w:after="0"/>
              <w:rPr>
                <w:sz w:val="1"/>
                <w:szCs w:val="1"/>
                <w:color w:val="auto"/>
              </w:rPr>
            </w:pPr>
          </w:p>
        </w:tc>
      </w:tr>
      <w:tr>
        <w:trPr>
          <w:trHeight w:val="21"/>
        </w:trPr>
        <w:tc>
          <w:tcPr>
            <w:tcW w:w="3020" w:type="dxa"/>
            <w:vAlign w:val="bottom"/>
            <w:shd w:val="clear" w:color="auto" w:fill="E4E4E4"/>
          </w:tcPr>
          <w:p>
            <w:pPr>
              <w:spacing w:after="0" w:line="20" w:lineRule="exact"/>
              <w:rPr>
                <w:sz w:val="1"/>
                <w:szCs w:val="1"/>
                <w:color w:val="auto"/>
              </w:rPr>
            </w:pPr>
          </w:p>
        </w:tc>
        <w:tc>
          <w:tcPr>
            <w:tcW w:w="460" w:type="dxa"/>
            <w:vAlign w:val="bottom"/>
            <w:shd w:val="clear" w:color="auto" w:fill="E4E4E4"/>
          </w:tcPr>
          <w:p>
            <w:pPr>
              <w:spacing w:after="0" w:line="20" w:lineRule="exact"/>
              <w:rPr>
                <w:sz w:val="1"/>
                <w:szCs w:val="1"/>
                <w:color w:val="auto"/>
              </w:rPr>
            </w:pPr>
          </w:p>
        </w:tc>
        <w:tc>
          <w:tcPr>
            <w:tcW w:w="500" w:type="dxa"/>
            <w:vAlign w:val="bottom"/>
            <w:shd w:val="clear" w:color="auto" w:fill="E4E4E4"/>
          </w:tcPr>
          <w:p>
            <w:pPr>
              <w:spacing w:after="0" w:line="20" w:lineRule="exact"/>
              <w:rPr>
                <w:sz w:val="1"/>
                <w:szCs w:val="1"/>
                <w:color w:val="auto"/>
              </w:rPr>
            </w:pPr>
          </w:p>
        </w:tc>
        <w:tc>
          <w:tcPr>
            <w:tcW w:w="84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340" w:type="dxa"/>
            <w:vAlign w:val="bottom"/>
            <w:shd w:val="clear" w:color="auto" w:fill="E4E4E4"/>
          </w:tcPr>
          <w:p>
            <w:pPr>
              <w:spacing w:after="0" w:line="20" w:lineRule="exact"/>
              <w:rPr>
                <w:sz w:val="1"/>
                <w:szCs w:val="1"/>
                <w:color w:val="auto"/>
              </w:rPr>
            </w:pPr>
          </w:p>
        </w:tc>
        <w:tc>
          <w:tcPr>
            <w:tcW w:w="580" w:type="dxa"/>
            <w:vAlign w:val="bottom"/>
            <w:shd w:val="clear" w:color="auto" w:fill="E4E4E4"/>
          </w:tcPr>
          <w:p>
            <w:pPr>
              <w:spacing w:after="0" w:line="20" w:lineRule="exact"/>
              <w:rPr>
                <w:sz w:val="1"/>
                <w:szCs w:val="1"/>
                <w:color w:val="auto"/>
              </w:rPr>
            </w:pPr>
          </w:p>
        </w:tc>
        <w:tc>
          <w:tcPr>
            <w:tcW w:w="40" w:type="dxa"/>
            <w:vAlign w:val="bottom"/>
            <w:shd w:val="clear" w:color="auto" w:fill="E4E4E4"/>
          </w:tcPr>
          <w:p>
            <w:pPr>
              <w:spacing w:after="0" w:line="20" w:lineRule="exact"/>
              <w:rPr>
                <w:sz w:val="1"/>
                <w:szCs w:val="1"/>
                <w:color w:val="auto"/>
              </w:rPr>
            </w:pPr>
          </w:p>
        </w:tc>
        <w:tc>
          <w:tcPr>
            <w:tcW w:w="280" w:type="dxa"/>
            <w:vAlign w:val="bottom"/>
            <w:shd w:val="clear" w:color="auto" w:fill="E4E4E4"/>
          </w:tcPr>
          <w:p>
            <w:pPr>
              <w:spacing w:after="0" w:line="20" w:lineRule="exact"/>
              <w:rPr>
                <w:sz w:val="1"/>
                <w:szCs w:val="1"/>
                <w:color w:val="auto"/>
              </w:rPr>
            </w:pPr>
          </w:p>
        </w:tc>
        <w:tc>
          <w:tcPr>
            <w:tcW w:w="560" w:type="dxa"/>
            <w:vAlign w:val="bottom"/>
            <w:shd w:val="clear" w:color="auto" w:fill="E4E4E4"/>
          </w:tcPr>
          <w:p>
            <w:pPr>
              <w:spacing w:after="0" w:line="20" w:lineRule="exact"/>
              <w:rPr>
                <w:sz w:val="1"/>
                <w:szCs w:val="1"/>
                <w:color w:val="auto"/>
              </w:rPr>
            </w:pPr>
          </w:p>
        </w:tc>
        <w:tc>
          <w:tcPr>
            <w:tcW w:w="340" w:type="dxa"/>
            <w:vAlign w:val="bottom"/>
            <w:shd w:val="clear" w:color="auto" w:fill="E4E4E4"/>
          </w:tcPr>
          <w:p>
            <w:pPr>
              <w:spacing w:after="0" w:line="20" w:lineRule="exact"/>
              <w:rPr>
                <w:sz w:val="1"/>
                <w:szCs w:val="1"/>
                <w:color w:val="auto"/>
              </w:rPr>
            </w:pPr>
          </w:p>
        </w:tc>
        <w:tc>
          <w:tcPr>
            <w:tcW w:w="60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4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2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74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180"/>
          </w:cols>
          <w:pgMar w:left="360" w:top="1192" w:right="359" w:bottom="1440" w:gutter="0" w:footer="0" w:header="0"/>
          <w:type w:val="continuous"/>
        </w:sectPr>
      </w:pPr>
    </w:p>
    <w:p>
      <w:pPr>
        <w:ind w:left="20" w:right="8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20" w:right="920"/>
        <w:spacing w:after="0" w:line="299" w:lineRule="auto"/>
        <w:rPr>
          <w:sz w:val="20"/>
          <w:szCs w:val="20"/>
          <w:color w:val="auto"/>
        </w:rPr>
      </w:pPr>
      <w:r>
        <w:rPr>
          <w:rFonts w:ascii="Arial" w:cs="Arial" w:eastAsia="Arial" w:hAnsi="Arial"/>
          <w:sz w:val="16"/>
          <w:szCs w:val="16"/>
          <w:color w:val="auto"/>
        </w:rPr>
        <w:t>Net income attributable to GE HealthCare</w:t>
      </w:r>
    </w:p>
    <w:p>
      <w:pPr>
        <w:spacing w:after="0" w:line="1" w:lineRule="exact"/>
        <w:rPr>
          <w:sz w:val="20"/>
          <w:szCs w:val="20"/>
          <w:color w:val="auto"/>
        </w:rPr>
      </w:pPr>
    </w:p>
    <w:p>
      <w:pPr>
        <w:ind w:left="20" w:right="220"/>
        <w:spacing w:after="0" w:line="299" w:lineRule="auto"/>
        <w:rPr>
          <w:sz w:val="20"/>
          <w:szCs w:val="20"/>
          <w:color w:val="auto"/>
        </w:rPr>
      </w:pPr>
      <w:r>
        <w:rPr>
          <w:rFonts w:ascii="Arial" w:cs="Arial" w:eastAsia="Arial" w:hAnsi="Arial"/>
          <w:sz w:val="16"/>
          <w:szCs w:val="16"/>
          <w:color w:val="auto"/>
        </w:rPr>
        <w:t>Dividends declared ($0.03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72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(11)</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80" w:type="dxa"/>
            <w:vAlign w:val="bottom"/>
          </w:tcPr>
          <w:p>
            <w:pPr>
              <w:ind w:lef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375</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80" w:type="dxa"/>
            <w:vAlign w:val="bottom"/>
          </w:tcPr>
          <w:p>
            <w:pPr>
              <w:ind w:lef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(14)</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80" w:type="dxa"/>
            <w:vAlign w:val="bottom"/>
          </w:tcPr>
          <w:p>
            <w:pPr>
              <w:ind w:lef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500"/>
              <w:spacing w:after="0"/>
              <w:rPr>
                <w:sz w:val="20"/>
                <w:szCs w:val="20"/>
                <w:color w:val="auto"/>
              </w:rPr>
            </w:pPr>
            <w:r>
              <w:rPr>
                <w:rFonts w:ascii="Arial" w:cs="Arial" w:eastAsia="Arial" w:hAnsi="Arial"/>
                <w:sz w:val="16"/>
                <w:szCs w:val="16"/>
                <w:color w:val="auto"/>
              </w:rPr>
              <w:t>(350)</w:t>
            </w:r>
          </w:p>
        </w:tc>
        <w:tc>
          <w:tcPr>
            <w:tcW w:w="980" w:type="dxa"/>
            <w:vAlign w:val="bottom"/>
          </w:tcPr>
          <w:p>
            <w:pPr>
              <w:ind w:lef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459"/>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80" w:type="dxa"/>
            <w:vAlign w:val="bottom"/>
          </w:tcPr>
          <w:p>
            <w:pPr>
              <w:ind w:left="540"/>
              <w:spacing w:after="0"/>
              <w:rPr>
                <w:sz w:val="20"/>
                <w:szCs w:val="20"/>
                <w:color w:val="auto"/>
              </w:rPr>
            </w:pPr>
            <w:r>
              <w:rPr>
                <w:rFonts w:ascii="Arial" w:cs="Arial" w:eastAsia="Arial" w:hAnsi="Arial"/>
                <w:sz w:val="16"/>
                <w:szCs w:val="16"/>
                <w:color w:val="auto"/>
              </w:rPr>
              <w:t>(1)</w:t>
            </w: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365"/>
        </w:trPr>
        <w:tc>
          <w:tcPr>
            <w:tcW w:w="58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tcPr>
          <w:p>
            <w:pPr>
              <w:ind w:left="4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39"/>
              <w:spacing w:after="0"/>
              <w:rPr>
                <w:sz w:val="20"/>
                <w:szCs w:val="20"/>
                <w:color w:val="auto"/>
              </w:rPr>
            </w:pPr>
            <w:r>
              <w:rPr>
                <w:rFonts w:ascii="Arial" w:cs="Arial" w:eastAsia="Arial" w:hAnsi="Arial"/>
                <w:sz w:val="16"/>
                <w:szCs w:val="16"/>
                <w:color w:val="auto"/>
              </w:rPr>
              <w:t>29</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Pr>
          <w:p>
            <w:pPr>
              <w:ind w:left="380"/>
              <w:spacing w:after="0"/>
              <w:rPr>
                <w:sz w:val="20"/>
                <w:szCs w:val="20"/>
                <w:color w:val="auto"/>
              </w:rPr>
            </w:pPr>
            <w:r>
              <w:rPr>
                <w:rFonts w:ascii="Arial" w:cs="Arial" w:eastAsia="Arial" w:hAnsi="Arial"/>
                <w:sz w:val="16"/>
                <w:szCs w:val="16"/>
                <w:color w:val="auto"/>
              </w:rPr>
              <w:t>—</w:t>
            </w:r>
          </w:p>
        </w:tc>
        <w:tc>
          <w:tcPr>
            <w:tcW w:w="1400" w:type="dxa"/>
            <w:vAlign w:val="bottom"/>
          </w:tcPr>
          <w:p>
            <w:pPr>
              <w:ind w:left="660"/>
              <w:spacing w:after="0"/>
              <w:rPr>
                <w:sz w:val="20"/>
                <w:szCs w:val="20"/>
                <w:color w:val="auto"/>
              </w:rPr>
            </w:pPr>
            <w:r>
              <w:rPr>
                <w:rFonts w:ascii="Arial" w:cs="Arial" w:eastAsia="Arial" w:hAnsi="Arial"/>
                <w:sz w:val="16"/>
                <w:szCs w:val="16"/>
                <w:color w:val="auto"/>
              </w:rPr>
              <w:t>—</w:t>
            </w:r>
          </w:p>
        </w:tc>
        <w:tc>
          <w:tcPr>
            <w:tcW w:w="980" w:type="dxa"/>
            <w:vAlign w:val="bottom"/>
          </w:tcPr>
          <w:p>
            <w:pPr>
              <w:ind w:left="5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-2402840</wp:posOffset>
            </wp:positionH>
            <wp:positionV relativeFrom="paragraph">
              <wp:posOffset>-1310005</wp:posOffset>
            </wp:positionV>
            <wp:extent cx="7098030"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98030" cy="29146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-727075</wp:posOffset>
            </wp:positionV>
            <wp:extent cx="709803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8030" cy="291465"/>
                    </a:xfrm>
                    <a:prstGeom prst="rect">
                      <a:avLst/>
                    </a:prstGeom>
                    <a:noFill/>
                  </pic:spPr>
                </pic:pic>
              </a:graphicData>
            </a:graphic>
          </wp:anchor>
        </w:drawing>
        <w:drawing>
          <wp:anchor simplePos="0" relativeHeight="251657728" behindDoc="1" locked="0" layoutInCell="0" allowOverlap="1">
            <wp:simplePos x="0" y="0"/>
            <wp:positionH relativeFrom="column">
              <wp:posOffset>-2402840</wp:posOffset>
            </wp:positionH>
            <wp:positionV relativeFrom="paragraph">
              <wp:posOffset>-144145</wp:posOffset>
            </wp:positionV>
            <wp:extent cx="70980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060" w:space="720"/>
            <w:col w:w="7400"/>
          </w:cols>
          <w:pgMar w:left="360" w:top="1192" w:right="359" w:bottom="1440" w:gutter="0" w:footer="0" w:header="0"/>
          <w:type w:val="continuous"/>
        </w:sectPr>
      </w:pPr>
    </w:p>
    <w:p>
      <w:pPr>
        <w:ind w:left="20"/>
        <w:spacing w:after="0"/>
        <w:tabs>
          <w:tab w:leader="none" w:pos="3640" w:val="left"/>
          <w:tab w:leader="none" w:pos="4820" w:val="left"/>
          <w:tab w:leader="none" w:pos="5420" w:val="left"/>
          <w:tab w:leader="none" w:pos="6420" w:val="left"/>
          <w:tab w:leader="none" w:pos="7480" w:val="left"/>
          <w:tab w:leader="none" w:pos="8620" w:val="left"/>
          <w:tab w:leader="none" w:pos="10040" w:val="left"/>
          <w:tab w:leader="none" w:pos="10680" w:val="left"/>
        </w:tabs>
        <w:rPr>
          <w:sz w:val="20"/>
          <w:szCs w:val="20"/>
          <w:color w:val="auto"/>
        </w:rPr>
      </w:pPr>
      <w:r>
        <w:rPr>
          <w:rFonts w:ascii="Arial" w:cs="Arial" w:eastAsia="Arial" w:hAnsi="Arial"/>
          <w:sz w:val="16"/>
          <w:szCs w:val="16"/>
          <w:b w:val="1"/>
          <w:bCs w:val="1"/>
          <w:color w:val="auto"/>
        </w:rPr>
        <w:t>Balances as of September 30, 2023</w:t>
      </w:r>
      <w:r>
        <w:rPr>
          <w:sz w:val="20"/>
          <w:szCs w:val="20"/>
          <w:color w:val="auto"/>
        </w:rPr>
        <w:tab/>
      </w:r>
      <w:r>
        <w:rPr>
          <w:rFonts w:ascii="Arial" w:cs="Arial" w:eastAsia="Arial" w:hAnsi="Arial"/>
          <w:sz w:val="16"/>
          <w:szCs w:val="16"/>
          <w:b w:val="1"/>
          <w:bCs w:val="1"/>
          <w:color w:val="auto"/>
        </w:rPr>
        <w:t>455 $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6,469 $</w:t>
      </w:r>
      <w:r>
        <w:rPr>
          <w:sz w:val="20"/>
          <w:szCs w:val="20"/>
          <w:color w:val="auto"/>
        </w:rPr>
        <w:tab/>
      </w:r>
      <w:r>
        <w:rPr>
          <w:rFonts w:ascii="Arial" w:cs="Arial" w:eastAsia="Arial" w:hAnsi="Arial"/>
          <w:sz w:val="16"/>
          <w:szCs w:val="16"/>
          <w:b w:val="1"/>
          <w:bCs w:val="1"/>
          <w:color w:val="auto"/>
        </w:rPr>
        <w:t>937 $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(280) $</w:t>
      </w:r>
      <w:r>
        <w:rPr>
          <w:sz w:val="20"/>
          <w:szCs w:val="20"/>
          <w:color w:val="auto"/>
        </w:rPr>
        <w:tab/>
      </w:r>
      <w:r>
        <w:rPr>
          <w:rFonts w:ascii="Arial" w:cs="Arial" w:eastAsia="Arial" w:hAnsi="Arial"/>
          <w:sz w:val="16"/>
          <w:szCs w:val="16"/>
          <w:b w:val="1"/>
          <w:bCs w:val="1"/>
          <w:color w:val="auto"/>
        </w:rPr>
        <w:t>11 $</w:t>
      </w:r>
      <w:r>
        <w:rPr>
          <w:sz w:val="20"/>
          <w:szCs w:val="20"/>
          <w:color w:val="auto"/>
        </w:rPr>
        <w:tab/>
      </w:r>
      <w:r>
        <w:rPr>
          <w:rFonts w:ascii="Arial" w:cs="Arial" w:eastAsia="Arial" w:hAnsi="Arial"/>
          <w:sz w:val="15"/>
          <w:szCs w:val="15"/>
          <w:b w:val="1"/>
          <w:bCs w:val="1"/>
          <w:color w:val="auto"/>
        </w:rPr>
        <w:t>7,142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38100</wp:posOffset>
            </wp:positionV>
            <wp:extent cx="70980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92" w:right="35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23"/>
        </w:trPr>
        <w:tc>
          <w:tcPr>
            <w:tcW w:w="26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Common stock</w:t>
            </w:r>
          </w:p>
        </w:tc>
        <w:tc>
          <w:tcPr>
            <w:tcW w:w="320" w:type="dxa"/>
            <w:vAlign w:val="bottom"/>
          </w:tcPr>
          <w:p>
            <w:pPr>
              <w:spacing w:after="0"/>
              <w:rPr>
                <w:sz w:val="19"/>
                <w:szCs w:val="19"/>
                <w:color w:val="auto"/>
              </w:rPr>
            </w:pPr>
          </w:p>
        </w:tc>
        <w:tc>
          <w:tcPr>
            <w:tcW w:w="1740" w:type="dxa"/>
            <w:vAlign w:val="bottom"/>
            <w:gridSpan w:val="3"/>
          </w:tcPr>
          <w:p>
            <w:pPr>
              <w:jc w:val="center"/>
              <w:ind w:right="99"/>
              <w:spacing w:after="0"/>
              <w:rPr>
                <w:sz w:val="20"/>
                <w:szCs w:val="20"/>
                <w:color w:val="auto"/>
              </w:rPr>
            </w:pPr>
            <w:r>
              <w:rPr>
                <w:rFonts w:ascii="Arial" w:cs="Arial" w:eastAsia="Arial" w:hAnsi="Arial"/>
                <w:sz w:val="16"/>
                <w:szCs w:val="16"/>
                <w:b w:val="1"/>
                <w:bCs w:val="1"/>
                <w:color w:val="454545"/>
              </w:rPr>
              <w:t>Treasury stock</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w w:val="99"/>
              </w:rPr>
              <w:t>Accumulated</w:t>
            </w:r>
          </w:p>
        </w:tc>
        <w:tc>
          <w:tcPr>
            <w:tcW w:w="180" w:type="dxa"/>
            <w:vAlign w:val="bottom"/>
          </w:tcPr>
          <w:p>
            <w:pPr>
              <w:spacing w:after="0" w:line="20" w:lineRule="exact"/>
              <w:rPr>
                <w:sz w:val="1"/>
                <w:szCs w:val="1"/>
                <w:color w:val="auto"/>
              </w:rPr>
            </w:pPr>
          </w:p>
        </w:tc>
        <w:tc>
          <w:tcPr>
            <w:tcW w:w="10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rPr>
              <w:t>Equity</w:t>
            </w: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6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Additional</w:t>
            </w:r>
          </w:p>
        </w:tc>
        <w:tc>
          <w:tcPr>
            <w:tcW w:w="10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454545"/>
              </w:rPr>
              <w:t>Retained</w:t>
            </w:r>
          </w:p>
        </w:tc>
        <w:tc>
          <w:tcPr>
            <w:tcW w:w="13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1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60" w:type="dxa"/>
            <w:vAlign w:val="bottom"/>
          </w:tcPr>
          <w:p>
            <w:pPr>
              <w:spacing w:after="0"/>
              <w:rPr>
                <w:sz w:val="16"/>
                <w:szCs w:val="16"/>
                <w:color w:val="auto"/>
              </w:rPr>
            </w:pPr>
          </w:p>
        </w:tc>
        <w:tc>
          <w:tcPr>
            <w:tcW w:w="72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454545"/>
                <w:w w:val="99"/>
              </w:rPr>
              <w:t>Total</w:t>
            </w:r>
          </w:p>
        </w:tc>
        <w:tc>
          <w:tcPr>
            <w:tcW w:w="0" w:type="dxa"/>
            <w:vAlign w:val="bottom"/>
          </w:tcPr>
          <w:p>
            <w:pPr>
              <w:spacing w:after="0"/>
              <w:rPr>
                <w:sz w:val="1"/>
                <w:szCs w:val="1"/>
                <w:color w:val="auto"/>
              </w:rPr>
            </w:pPr>
          </w:p>
        </w:tc>
      </w:tr>
      <w:tr>
        <w:trPr>
          <w:trHeight w:val="176"/>
        </w:trPr>
        <w:tc>
          <w:tcPr>
            <w:tcW w:w="2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rPr>
              <w:t>paid-in</w:t>
            </w:r>
          </w:p>
        </w:tc>
        <w:tc>
          <w:tcPr>
            <w:tcW w:w="1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34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income (loss) –</w:t>
            </w:r>
          </w:p>
        </w:tc>
        <w:tc>
          <w:tcPr>
            <w:tcW w:w="118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rPr>
              <w:t>noncontrolling</w:t>
            </w: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62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960" w:type="dxa"/>
            <w:vAlign w:val="bottom"/>
            <w:tcBorders>
              <w:bottom w:val="single" w:sz="8" w:color="6400A0"/>
            </w:tcBorders>
          </w:tcPr>
          <w:p>
            <w:pPr>
              <w:jc w:val="right"/>
              <w:ind w:right="119"/>
              <w:spacing w:after="0"/>
              <w:rPr>
                <w:sz w:val="20"/>
                <w:szCs w:val="20"/>
                <w:color w:val="auto"/>
              </w:rPr>
            </w:pPr>
            <w:r>
              <w:rPr>
                <w:rFonts w:ascii="Arial" w:cs="Arial" w:eastAsia="Arial" w:hAnsi="Arial"/>
                <w:sz w:val="16"/>
                <w:szCs w:val="16"/>
                <w:b w:val="1"/>
                <w:bCs w:val="1"/>
                <w:color w:val="454545"/>
              </w:rPr>
              <w:t>Shares</w:t>
            </w:r>
          </w:p>
        </w:tc>
        <w:tc>
          <w:tcPr>
            <w:tcW w:w="880" w:type="dxa"/>
            <w:vAlign w:val="bottom"/>
            <w:tcBorders>
              <w:bottom w:val="single" w:sz="8" w:color="6400A0"/>
            </w:tcBorders>
            <w:gridSpan w:val="2"/>
          </w:tcPr>
          <w:p>
            <w:pPr>
              <w:jc w:val="right"/>
              <w:ind w:right="59"/>
              <w:spacing w:after="0"/>
              <w:rPr>
                <w:sz w:val="20"/>
                <w:szCs w:val="20"/>
                <w:color w:val="auto"/>
              </w:rPr>
            </w:pPr>
            <w:r>
              <w:rPr>
                <w:rFonts w:ascii="Arial" w:cs="Arial" w:eastAsia="Arial" w:hAnsi="Arial"/>
                <w:sz w:val="16"/>
                <w:szCs w:val="16"/>
                <w:b w:val="1"/>
                <w:bCs w:val="1"/>
                <w:color w:val="454545"/>
              </w:rPr>
              <w:t>Amount</w:t>
            </w:r>
          </w:p>
        </w:tc>
        <w:tc>
          <w:tcPr>
            <w:tcW w:w="1740" w:type="dxa"/>
            <w:vAlign w:val="bottom"/>
            <w:tcBorders>
              <w:bottom w:val="single" w:sz="8" w:color="6400A0"/>
            </w:tcBorders>
            <w:gridSpan w:val="3"/>
          </w:tcPr>
          <w:p>
            <w:pPr>
              <w:jc w:val="center"/>
              <w:ind w:right="59"/>
              <w:spacing w:after="0"/>
              <w:rPr>
                <w:sz w:val="20"/>
                <w:szCs w:val="20"/>
                <w:color w:val="auto"/>
              </w:rPr>
            </w:pPr>
            <w:r>
              <w:rPr>
                <w:rFonts w:ascii="Arial" w:cs="Arial" w:eastAsia="Arial" w:hAnsi="Arial"/>
                <w:sz w:val="16"/>
                <w:szCs w:val="16"/>
                <w:b w:val="1"/>
                <w:bCs w:val="1"/>
                <w:color w:val="454545"/>
              </w:rPr>
              <w:t>Shares   Amount</w:t>
            </w:r>
          </w:p>
        </w:tc>
        <w:tc>
          <w:tcPr>
            <w:tcW w:w="760" w:type="dxa"/>
            <w:vAlign w:val="bottom"/>
            <w:tcBorders>
              <w:bottom w:val="single" w:sz="8" w:color="6400A0"/>
            </w:tcBorders>
          </w:tcPr>
          <w:p>
            <w:pPr>
              <w:jc w:val="center"/>
              <w:ind w:right="59"/>
              <w:spacing w:after="0"/>
              <w:rPr>
                <w:sz w:val="20"/>
                <w:szCs w:val="20"/>
                <w:color w:val="auto"/>
              </w:rPr>
            </w:pPr>
            <w:r>
              <w:rPr>
                <w:rFonts w:ascii="Arial" w:cs="Arial" w:eastAsia="Arial" w:hAnsi="Arial"/>
                <w:sz w:val="16"/>
                <w:szCs w:val="16"/>
                <w:b w:val="1"/>
                <w:bCs w:val="1"/>
                <w:color w:val="454545"/>
                <w:w w:val="98"/>
              </w:rPr>
              <w:t>capital</w:t>
            </w:r>
          </w:p>
        </w:tc>
        <w:tc>
          <w:tcPr>
            <w:tcW w:w="100" w:type="dxa"/>
            <w:vAlign w:val="bottom"/>
            <w:tcBorders>
              <w:bottom w:val="single" w:sz="8" w:color="6400A0"/>
            </w:tcBorders>
          </w:tcPr>
          <w:p>
            <w:pPr>
              <w:spacing w:after="0"/>
              <w:rPr>
                <w:sz w:val="20"/>
                <w:szCs w:val="20"/>
                <w:color w:val="auto"/>
              </w:rPr>
            </w:pPr>
          </w:p>
        </w:tc>
        <w:tc>
          <w:tcPr>
            <w:tcW w:w="780" w:type="dxa"/>
            <w:vAlign w:val="bottom"/>
            <w:tcBorders>
              <w:bottom w:val="single" w:sz="8" w:color="6400A0"/>
            </w:tcBorders>
          </w:tcPr>
          <w:p>
            <w:pPr>
              <w:jc w:val="right"/>
              <w:spacing w:after="0"/>
              <w:rPr>
                <w:sz w:val="20"/>
                <w:szCs w:val="20"/>
                <w:color w:val="auto"/>
              </w:rPr>
            </w:pPr>
            <w:r>
              <w:rPr>
                <w:rFonts w:ascii="Arial" w:cs="Arial" w:eastAsia="Arial" w:hAnsi="Arial"/>
                <w:sz w:val="16"/>
                <w:szCs w:val="16"/>
                <w:b w:val="1"/>
                <w:bCs w:val="1"/>
                <w:color w:val="454545"/>
              </w:rPr>
              <w:t>earnings</w:t>
            </w:r>
          </w:p>
        </w:tc>
        <w:tc>
          <w:tcPr>
            <w:tcW w:w="160" w:type="dxa"/>
            <w:vAlign w:val="bottom"/>
            <w:tcBorders>
              <w:bottom w:val="single" w:sz="8" w:color="6400A0"/>
            </w:tcBorders>
          </w:tcPr>
          <w:p>
            <w:pPr>
              <w:spacing w:after="0"/>
              <w:rPr>
                <w:sz w:val="20"/>
                <w:szCs w:val="20"/>
                <w:color w:val="auto"/>
              </w:rPr>
            </w:pPr>
          </w:p>
        </w:tc>
        <w:tc>
          <w:tcPr>
            <w:tcW w:w="1180" w:type="dxa"/>
            <w:vAlign w:val="bottom"/>
            <w:tcBorders>
              <w:bottom w:val="single" w:sz="8" w:color="6400A0"/>
            </w:tcBorders>
          </w:tcPr>
          <w:p>
            <w:pPr>
              <w:jc w:val="center"/>
              <w:ind w:right="5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400A0"/>
            </w:tcBorders>
          </w:tcPr>
          <w:p>
            <w:pPr>
              <w:spacing w:after="0"/>
              <w:rPr>
                <w:sz w:val="20"/>
                <w:szCs w:val="20"/>
                <w:color w:val="auto"/>
              </w:rPr>
            </w:pPr>
          </w:p>
        </w:tc>
        <w:tc>
          <w:tcPr>
            <w:tcW w:w="1000" w:type="dxa"/>
            <w:vAlign w:val="bottom"/>
            <w:tcBorders>
              <w:bottom w:val="single" w:sz="8" w:color="6400A0"/>
            </w:tcBorders>
          </w:tcPr>
          <w:p>
            <w:pPr>
              <w:jc w:val="center"/>
              <w:ind w:right="79"/>
              <w:spacing w:after="0"/>
              <w:rPr>
                <w:sz w:val="20"/>
                <w:szCs w:val="20"/>
                <w:color w:val="auto"/>
              </w:rPr>
            </w:pPr>
            <w:r>
              <w:rPr>
                <w:rFonts w:ascii="Arial" w:cs="Arial" w:eastAsia="Arial" w:hAnsi="Arial"/>
                <w:sz w:val="16"/>
                <w:szCs w:val="16"/>
                <w:b w:val="1"/>
                <w:bCs w:val="1"/>
                <w:color w:val="454545"/>
              </w:rPr>
              <w:t>interests</w:t>
            </w:r>
          </w:p>
        </w:tc>
        <w:tc>
          <w:tcPr>
            <w:tcW w:w="160" w:type="dxa"/>
            <w:vAlign w:val="bottom"/>
            <w:tcBorders>
              <w:bottom w:val="single" w:sz="8" w:color="6400A0"/>
            </w:tcBorders>
          </w:tcPr>
          <w:p>
            <w:pPr>
              <w:spacing w:after="0"/>
              <w:rPr>
                <w:sz w:val="20"/>
                <w:szCs w:val="20"/>
                <w:color w:val="auto"/>
              </w:rPr>
            </w:pPr>
          </w:p>
        </w:tc>
        <w:tc>
          <w:tcPr>
            <w:tcW w:w="720" w:type="dxa"/>
            <w:vAlign w:val="bottom"/>
            <w:tcBorders>
              <w:bottom w:val="single" w:sz="8" w:color="6400A0"/>
            </w:tcBorders>
          </w:tcPr>
          <w:p>
            <w:pPr>
              <w:jc w:val="center"/>
              <w:ind w:right="7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172"/>
        </w:trPr>
        <w:tc>
          <w:tcPr>
            <w:tcW w:w="2620" w:type="dxa"/>
            <w:vAlign w:val="bottom"/>
            <w:shd w:val="clear" w:color="auto" w:fill="E4E4E4"/>
          </w:tcPr>
          <w:p>
            <w:pPr>
              <w:ind w:left="20"/>
              <w:spacing w:after="0" w:line="172" w:lineRule="exact"/>
              <w:rPr>
                <w:sz w:val="20"/>
                <w:szCs w:val="20"/>
                <w:color w:val="auto"/>
              </w:rPr>
            </w:pPr>
            <w:r>
              <w:rPr>
                <w:rFonts w:ascii="Arial" w:cs="Arial" w:eastAsia="Arial" w:hAnsi="Arial"/>
                <w:sz w:val="16"/>
                <w:szCs w:val="16"/>
                <w:b w:val="1"/>
                <w:bCs w:val="1"/>
                <w:color w:val="auto"/>
              </w:rPr>
              <w:t>Balances as of December 31,</w:t>
            </w:r>
          </w:p>
        </w:tc>
        <w:tc>
          <w:tcPr>
            <w:tcW w:w="96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560" w:type="dxa"/>
            <w:vAlign w:val="bottom"/>
            <w:vMerge w:val="restart"/>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320" w:type="dxa"/>
            <w:vAlign w:val="bottom"/>
            <w:vMerge w:val="restart"/>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5</w:t>
            </w:r>
          </w:p>
        </w:tc>
        <w:tc>
          <w:tcPr>
            <w:tcW w:w="1080" w:type="dxa"/>
            <w:vAlign w:val="bottom"/>
            <w:vMerge w:val="restart"/>
            <w:shd w:val="clear" w:color="auto" w:fill="E4E4E4"/>
          </w:tcPr>
          <w:p>
            <w:pPr>
              <w:ind w:left="540"/>
              <w:spacing w:after="0"/>
              <w:rPr>
                <w:sz w:val="20"/>
                <w:szCs w:val="20"/>
                <w:color w:val="auto"/>
              </w:rPr>
            </w:pPr>
            <w:r>
              <w:rPr>
                <w:rFonts w:ascii="Arial" w:cs="Arial" w:eastAsia="Arial" w:hAnsi="Arial"/>
                <w:sz w:val="16"/>
                <w:szCs w:val="16"/>
                <w:b w:val="1"/>
                <w:bCs w:val="1"/>
                <w:color w:val="auto"/>
              </w:rPr>
              <w:t>— $</w:t>
            </w:r>
          </w:p>
        </w:tc>
        <w:tc>
          <w:tcPr>
            <w:tcW w:w="660" w:type="dxa"/>
            <w:vAlign w:val="bottom"/>
            <w:gridSpan w:val="2"/>
            <w:vMerge w:val="restart"/>
            <w:shd w:val="clear" w:color="auto" w:fill="E4E4E4"/>
          </w:tcPr>
          <w:p>
            <w:pPr>
              <w:ind w:left="280"/>
              <w:spacing w:after="0"/>
              <w:rPr>
                <w:sz w:val="20"/>
                <w:szCs w:val="20"/>
                <w:color w:val="auto"/>
              </w:rPr>
            </w:pPr>
            <w:r>
              <w:rPr>
                <w:rFonts w:ascii="Arial" w:cs="Arial" w:eastAsia="Arial" w:hAnsi="Arial"/>
                <w:sz w:val="16"/>
                <w:szCs w:val="16"/>
                <w:b w:val="1"/>
                <w:bCs w:val="1"/>
                <w:color w:val="auto"/>
              </w:rPr>
              <w:t>— $</w:t>
            </w:r>
          </w:p>
        </w:tc>
        <w:tc>
          <w:tcPr>
            <w:tcW w:w="76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6,493</w:t>
            </w:r>
          </w:p>
        </w:tc>
        <w:tc>
          <w:tcPr>
            <w:tcW w:w="10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1,326</w:t>
            </w:r>
          </w:p>
        </w:tc>
        <w:tc>
          <w:tcPr>
            <w:tcW w:w="16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c>
          <w:tcPr>
            <w:tcW w:w="18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shd w:val="clear" w:color="auto" w:fill="E4E4E4"/>
          </w:tcPr>
          <w:p>
            <w:pPr>
              <w:jc w:val="right"/>
              <w:spacing w:after="0"/>
              <w:rPr>
                <w:sz w:val="20"/>
                <w:szCs w:val="20"/>
                <w:color w:val="auto"/>
              </w:rPr>
            </w:pPr>
            <w:r>
              <w:rPr>
                <w:rFonts w:ascii="Arial" w:cs="Arial" w:eastAsia="Arial" w:hAnsi="Arial"/>
                <w:sz w:val="16"/>
                <w:szCs w:val="16"/>
                <w:b w:val="1"/>
                <w:bCs w:val="1"/>
                <w:color w:val="auto"/>
              </w:rPr>
              <w:t>7,145</w:t>
            </w:r>
          </w:p>
        </w:tc>
        <w:tc>
          <w:tcPr>
            <w:tcW w:w="0" w:type="dxa"/>
            <w:vAlign w:val="bottom"/>
          </w:tcPr>
          <w:p>
            <w:pPr>
              <w:spacing w:after="0"/>
              <w:rPr>
                <w:sz w:val="1"/>
                <w:szCs w:val="1"/>
                <w:color w:val="auto"/>
              </w:rPr>
            </w:pPr>
          </w:p>
        </w:tc>
      </w:tr>
      <w:tr>
        <w:trPr>
          <w:trHeight w:val="142"/>
        </w:trPr>
        <w:tc>
          <w:tcPr>
            <w:tcW w:w="2620" w:type="dxa"/>
            <w:vAlign w:val="bottom"/>
            <w:vMerge w:val="restart"/>
            <w:shd w:val="clear" w:color="auto" w:fill="E4E4E4"/>
          </w:tcPr>
          <w:p>
            <w:pPr>
              <w:ind w:left="20"/>
              <w:spacing w:after="0"/>
              <w:rPr>
                <w:sz w:val="20"/>
                <w:szCs w:val="20"/>
                <w:color w:val="auto"/>
              </w:rPr>
            </w:pPr>
            <w:r>
              <w:rPr>
                <w:rFonts w:ascii="Arial" w:cs="Arial" w:eastAsia="Arial" w:hAnsi="Arial"/>
                <w:sz w:val="16"/>
                <w:szCs w:val="16"/>
                <w:b w:val="1"/>
                <w:bCs w:val="1"/>
                <w:color w:val="auto"/>
              </w:rPr>
              <w:t>2023</w:t>
            </w:r>
          </w:p>
        </w:tc>
        <w:tc>
          <w:tcPr>
            <w:tcW w:w="960" w:type="dxa"/>
            <w:vAlign w:val="bottom"/>
            <w:vMerge w:val="continue"/>
            <w:shd w:val="clear" w:color="auto" w:fill="E4E4E4"/>
          </w:tcPr>
          <w:p>
            <w:pPr>
              <w:spacing w:after="0"/>
              <w:rPr>
                <w:sz w:val="12"/>
                <w:szCs w:val="12"/>
                <w:color w:val="auto"/>
              </w:rPr>
            </w:pPr>
          </w:p>
        </w:tc>
        <w:tc>
          <w:tcPr>
            <w:tcW w:w="560" w:type="dxa"/>
            <w:vAlign w:val="bottom"/>
            <w:vMerge w:val="continue"/>
            <w:shd w:val="clear" w:color="auto" w:fill="E4E4E4"/>
          </w:tcPr>
          <w:p>
            <w:pPr>
              <w:spacing w:after="0"/>
              <w:rPr>
                <w:sz w:val="12"/>
                <w:szCs w:val="12"/>
                <w:color w:val="auto"/>
              </w:rPr>
            </w:pPr>
          </w:p>
        </w:tc>
        <w:tc>
          <w:tcPr>
            <w:tcW w:w="320" w:type="dxa"/>
            <w:vAlign w:val="bottom"/>
            <w:vMerge w:val="continue"/>
            <w:shd w:val="clear" w:color="auto" w:fill="E4E4E4"/>
          </w:tcPr>
          <w:p>
            <w:pPr>
              <w:spacing w:after="0"/>
              <w:rPr>
                <w:sz w:val="12"/>
                <w:szCs w:val="12"/>
                <w:color w:val="auto"/>
              </w:rPr>
            </w:pPr>
          </w:p>
        </w:tc>
        <w:tc>
          <w:tcPr>
            <w:tcW w:w="1080" w:type="dxa"/>
            <w:vAlign w:val="bottom"/>
            <w:vMerge w:val="continue"/>
            <w:shd w:val="clear" w:color="auto" w:fill="E4E4E4"/>
          </w:tcPr>
          <w:p>
            <w:pPr>
              <w:spacing w:after="0"/>
              <w:rPr>
                <w:sz w:val="12"/>
                <w:szCs w:val="12"/>
                <w:color w:val="auto"/>
              </w:rPr>
            </w:pPr>
          </w:p>
        </w:tc>
        <w:tc>
          <w:tcPr>
            <w:tcW w:w="660" w:type="dxa"/>
            <w:vAlign w:val="bottom"/>
            <w:gridSpan w:val="2"/>
            <w:vMerge w:val="continue"/>
            <w:shd w:val="clear" w:color="auto" w:fill="E4E4E4"/>
          </w:tcPr>
          <w:p>
            <w:pPr>
              <w:spacing w:after="0"/>
              <w:rPr>
                <w:sz w:val="12"/>
                <w:szCs w:val="12"/>
                <w:color w:val="auto"/>
              </w:rPr>
            </w:pPr>
          </w:p>
        </w:tc>
        <w:tc>
          <w:tcPr>
            <w:tcW w:w="760" w:type="dxa"/>
            <w:vAlign w:val="bottom"/>
            <w:vMerge w:val="continue"/>
            <w:shd w:val="clear" w:color="auto" w:fill="E4E4E4"/>
          </w:tcPr>
          <w:p>
            <w:pPr>
              <w:spacing w:after="0"/>
              <w:rPr>
                <w:sz w:val="12"/>
                <w:szCs w:val="12"/>
                <w:color w:val="auto"/>
              </w:rPr>
            </w:pPr>
          </w:p>
        </w:tc>
        <w:tc>
          <w:tcPr>
            <w:tcW w:w="100" w:type="dxa"/>
            <w:vAlign w:val="bottom"/>
            <w:vMerge w:val="continue"/>
            <w:shd w:val="clear" w:color="auto" w:fill="E4E4E4"/>
          </w:tcPr>
          <w:p>
            <w:pPr>
              <w:spacing w:after="0"/>
              <w:rPr>
                <w:sz w:val="12"/>
                <w:szCs w:val="12"/>
                <w:color w:val="auto"/>
              </w:rPr>
            </w:pPr>
          </w:p>
        </w:tc>
        <w:tc>
          <w:tcPr>
            <w:tcW w:w="780" w:type="dxa"/>
            <w:vAlign w:val="bottom"/>
            <w:vMerge w:val="continue"/>
            <w:shd w:val="clear" w:color="auto" w:fill="E4E4E4"/>
          </w:tcPr>
          <w:p>
            <w:pPr>
              <w:spacing w:after="0"/>
              <w:rPr>
                <w:sz w:val="12"/>
                <w:szCs w:val="12"/>
                <w:color w:val="auto"/>
              </w:rPr>
            </w:pPr>
          </w:p>
        </w:tc>
        <w:tc>
          <w:tcPr>
            <w:tcW w:w="160" w:type="dxa"/>
            <w:vAlign w:val="bottom"/>
            <w:vMerge w:val="continue"/>
            <w:shd w:val="clear" w:color="auto" w:fill="E4E4E4"/>
          </w:tcPr>
          <w:p>
            <w:pPr>
              <w:spacing w:after="0"/>
              <w:rPr>
                <w:sz w:val="12"/>
                <w:szCs w:val="12"/>
                <w:color w:val="auto"/>
              </w:rPr>
            </w:pPr>
          </w:p>
        </w:tc>
        <w:tc>
          <w:tcPr>
            <w:tcW w:w="1180" w:type="dxa"/>
            <w:vAlign w:val="bottom"/>
            <w:vMerge w:val="continue"/>
            <w:shd w:val="clear" w:color="auto" w:fill="E4E4E4"/>
          </w:tcPr>
          <w:p>
            <w:pPr>
              <w:spacing w:after="0"/>
              <w:rPr>
                <w:sz w:val="12"/>
                <w:szCs w:val="12"/>
                <w:color w:val="auto"/>
              </w:rPr>
            </w:pPr>
          </w:p>
        </w:tc>
        <w:tc>
          <w:tcPr>
            <w:tcW w:w="180" w:type="dxa"/>
            <w:vAlign w:val="bottom"/>
            <w:vMerge w:val="continue"/>
            <w:shd w:val="clear" w:color="auto" w:fill="E4E4E4"/>
          </w:tcPr>
          <w:p>
            <w:pPr>
              <w:spacing w:after="0"/>
              <w:rPr>
                <w:sz w:val="12"/>
                <w:szCs w:val="12"/>
                <w:color w:val="auto"/>
              </w:rPr>
            </w:pPr>
          </w:p>
        </w:tc>
        <w:tc>
          <w:tcPr>
            <w:tcW w:w="1000" w:type="dxa"/>
            <w:vAlign w:val="bottom"/>
            <w:vMerge w:val="continue"/>
            <w:shd w:val="clear" w:color="auto" w:fill="E4E4E4"/>
          </w:tcPr>
          <w:p>
            <w:pPr>
              <w:spacing w:after="0"/>
              <w:rPr>
                <w:sz w:val="12"/>
                <w:szCs w:val="12"/>
                <w:color w:val="auto"/>
              </w:rPr>
            </w:pPr>
          </w:p>
        </w:tc>
        <w:tc>
          <w:tcPr>
            <w:tcW w:w="160" w:type="dxa"/>
            <w:vAlign w:val="bottom"/>
            <w:vMerge w:val="continue"/>
            <w:shd w:val="clear" w:color="auto" w:fill="E4E4E4"/>
          </w:tcPr>
          <w:p>
            <w:pPr>
              <w:spacing w:after="0"/>
              <w:rPr>
                <w:sz w:val="12"/>
                <w:szCs w:val="12"/>
                <w:color w:val="auto"/>
              </w:rPr>
            </w:pPr>
          </w:p>
        </w:tc>
        <w:tc>
          <w:tcPr>
            <w:tcW w:w="720" w:type="dxa"/>
            <w:vAlign w:val="bottom"/>
            <w:vMerge w:val="continue"/>
            <w:shd w:val="clear" w:color="auto" w:fill="E4E4E4"/>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2620" w:type="dxa"/>
            <w:vAlign w:val="bottom"/>
            <w:tcBorders>
              <w:bottom w:val="single" w:sz="8" w:color="E4E4E4"/>
            </w:tcBorders>
            <w:vMerge w:val="continue"/>
            <w:shd w:val="clear" w:color="auto" w:fill="E4E4E4"/>
          </w:tcPr>
          <w:p>
            <w:pPr>
              <w:spacing w:after="0"/>
              <w:rPr>
                <w:sz w:val="7"/>
                <w:szCs w:val="7"/>
                <w:color w:val="auto"/>
              </w:rPr>
            </w:pPr>
          </w:p>
        </w:tc>
        <w:tc>
          <w:tcPr>
            <w:tcW w:w="960" w:type="dxa"/>
            <w:vAlign w:val="bottom"/>
            <w:tcBorders>
              <w:bottom w:val="single" w:sz="8" w:color="E4E4E4"/>
            </w:tcBorders>
            <w:shd w:val="clear" w:color="auto" w:fill="E4E4E4"/>
          </w:tcPr>
          <w:p>
            <w:pPr>
              <w:spacing w:after="0"/>
              <w:rPr>
                <w:sz w:val="7"/>
                <w:szCs w:val="7"/>
                <w:color w:val="auto"/>
              </w:rPr>
            </w:pPr>
          </w:p>
        </w:tc>
        <w:tc>
          <w:tcPr>
            <w:tcW w:w="560" w:type="dxa"/>
            <w:vAlign w:val="bottom"/>
            <w:tcBorders>
              <w:bottom w:val="single" w:sz="8" w:color="E4E4E4"/>
            </w:tcBorders>
            <w:shd w:val="clear" w:color="auto" w:fill="E4E4E4"/>
          </w:tcPr>
          <w:p>
            <w:pPr>
              <w:spacing w:after="0"/>
              <w:rPr>
                <w:sz w:val="7"/>
                <w:szCs w:val="7"/>
                <w:color w:val="auto"/>
              </w:rPr>
            </w:pPr>
          </w:p>
        </w:tc>
        <w:tc>
          <w:tcPr>
            <w:tcW w:w="320" w:type="dxa"/>
            <w:vAlign w:val="bottom"/>
            <w:tcBorders>
              <w:bottom w:val="single" w:sz="8" w:color="E4E4E4"/>
            </w:tcBorders>
            <w:shd w:val="clear" w:color="auto" w:fill="E4E4E4"/>
          </w:tcPr>
          <w:p>
            <w:pPr>
              <w:spacing w:after="0"/>
              <w:rPr>
                <w:sz w:val="7"/>
                <w:szCs w:val="7"/>
                <w:color w:val="auto"/>
              </w:rPr>
            </w:pPr>
          </w:p>
        </w:tc>
        <w:tc>
          <w:tcPr>
            <w:tcW w:w="1080" w:type="dxa"/>
            <w:vAlign w:val="bottom"/>
            <w:tcBorders>
              <w:bottom w:val="single" w:sz="8" w:color="E4E4E4"/>
            </w:tcBorders>
            <w:shd w:val="clear" w:color="auto" w:fill="E4E4E4"/>
          </w:tcPr>
          <w:p>
            <w:pPr>
              <w:spacing w:after="0"/>
              <w:rPr>
                <w:sz w:val="7"/>
                <w:szCs w:val="7"/>
                <w:color w:val="auto"/>
              </w:rPr>
            </w:pPr>
          </w:p>
        </w:tc>
        <w:tc>
          <w:tcPr>
            <w:tcW w:w="520" w:type="dxa"/>
            <w:vAlign w:val="bottom"/>
            <w:tcBorders>
              <w:bottom w:val="single" w:sz="8" w:color="E4E4E4"/>
            </w:tcBorders>
            <w:shd w:val="clear" w:color="auto" w:fill="E4E4E4"/>
          </w:tcPr>
          <w:p>
            <w:pPr>
              <w:spacing w:after="0"/>
              <w:rPr>
                <w:sz w:val="7"/>
                <w:szCs w:val="7"/>
                <w:color w:val="auto"/>
              </w:rPr>
            </w:pPr>
          </w:p>
        </w:tc>
        <w:tc>
          <w:tcPr>
            <w:tcW w:w="140" w:type="dxa"/>
            <w:vAlign w:val="bottom"/>
            <w:tcBorders>
              <w:bottom w:val="single" w:sz="8" w:color="E4E4E4"/>
            </w:tcBorders>
            <w:shd w:val="clear" w:color="auto" w:fill="E4E4E4"/>
          </w:tcPr>
          <w:p>
            <w:pPr>
              <w:spacing w:after="0"/>
              <w:rPr>
                <w:sz w:val="7"/>
                <w:szCs w:val="7"/>
                <w:color w:val="auto"/>
              </w:rPr>
            </w:pPr>
          </w:p>
        </w:tc>
        <w:tc>
          <w:tcPr>
            <w:tcW w:w="760" w:type="dxa"/>
            <w:vAlign w:val="bottom"/>
            <w:tcBorders>
              <w:bottom w:val="single" w:sz="8" w:color="E4E4E4"/>
            </w:tcBorders>
            <w:shd w:val="clear" w:color="auto" w:fill="E4E4E4"/>
          </w:tcPr>
          <w:p>
            <w:pPr>
              <w:spacing w:after="0"/>
              <w:rPr>
                <w:sz w:val="7"/>
                <w:szCs w:val="7"/>
                <w:color w:val="auto"/>
              </w:rPr>
            </w:pPr>
          </w:p>
        </w:tc>
        <w:tc>
          <w:tcPr>
            <w:tcW w:w="100" w:type="dxa"/>
            <w:vAlign w:val="bottom"/>
            <w:tcBorders>
              <w:bottom w:val="single" w:sz="8" w:color="E4E4E4"/>
            </w:tcBorders>
            <w:shd w:val="clear" w:color="auto" w:fill="E4E4E4"/>
          </w:tcPr>
          <w:p>
            <w:pPr>
              <w:spacing w:after="0"/>
              <w:rPr>
                <w:sz w:val="7"/>
                <w:szCs w:val="7"/>
                <w:color w:val="auto"/>
              </w:rPr>
            </w:pPr>
          </w:p>
        </w:tc>
        <w:tc>
          <w:tcPr>
            <w:tcW w:w="78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1180" w:type="dxa"/>
            <w:vAlign w:val="bottom"/>
            <w:tcBorders>
              <w:bottom w:val="single" w:sz="8" w:color="E4E4E4"/>
            </w:tcBorders>
            <w:shd w:val="clear" w:color="auto" w:fill="E4E4E4"/>
          </w:tcPr>
          <w:p>
            <w:pPr>
              <w:spacing w:after="0"/>
              <w:rPr>
                <w:sz w:val="7"/>
                <w:szCs w:val="7"/>
                <w:color w:val="auto"/>
              </w:rPr>
            </w:pPr>
          </w:p>
        </w:tc>
        <w:tc>
          <w:tcPr>
            <w:tcW w:w="180" w:type="dxa"/>
            <w:vAlign w:val="bottom"/>
            <w:tcBorders>
              <w:bottom w:val="single" w:sz="8" w:color="E4E4E4"/>
            </w:tcBorders>
            <w:shd w:val="clear" w:color="auto" w:fill="E4E4E4"/>
          </w:tcPr>
          <w:p>
            <w:pPr>
              <w:spacing w:after="0"/>
              <w:rPr>
                <w:sz w:val="7"/>
                <w:szCs w:val="7"/>
                <w:color w:val="auto"/>
              </w:rPr>
            </w:pPr>
          </w:p>
        </w:tc>
        <w:tc>
          <w:tcPr>
            <w:tcW w:w="1000" w:type="dxa"/>
            <w:vAlign w:val="bottom"/>
            <w:tcBorders>
              <w:bottom w:val="single" w:sz="8" w:color="E4E4E4"/>
            </w:tcBorders>
            <w:shd w:val="clear" w:color="auto" w:fill="E4E4E4"/>
          </w:tcPr>
          <w:p>
            <w:pPr>
              <w:spacing w:after="0"/>
              <w:rPr>
                <w:sz w:val="7"/>
                <w:szCs w:val="7"/>
                <w:color w:val="auto"/>
              </w:rPr>
            </w:pPr>
          </w:p>
        </w:tc>
        <w:tc>
          <w:tcPr>
            <w:tcW w:w="160" w:type="dxa"/>
            <w:vAlign w:val="bottom"/>
            <w:tcBorders>
              <w:bottom w:val="single" w:sz="8" w:color="E4E4E4"/>
            </w:tcBorders>
            <w:shd w:val="clear" w:color="auto" w:fill="E4E4E4"/>
          </w:tcPr>
          <w:p>
            <w:pPr>
              <w:spacing w:after="0"/>
              <w:rPr>
                <w:sz w:val="7"/>
                <w:szCs w:val="7"/>
                <w:color w:val="auto"/>
              </w:rPr>
            </w:pPr>
          </w:p>
        </w:tc>
        <w:tc>
          <w:tcPr>
            <w:tcW w:w="720" w:type="dxa"/>
            <w:vAlign w:val="bottom"/>
            <w:tcBorders>
              <w:bottom w:val="single" w:sz="8" w:color="E4E4E4"/>
            </w:tcBorders>
            <w:shd w:val="clear" w:color="auto" w:fill="E4E4E4"/>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Issuance of shares under equity</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20" w:type="dxa"/>
            <w:vAlign w:val="bottom"/>
          </w:tcPr>
          <w:p>
            <w:pPr>
              <w:ind w:left="20"/>
              <w:spacing w:after="0"/>
              <w:rPr>
                <w:sz w:val="20"/>
                <w:szCs w:val="20"/>
                <w:color w:val="auto"/>
              </w:rPr>
            </w:pPr>
            <w:r>
              <w:rPr>
                <w:rFonts w:ascii="Arial" w:cs="Arial" w:eastAsia="Arial" w:hAnsi="Arial"/>
                <w:sz w:val="16"/>
                <w:szCs w:val="16"/>
                <w:color w:val="auto"/>
              </w:rPr>
              <w:t>awards, net of shares withheld for</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7"/>
                <w:szCs w:val="17"/>
                <w:color w:val="auto"/>
              </w:rPr>
            </w:pPr>
          </w:p>
        </w:tc>
        <w:tc>
          <w:tcPr>
            <w:tcW w:w="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ind w:left="54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2620" w:type="dxa"/>
            <w:vAlign w:val="bottom"/>
          </w:tcPr>
          <w:p>
            <w:pPr>
              <w:ind w:left="20"/>
              <w:spacing w:after="0"/>
              <w:rPr>
                <w:sz w:val="20"/>
                <w:szCs w:val="20"/>
                <w:color w:val="auto"/>
              </w:rPr>
            </w:pPr>
            <w:r>
              <w:rPr>
                <w:rFonts w:ascii="Arial" w:cs="Arial" w:eastAsia="Arial" w:hAnsi="Arial"/>
                <w:sz w:val="16"/>
                <w:szCs w:val="16"/>
                <w:color w:val="auto"/>
              </w:rPr>
              <w:t>taxes and other</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p>
      <w:pPr>
        <w:spacing w:after="0" w:line="42" w:lineRule="exact"/>
        <w:rPr>
          <w:sz w:val="20"/>
          <w:szCs w:val="20"/>
          <w:color w:val="auto"/>
        </w:rPr>
      </w:pPr>
    </w:p>
    <w:p>
      <w:pPr>
        <w:ind w:left="20" w:right="480"/>
        <w:spacing w:after="0" w:line="299" w:lineRule="auto"/>
        <w:rPr>
          <w:sz w:val="20"/>
          <w:szCs w:val="20"/>
          <w:color w:val="auto"/>
        </w:rPr>
      </w:pPr>
      <w:r>
        <w:rPr>
          <w:rFonts w:ascii="Arial" w:cs="Arial" w:eastAsia="Arial" w:hAnsi="Arial"/>
          <w:sz w:val="16"/>
          <w:szCs w:val="16"/>
          <w:color w:val="auto"/>
        </w:rPr>
        <w:t>Net income attributable to GE HealthCare</w:t>
      </w:r>
    </w:p>
    <w:p>
      <w:pPr>
        <w:spacing w:after="0" w:line="1" w:lineRule="exact"/>
        <w:rPr>
          <w:sz w:val="20"/>
          <w:szCs w:val="20"/>
          <w:color w:val="auto"/>
        </w:rPr>
      </w:pPr>
    </w:p>
    <w:p>
      <w:pPr>
        <w:ind w:left="20" w:right="460"/>
        <w:spacing w:after="0" w:line="299" w:lineRule="auto"/>
        <w:rPr>
          <w:sz w:val="20"/>
          <w:szCs w:val="20"/>
          <w:color w:val="auto"/>
        </w:rPr>
      </w:pPr>
      <w:r>
        <w:rPr>
          <w:rFonts w:ascii="Arial" w:cs="Arial" w:eastAsia="Arial" w:hAnsi="Arial"/>
          <w:sz w:val="16"/>
          <w:szCs w:val="16"/>
          <w:color w:val="auto"/>
        </w:rPr>
        <w:t>Dividends declared ($0.09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30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40" w:type="dxa"/>
            <w:vAlign w:val="bottom"/>
          </w:tcPr>
          <w:p>
            <w:pPr>
              <w:ind w:left="3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1,272</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1,272</w:t>
            </w: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40" w:type="dxa"/>
            <w:vAlign w:val="bottom"/>
          </w:tcPr>
          <w:p>
            <w:pPr>
              <w:ind w:left="3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19"/>
              <w:spacing w:after="0"/>
              <w:rPr>
                <w:sz w:val="20"/>
                <w:szCs w:val="20"/>
                <w:color w:val="auto"/>
              </w:rPr>
            </w:pPr>
            <w:r>
              <w:rPr>
                <w:rFonts w:ascii="Arial" w:cs="Arial" w:eastAsia="Arial" w:hAnsi="Arial"/>
                <w:sz w:val="16"/>
                <w:szCs w:val="16"/>
                <w:color w:val="auto"/>
              </w:rPr>
              <w:t>(41)</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40" w:type="dxa"/>
            <w:vAlign w:val="bottom"/>
          </w:tcPr>
          <w:p>
            <w:pPr>
              <w:ind w:left="3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98"/>
              </w:rPr>
              <w:t>(80)</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459"/>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40" w:type="dxa"/>
            <w:vAlign w:val="bottom"/>
          </w:tcPr>
          <w:p>
            <w:pPr>
              <w:ind w:left="3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6</w:t>
            </w: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5"/>
        </w:trPr>
        <w:tc>
          <w:tcPr>
            <w:tcW w:w="50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20" w:type="dxa"/>
            <w:vAlign w:val="bottom"/>
          </w:tcPr>
          <w:p>
            <w:pPr>
              <w:ind w:left="320"/>
              <w:spacing w:after="0"/>
              <w:rPr>
                <w:sz w:val="20"/>
                <w:szCs w:val="20"/>
                <w:color w:val="auto"/>
              </w:rPr>
            </w:pPr>
            <w:r>
              <w:rPr>
                <w:rFonts w:ascii="Arial" w:cs="Arial" w:eastAsia="Arial" w:hAnsi="Arial"/>
                <w:sz w:val="16"/>
                <w:szCs w:val="16"/>
                <w:color w:val="auto"/>
              </w:rPr>
              <w:t>—</w:t>
            </w:r>
          </w:p>
        </w:tc>
        <w:tc>
          <w:tcPr>
            <w:tcW w:w="840" w:type="dxa"/>
            <w:vAlign w:val="bottom"/>
          </w:tcPr>
          <w:p>
            <w:pPr>
              <w:ind w:left="3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79"/>
              <w:spacing w:after="0"/>
              <w:rPr>
                <w:sz w:val="20"/>
                <w:szCs w:val="20"/>
                <w:color w:val="auto"/>
              </w:rPr>
            </w:pPr>
            <w:r>
              <w:rPr>
                <w:rFonts w:ascii="Arial" w:cs="Arial" w:eastAsia="Arial" w:hAnsi="Arial"/>
                <w:sz w:val="16"/>
                <w:szCs w:val="16"/>
                <w:color w:val="auto"/>
              </w:rPr>
              <w:t>92</w:t>
            </w:r>
          </w:p>
        </w:tc>
        <w:tc>
          <w:tcPr>
            <w:tcW w:w="12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3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-726440</wp:posOffset>
            </wp:positionV>
            <wp:extent cx="7132320"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-144145</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2640" w:space="720"/>
            <w:col w:w="7880"/>
          </w:cols>
          <w:pgMar w:left="320" w:top="1138"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Balances as of September 30,</w:t>
            </w:r>
          </w:p>
        </w:tc>
        <w:tc>
          <w:tcPr>
            <w:tcW w:w="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457</w:t>
            </w:r>
          </w:p>
        </w:tc>
        <w:tc>
          <w:tcPr>
            <w:tcW w:w="2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w:t>
            </w:r>
          </w:p>
        </w:tc>
        <w:tc>
          <w:tcPr>
            <w:tcW w:w="98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 $</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6,551</w:t>
            </w:r>
          </w:p>
        </w:tc>
        <w:tc>
          <w:tcPr>
            <w:tcW w:w="2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2,558</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(771)</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8,335</w:t>
            </w:r>
          </w:p>
        </w:tc>
        <w:tc>
          <w:tcPr>
            <w:tcW w:w="0" w:type="dxa"/>
            <w:vAlign w:val="bottom"/>
          </w:tcPr>
          <w:p>
            <w:pPr>
              <w:spacing w:after="0"/>
              <w:rPr>
                <w:sz w:val="1"/>
                <w:szCs w:val="1"/>
                <w:color w:val="auto"/>
              </w:rPr>
            </w:pPr>
          </w:p>
        </w:tc>
      </w:tr>
      <w:tr>
        <w:trPr>
          <w:trHeight w:val="115"/>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2024</w:t>
            </w:r>
          </w:p>
        </w:tc>
        <w:tc>
          <w:tcPr>
            <w:tcW w:w="3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8"/>
        </w:trPr>
        <w:tc>
          <w:tcPr>
            <w:tcW w:w="3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4"/>
          </w:tcPr>
          <w:p>
            <w:pPr>
              <w:ind w:left="40"/>
              <w:spacing w:after="0"/>
              <w:rPr>
                <w:sz w:val="20"/>
                <w:szCs w:val="20"/>
                <w:color w:val="auto"/>
              </w:rPr>
            </w:pPr>
            <w:r>
              <w:rPr>
                <w:rFonts w:ascii="Arial" w:cs="Arial" w:eastAsia="Arial" w:hAnsi="Arial"/>
                <w:sz w:val="16"/>
                <w:szCs w:val="16"/>
                <w:b w:val="1"/>
                <w:bCs w:val="1"/>
                <w:color w:val="454545"/>
              </w:rPr>
              <w:t>Common stock</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360" w:type="dxa"/>
            <w:vAlign w:val="bottom"/>
            <w:tcBorders>
              <w:top w:val="single" w:sz="8" w:color="454545"/>
            </w:tcBorders>
          </w:tcPr>
          <w:p>
            <w:pPr>
              <w:spacing w:after="0"/>
              <w:rPr>
                <w:sz w:val="14"/>
                <w:szCs w:val="14"/>
                <w:color w:val="auto"/>
              </w:rPr>
            </w:pPr>
          </w:p>
        </w:tc>
        <w:tc>
          <w:tcPr>
            <w:tcW w:w="260" w:type="dxa"/>
            <w:vAlign w:val="bottom"/>
            <w:tcBorders>
              <w:top w:val="single" w:sz="8" w:color="454545"/>
            </w:tcBorders>
          </w:tcPr>
          <w:p>
            <w:pPr>
              <w:spacing w:after="0"/>
              <w:rPr>
                <w:sz w:val="14"/>
                <w:szCs w:val="14"/>
                <w:color w:val="auto"/>
              </w:rPr>
            </w:pPr>
          </w:p>
        </w:tc>
        <w:tc>
          <w:tcPr>
            <w:tcW w:w="540" w:type="dxa"/>
            <w:vAlign w:val="bottom"/>
            <w:tcBorders>
              <w:top w:val="single" w:sz="8" w:color="454545"/>
            </w:tcBorders>
          </w:tcPr>
          <w:p>
            <w:pPr>
              <w:spacing w:after="0"/>
              <w:rPr>
                <w:sz w:val="14"/>
                <w:szCs w:val="14"/>
                <w:color w:val="auto"/>
              </w:rPr>
            </w:pPr>
          </w:p>
        </w:tc>
        <w:tc>
          <w:tcPr>
            <w:tcW w:w="820" w:type="dxa"/>
            <w:vAlign w:val="bottom"/>
            <w:tcBorders>
              <w:top w:val="single" w:sz="8" w:color="454545"/>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1" w:lineRule="exact"/>
              <w:rPr>
                <w:sz w:val="20"/>
                <w:szCs w:val="20"/>
                <w:color w:val="auto"/>
              </w:rPr>
            </w:pPr>
            <w:r>
              <w:rPr>
                <w:rFonts w:ascii="Arial" w:cs="Arial" w:eastAsia="Arial" w:hAnsi="Arial"/>
                <w:sz w:val="16"/>
                <w:szCs w:val="16"/>
                <w:b w:val="1"/>
                <w:bCs w:val="1"/>
                <w:color w:val="454545"/>
                <w:w w:val="99"/>
              </w:rPr>
              <w:t>Accumulated</w:t>
            </w:r>
          </w:p>
        </w:tc>
        <w:tc>
          <w:tcPr>
            <w:tcW w:w="200" w:type="dxa"/>
            <w:vAlign w:val="bottom"/>
          </w:tcPr>
          <w:p>
            <w:pPr>
              <w:spacing w:after="0"/>
              <w:rPr>
                <w:sz w:val="14"/>
                <w:szCs w:val="14"/>
                <w:color w:val="auto"/>
              </w:rPr>
            </w:pPr>
          </w:p>
        </w:tc>
        <w:tc>
          <w:tcPr>
            <w:tcW w:w="100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454545"/>
                <w:w w:val="98"/>
              </w:rPr>
              <w:t>Equity</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454545"/>
                <w:w w:val="99"/>
              </w:rPr>
              <w:t>other</w:t>
            </w:r>
          </w:p>
        </w:tc>
        <w:tc>
          <w:tcPr>
            <w:tcW w:w="2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Additional</w:t>
            </w:r>
          </w:p>
        </w:tc>
        <w:tc>
          <w:tcPr>
            <w:tcW w:w="8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454545"/>
              </w:rPr>
              <w:t>Retained</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454545"/>
              </w:rPr>
              <w:t>Net parent</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comprehensive</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attributable to</w:t>
            </w:r>
          </w:p>
        </w:tc>
        <w:tc>
          <w:tcPr>
            <w:tcW w:w="160" w:type="dxa"/>
            <w:vAlign w:val="bottom"/>
          </w:tcPr>
          <w:p>
            <w:pPr>
              <w:spacing w:after="0"/>
              <w:rPr>
                <w:sz w:val="16"/>
                <w:szCs w:val="16"/>
                <w:color w:val="auto"/>
              </w:rPr>
            </w:pPr>
          </w:p>
        </w:tc>
        <w:tc>
          <w:tcPr>
            <w:tcW w:w="72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454545"/>
              </w:rPr>
              <w:t>Total</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center"/>
              <w:ind w:right="79"/>
              <w:spacing w:after="0" w:line="175" w:lineRule="exact"/>
              <w:rPr>
                <w:sz w:val="20"/>
                <w:szCs w:val="20"/>
                <w:color w:val="auto"/>
              </w:rPr>
            </w:pPr>
            <w:r>
              <w:rPr>
                <w:rFonts w:ascii="Arial" w:cs="Arial" w:eastAsia="Arial" w:hAnsi="Arial"/>
                <w:sz w:val="16"/>
                <w:szCs w:val="16"/>
                <w:b w:val="1"/>
                <w:bCs w:val="1"/>
                <w:color w:val="454545"/>
                <w:w w:val="99"/>
              </w:rPr>
              <w:t>paid-in</w:t>
            </w:r>
          </w:p>
        </w:tc>
        <w:tc>
          <w:tcPr>
            <w:tcW w:w="8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32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income (loss) –</w:t>
            </w:r>
          </w:p>
        </w:tc>
        <w:tc>
          <w:tcPr>
            <w:tcW w:w="1200" w:type="dxa"/>
            <w:vAlign w:val="bottom"/>
            <w:gridSpan w:val="2"/>
          </w:tcPr>
          <w:p>
            <w:pPr>
              <w:jc w:val="center"/>
              <w:spacing w:after="0" w:line="175" w:lineRule="exact"/>
              <w:rPr>
                <w:sz w:val="20"/>
                <w:szCs w:val="20"/>
                <w:color w:val="auto"/>
              </w:rPr>
            </w:pPr>
            <w:r>
              <w:rPr>
                <w:rFonts w:ascii="Arial" w:cs="Arial" w:eastAsia="Arial" w:hAnsi="Arial"/>
                <w:sz w:val="16"/>
                <w:szCs w:val="16"/>
                <w:b w:val="1"/>
                <w:bCs w:val="1"/>
                <w:color w:val="454545"/>
                <w:w w:val="99"/>
              </w:rPr>
              <w:t>noncontrolling</w:t>
            </w:r>
          </w:p>
        </w:tc>
        <w:tc>
          <w:tcPr>
            <w:tcW w:w="1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20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160" w:type="dxa"/>
            <w:vAlign w:val="bottom"/>
            <w:tcBorders>
              <w:bottom w:val="single" w:sz="8" w:color="6022A6"/>
            </w:tcBorders>
            <w:gridSpan w:val="3"/>
          </w:tcPr>
          <w:p>
            <w:pPr>
              <w:jc w:val="right"/>
              <w:ind w:right="319"/>
              <w:spacing w:after="0"/>
              <w:rPr>
                <w:sz w:val="20"/>
                <w:szCs w:val="20"/>
                <w:color w:val="auto"/>
              </w:rPr>
            </w:pPr>
            <w:r>
              <w:rPr>
                <w:rFonts w:ascii="Arial" w:cs="Arial" w:eastAsia="Arial" w:hAnsi="Arial"/>
                <w:sz w:val="16"/>
                <w:szCs w:val="16"/>
                <w:b w:val="1"/>
                <w:bCs w:val="1"/>
                <w:color w:val="454545"/>
              </w:rPr>
              <w:t>Shares</w:t>
            </w:r>
          </w:p>
        </w:tc>
        <w:tc>
          <w:tcPr>
            <w:tcW w:w="980" w:type="dxa"/>
            <w:vAlign w:val="bottom"/>
            <w:tcBorders>
              <w:bottom w:val="single" w:sz="8" w:color="6022A6"/>
            </w:tcBorders>
            <w:gridSpan w:val="2"/>
          </w:tcPr>
          <w:p>
            <w:pPr>
              <w:ind w:left="20"/>
              <w:spacing w:after="0"/>
              <w:rPr>
                <w:sz w:val="20"/>
                <w:szCs w:val="20"/>
                <w:color w:val="auto"/>
              </w:rPr>
            </w:pPr>
            <w:r>
              <w:rPr>
                <w:rFonts w:ascii="Arial" w:cs="Arial" w:eastAsia="Arial" w:hAnsi="Arial"/>
                <w:sz w:val="16"/>
                <w:szCs w:val="16"/>
                <w:b w:val="1"/>
                <w:bCs w:val="1"/>
                <w:color w:val="454545"/>
              </w:rPr>
              <w:t>Amount</w:t>
            </w:r>
          </w:p>
        </w:tc>
        <w:tc>
          <w:tcPr>
            <w:tcW w:w="72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capital</w:t>
            </w:r>
          </w:p>
        </w:tc>
        <w:tc>
          <w:tcPr>
            <w:tcW w:w="860" w:type="dxa"/>
            <w:vAlign w:val="bottom"/>
            <w:tcBorders>
              <w:bottom w:val="single" w:sz="8" w:color="6022A6"/>
            </w:tcBorders>
            <w:gridSpan w:val="2"/>
          </w:tcPr>
          <w:p>
            <w:pPr>
              <w:ind w:left="100"/>
              <w:spacing w:after="0"/>
              <w:rPr>
                <w:sz w:val="20"/>
                <w:szCs w:val="20"/>
                <w:color w:val="auto"/>
              </w:rPr>
            </w:pPr>
            <w:r>
              <w:rPr>
                <w:rFonts w:ascii="Arial" w:cs="Arial" w:eastAsia="Arial" w:hAnsi="Arial"/>
                <w:sz w:val="16"/>
                <w:szCs w:val="16"/>
                <w:b w:val="1"/>
                <w:bCs w:val="1"/>
                <w:color w:val="454545"/>
              </w:rPr>
              <w:t>earnings</w:t>
            </w:r>
          </w:p>
        </w:tc>
        <w:tc>
          <w:tcPr>
            <w:tcW w:w="92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rPr>
              <w:t>investment</w:t>
            </w:r>
          </w:p>
        </w:tc>
        <w:tc>
          <w:tcPr>
            <w:tcW w:w="140" w:type="dxa"/>
            <w:vAlign w:val="bottom"/>
            <w:tcBorders>
              <w:bottom w:val="single" w:sz="8" w:color="6022A6"/>
            </w:tcBorders>
          </w:tcPr>
          <w:p>
            <w:pPr>
              <w:spacing w:after="0"/>
              <w:rPr>
                <w:sz w:val="20"/>
                <w:szCs w:val="20"/>
                <w:color w:val="auto"/>
              </w:rPr>
            </w:pPr>
          </w:p>
        </w:tc>
        <w:tc>
          <w:tcPr>
            <w:tcW w:w="1180" w:type="dxa"/>
            <w:vAlign w:val="bottom"/>
            <w:tcBorders>
              <w:bottom w:val="single" w:sz="8" w:color="6022A6"/>
            </w:tcBorders>
          </w:tcPr>
          <w:p>
            <w:pPr>
              <w:jc w:val="center"/>
              <w:ind w:right="59"/>
              <w:spacing w:after="0"/>
              <w:rPr>
                <w:sz w:val="20"/>
                <w:szCs w:val="20"/>
                <w:color w:val="auto"/>
              </w:rPr>
            </w:pPr>
            <w:r>
              <w:rPr>
                <w:rFonts w:ascii="Arial" w:cs="Arial" w:eastAsia="Arial" w:hAnsi="Arial"/>
                <w:sz w:val="16"/>
                <w:szCs w:val="16"/>
                <w:b w:val="1"/>
                <w:bCs w:val="1"/>
                <w:color w:val="454545"/>
                <w:w w:val="99"/>
              </w:rPr>
              <w:t>net</w:t>
            </w:r>
          </w:p>
        </w:tc>
        <w:tc>
          <w:tcPr>
            <w:tcW w:w="200" w:type="dxa"/>
            <w:vAlign w:val="bottom"/>
            <w:tcBorders>
              <w:bottom w:val="single" w:sz="8" w:color="6022A6"/>
            </w:tcBorders>
          </w:tcPr>
          <w:p>
            <w:pPr>
              <w:spacing w:after="0"/>
              <w:rPr>
                <w:sz w:val="20"/>
                <w:szCs w:val="20"/>
                <w:color w:val="auto"/>
              </w:rPr>
            </w:pPr>
          </w:p>
        </w:tc>
        <w:tc>
          <w:tcPr>
            <w:tcW w:w="100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rPr>
              <w:t>interests</w:t>
            </w:r>
          </w:p>
        </w:tc>
        <w:tc>
          <w:tcPr>
            <w:tcW w:w="160" w:type="dxa"/>
            <w:vAlign w:val="bottom"/>
            <w:tcBorders>
              <w:bottom w:val="single" w:sz="8" w:color="6022A6"/>
            </w:tcBorders>
          </w:tcPr>
          <w:p>
            <w:pPr>
              <w:spacing w:after="0"/>
              <w:rPr>
                <w:sz w:val="20"/>
                <w:szCs w:val="20"/>
                <w:color w:val="auto"/>
              </w:rPr>
            </w:pPr>
          </w:p>
        </w:tc>
        <w:tc>
          <w:tcPr>
            <w:tcW w:w="720" w:type="dxa"/>
            <w:vAlign w:val="bottom"/>
            <w:tcBorders>
              <w:bottom w:val="single" w:sz="8" w:color="6022A6"/>
            </w:tcBorders>
          </w:tcPr>
          <w:p>
            <w:pPr>
              <w:jc w:val="right"/>
              <w:ind w:right="119"/>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2022</w:t>
            </w:r>
          </w:p>
        </w:tc>
        <w:tc>
          <w:tcPr>
            <w:tcW w:w="360" w:type="dxa"/>
            <w:vAlign w:val="bottom"/>
            <w:shd w:val="clear" w:color="auto" w:fill="E4E4E4"/>
          </w:tcPr>
          <w:p>
            <w:pPr>
              <w:spacing w:after="0"/>
              <w:rPr>
                <w:sz w:val="20"/>
                <w:szCs w:val="20"/>
                <w:color w:val="auto"/>
              </w:rPr>
            </w:pPr>
          </w:p>
        </w:tc>
        <w:tc>
          <w:tcPr>
            <w:tcW w:w="260" w:type="dxa"/>
            <w:vAlign w:val="bottom"/>
            <w:shd w:val="clear" w:color="auto" w:fill="E4E4E4"/>
          </w:tcPr>
          <w:p>
            <w:pPr>
              <w:spacing w:after="0"/>
              <w:rPr>
                <w:sz w:val="20"/>
                <w:szCs w:val="20"/>
                <w:color w:val="auto"/>
              </w:rPr>
            </w:pPr>
          </w:p>
        </w:tc>
        <w:tc>
          <w:tcPr>
            <w:tcW w:w="5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w:t>
            </w:r>
          </w:p>
        </w:tc>
        <w:tc>
          <w:tcPr>
            <w:tcW w:w="980" w:type="dxa"/>
            <w:vAlign w:val="bottom"/>
            <w:gridSpan w:val="2"/>
            <w:shd w:val="clear" w:color="auto" w:fill="E4E4E4"/>
          </w:tcPr>
          <w:p>
            <w:pPr>
              <w:ind w:left="580"/>
              <w:spacing w:after="0"/>
              <w:rPr>
                <w:sz w:val="20"/>
                <w:szCs w:val="20"/>
                <w:color w:val="auto"/>
              </w:rPr>
            </w:pPr>
            <w:r>
              <w:rPr>
                <w:rFonts w:ascii="Arial" w:cs="Arial" w:eastAsia="Arial" w:hAnsi="Arial"/>
                <w:sz w:val="16"/>
                <w:szCs w:val="16"/>
                <w:b w:val="1"/>
                <w:bCs w:val="1"/>
                <w:color w:val="auto"/>
              </w:rPr>
              <w:t>— $</w:t>
            </w:r>
          </w:p>
        </w:tc>
        <w:tc>
          <w:tcPr>
            <w:tcW w:w="1000" w:type="dxa"/>
            <w:vAlign w:val="bottom"/>
            <w:gridSpan w:val="2"/>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 $</w:t>
            </w:r>
          </w:p>
        </w:tc>
        <w:tc>
          <w:tcPr>
            <w:tcW w:w="840" w:type="dxa"/>
            <w:vAlign w:val="bottom"/>
            <w:gridSpan w:val="2"/>
            <w:shd w:val="clear" w:color="auto" w:fill="E4E4E4"/>
          </w:tcPr>
          <w:p>
            <w:pPr>
              <w:ind w:left="360"/>
              <w:spacing w:after="0"/>
              <w:rPr>
                <w:sz w:val="20"/>
                <w:szCs w:val="20"/>
                <w:color w:val="auto"/>
              </w:rPr>
            </w:pPr>
            <w:r>
              <w:rPr>
                <w:rFonts w:ascii="Arial" w:cs="Arial" w:eastAsia="Arial" w:hAnsi="Arial"/>
                <w:sz w:val="16"/>
                <w:szCs w:val="16"/>
                <w:b w:val="1"/>
                <w:bCs w:val="1"/>
                <w:color w:val="auto"/>
              </w:rPr>
              <w:t>— $</w:t>
            </w:r>
          </w:p>
        </w:tc>
        <w:tc>
          <w:tcPr>
            <w:tcW w:w="6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11,235</w:t>
            </w:r>
          </w:p>
        </w:tc>
        <w:tc>
          <w:tcPr>
            <w:tcW w:w="14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c>
          <w:tcPr>
            <w:tcW w:w="200" w:type="dxa"/>
            <w:vAlign w:val="bottom"/>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9,362</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36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540" w:type="dxa"/>
            <w:vAlign w:val="bottom"/>
            <w:shd w:val="clear" w:color="auto" w:fill="E4E4E4"/>
          </w:tcPr>
          <w:p>
            <w:pPr>
              <w:spacing w:after="0" w:line="20" w:lineRule="exact"/>
              <w:rPr>
                <w:sz w:val="1"/>
                <w:szCs w:val="1"/>
                <w:color w:val="auto"/>
              </w:rPr>
            </w:pPr>
          </w:p>
        </w:tc>
        <w:tc>
          <w:tcPr>
            <w:tcW w:w="82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280" w:type="dxa"/>
            <w:vAlign w:val="bottom"/>
            <w:shd w:val="clear" w:color="auto" w:fill="E4E4E4"/>
          </w:tcPr>
          <w:p>
            <w:pPr>
              <w:spacing w:after="0" w:line="20" w:lineRule="exact"/>
              <w:rPr>
                <w:sz w:val="1"/>
                <w:szCs w:val="1"/>
                <w:color w:val="auto"/>
              </w:rPr>
            </w:pPr>
          </w:p>
        </w:tc>
        <w:tc>
          <w:tcPr>
            <w:tcW w:w="58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660" w:type="dxa"/>
            <w:vAlign w:val="bottom"/>
            <w:shd w:val="clear" w:color="auto" w:fill="E4E4E4"/>
          </w:tcPr>
          <w:p>
            <w:pPr>
              <w:spacing w:after="0" w:line="20" w:lineRule="exact"/>
              <w:rPr>
                <w:sz w:val="1"/>
                <w:szCs w:val="1"/>
                <w:color w:val="auto"/>
              </w:rPr>
            </w:pPr>
          </w:p>
        </w:tc>
        <w:tc>
          <w:tcPr>
            <w:tcW w:w="140" w:type="dxa"/>
            <w:vAlign w:val="bottom"/>
            <w:shd w:val="clear" w:color="auto" w:fill="E4E4E4"/>
          </w:tcPr>
          <w:p>
            <w:pPr>
              <w:spacing w:after="0" w:line="20" w:lineRule="exact"/>
              <w:rPr>
                <w:sz w:val="1"/>
                <w:szCs w:val="1"/>
                <w:color w:val="auto"/>
              </w:rPr>
            </w:pPr>
          </w:p>
        </w:tc>
        <w:tc>
          <w:tcPr>
            <w:tcW w:w="1180" w:type="dxa"/>
            <w:vAlign w:val="bottom"/>
            <w:shd w:val="clear" w:color="auto" w:fill="E4E4E4"/>
          </w:tcPr>
          <w:p>
            <w:pPr>
              <w:spacing w:after="0" w:line="20" w:lineRule="exact"/>
              <w:rPr>
                <w:sz w:val="1"/>
                <w:szCs w:val="1"/>
                <w:color w:val="auto"/>
              </w:rPr>
            </w:pPr>
          </w:p>
        </w:tc>
        <w:tc>
          <w:tcPr>
            <w:tcW w:w="20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160" w:type="dxa"/>
            <w:vAlign w:val="bottom"/>
            <w:shd w:val="clear" w:color="auto" w:fill="E4E4E4"/>
          </w:tcPr>
          <w:p>
            <w:pPr>
              <w:spacing w:after="0" w:line="20" w:lineRule="exact"/>
              <w:rPr>
                <w:sz w:val="1"/>
                <w:szCs w:val="1"/>
                <w:color w:val="auto"/>
              </w:rPr>
            </w:pPr>
          </w:p>
        </w:tc>
        <w:tc>
          <w:tcPr>
            <w:tcW w:w="72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138" w:right="339" w:bottom="1440" w:gutter="0" w:footer="0" w:header="0"/>
          <w:type w:val="continuous"/>
        </w:sectPr>
      </w:pPr>
    </w:p>
    <w:p>
      <w:pPr>
        <w:ind w:left="20" w:right="100"/>
        <w:spacing w:after="0" w:line="299" w:lineRule="auto"/>
        <w:rPr>
          <w:sz w:val="20"/>
          <w:szCs w:val="20"/>
          <w:color w:val="auto"/>
        </w:rPr>
      </w:pPr>
      <w:r>
        <w:rPr>
          <w:rFonts w:ascii="Arial" w:cs="Arial" w:eastAsia="Arial" w:hAnsi="Arial"/>
          <w:sz w:val="16"/>
          <w:szCs w:val="16"/>
          <w:color w:val="auto"/>
        </w:rPr>
        <w:t>Net transfers from GE, including Spin-Off-related adjustments</w:t>
      </w:r>
    </w:p>
    <w:p>
      <w:pPr>
        <w:spacing w:after="0" w:line="1" w:lineRule="exact"/>
        <w:rPr>
          <w:sz w:val="20"/>
          <w:szCs w:val="20"/>
          <w:color w:val="auto"/>
        </w:rPr>
      </w:pPr>
    </w:p>
    <w:p>
      <w:pPr>
        <w:ind w:left="20" w:right="20"/>
        <w:spacing w:after="0" w:line="284"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8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74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(4,842)</w:t>
            </w:r>
          </w:p>
        </w:tc>
        <w:tc>
          <w:tcPr>
            <w:tcW w:w="1360" w:type="dxa"/>
            <w:vAlign w:val="bottom"/>
          </w:tcPr>
          <w:p>
            <w:pPr>
              <w:jc w:val="right"/>
              <w:ind w:right="439"/>
              <w:spacing w:after="0"/>
              <w:rPr>
                <w:sz w:val="20"/>
                <w:szCs w:val="20"/>
                <w:color w:val="auto"/>
              </w:rPr>
            </w:pPr>
            <w:r>
              <w:rPr>
                <w:rFonts w:ascii="Arial" w:cs="Arial" w:eastAsia="Arial" w:hAnsi="Arial"/>
                <w:sz w:val="16"/>
                <w:szCs w:val="16"/>
                <w:color w:val="auto"/>
              </w:rPr>
              <w:t>2,000</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2</w:t>
            </w:r>
          </w:p>
        </w:tc>
        <w:tc>
          <w:tcPr>
            <w:tcW w:w="720" w:type="dxa"/>
            <w:vAlign w:val="bottom"/>
          </w:tcPr>
          <w:p>
            <w:pPr>
              <w:jc w:val="right"/>
              <w:spacing w:after="0"/>
              <w:rPr>
                <w:sz w:val="20"/>
                <w:szCs w:val="20"/>
                <w:color w:val="auto"/>
              </w:rPr>
            </w:pPr>
            <w:r>
              <w:rPr>
                <w:rFonts w:ascii="Arial" w:cs="Arial" w:eastAsia="Arial" w:hAnsi="Arial"/>
                <w:sz w:val="16"/>
                <w:szCs w:val="16"/>
                <w:color w:val="auto"/>
              </w:rPr>
              <w:t>(2,840)</w:t>
            </w:r>
          </w:p>
        </w:tc>
      </w:tr>
      <w:tr>
        <w:trPr>
          <w:trHeight w:val="567"/>
        </w:trPr>
        <w:tc>
          <w:tcPr>
            <w:tcW w:w="680" w:type="dxa"/>
            <w:vAlign w:val="bottom"/>
          </w:tcPr>
          <w:p>
            <w:pPr>
              <w:jc w:val="right"/>
              <w:ind w:right="339"/>
              <w:spacing w:after="0"/>
              <w:rPr>
                <w:sz w:val="20"/>
                <w:szCs w:val="20"/>
                <w:color w:val="auto"/>
              </w:rPr>
            </w:pPr>
            <w:r>
              <w:rPr>
                <w:rFonts w:ascii="Arial" w:cs="Arial" w:eastAsia="Arial" w:hAnsi="Arial"/>
                <w:sz w:val="16"/>
                <w:szCs w:val="16"/>
                <w:color w:val="auto"/>
                <w:w w:val="89"/>
              </w:rPr>
              <w:t>454</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5</w:t>
            </w: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6,388</w:t>
            </w:r>
          </w:p>
        </w:tc>
        <w:tc>
          <w:tcPr>
            <w:tcW w:w="740" w:type="dxa"/>
            <w:vAlign w:val="bottom"/>
          </w:tcPr>
          <w:p>
            <w:pPr>
              <w:ind w:left="36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39"/>
              <w:spacing w:after="0"/>
              <w:rPr>
                <w:sz w:val="20"/>
                <w:szCs w:val="20"/>
                <w:color w:val="auto"/>
              </w:rPr>
            </w:pPr>
            <w:r>
              <w:rPr>
                <w:rFonts w:ascii="Arial" w:cs="Arial" w:eastAsia="Arial" w:hAnsi="Arial"/>
                <w:sz w:val="16"/>
                <w:szCs w:val="16"/>
                <w:color w:val="auto"/>
              </w:rPr>
              <w:t>(6,393)</w:t>
            </w:r>
          </w:p>
        </w:tc>
        <w:tc>
          <w:tcPr>
            <w:tcW w:w="13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-272415</wp:posOffset>
            </wp:positionV>
            <wp:extent cx="7132320" cy="420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120" w:space="720"/>
            <w:col w:w="7400"/>
          </w:cols>
          <w:pgMar w:left="320" w:top="1138" w:right="339" w:bottom="1440" w:gutter="0" w:footer="0" w:header="0"/>
          <w:type w:val="continuous"/>
        </w:sectPr>
      </w:pPr>
    </w:p>
    <w:p>
      <w:pPr>
        <w:ind w:left="20" w:right="22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20" w:right="360"/>
        <w:spacing w:after="0" w:line="299" w:lineRule="auto"/>
        <w:rPr>
          <w:sz w:val="20"/>
          <w:szCs w:val="20"/>
          <w:color w:val="auto"/>
        </w:rPr>
      </w:pPr>
      <w:r>
        <w:rPr>
          <w:rFonts w:ascii="Arial" w:cs="Arial" w:eastAsia="Arial" w:hAnsi="Arial"/>
          <w:sz w:val="16"/>
          <w:szCs w:val="16"/>
          <w:color w:val="auto"/>
        </w:rPr>
        <w:t>Dividends declared ($0.09 per common share)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20" w:right="88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jc w:val="both"/>
        <w:ind w:left="20" w:right="120"/>
        <w:spacing w:after="0" w:line="284" w:lineRule="auto"/>
        <w:rPr>
          <w:sz w:val="20"/>
          <w:szCs w:val="20"/>
          <w:color w:val="auto"/>
        </w:rPr>
      </w:pPr>
      <w:r>
        <w:rPr>
          <w:rFonts w:ascii="Arial" w:cs="Arial" w:eastAsia="Arial" w:hAnsi="Arial"/>
          <w:sz w:val="16"/>
          <w:szCs w:val="16"/>
          <w:color w:val="auto"/>
        </w:rPr>
        <w:t>Changes in equity due to redemption value adjustments on redeemable noncontrolling interests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jc w:val="right"/>
              <w:ind w:right="339"/>
              <w:spacing w:after="0"/>
              <w:rPr>
                <w:sz w:val="20"/>
                <w:szCs w:val="20"/>
                <w:color w:val="auto"/>
              </w:rPr>
            </w:pPr>
            <w:r>
              <w:rPr>
                <w:rFonts w:ascii="Arial" w:cs="Arial" w:eastAsia="Arial" w:hAnsi="Arial"/>
                <w:sz w:val="16"/>
                <w:szCs w:val="16"/>
                <w:color w:val="auto"/>
              </w:rPr>
              <w:t>1</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80" w:type="dxa"/>
            <w:vAlign w:val="bottom"/>
          </w:tcPr>
          <w:p>
            <w:pPr>
              <w:ind w:lef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5"/>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87"/>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1,165</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80" w:type="dxa"/>
            <w:vAlign w:val="bottom"/>
          </w:tcPr>
          <w:p>
            <w:pPr>
              <w:ind w:lef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1,165</w:t>
            </w:r>
          </w:p>
        </w:tc>
        <w:tc>
          <w:tcPr>
            <w:tcW w:w="0" w:type="dxa"/>
            <w:vAlign w:val="bottom"/>
          </w:tcPr>
          <w:p>
            <w:pPr>
              <w:spacing w:after="0"/>
              <w:rPr>
                <w:sz w:val="1"/>
                <w:szCs w:val="1"/>
                <w:color w:val="auto"/>
              </w:rPr>
            </w:pPr>
          </w:p>
        </w:tc>
      </w:tr>
      <w:tr>
        <w:trPr>
          <w:trHeight w:val="351"/>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87"/>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(41)</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80" w:type="dxa"/>
            <w:vAlign w:val="bottom"/>
          </w:tcPr>
          <w:p>
            <w:pPr>
              <w:ind w:lef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459"/>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87"/>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80" w:type="dxa"/>
            <w:vAlign w:val="bottom"/>
          </w:tcPr>
          <w:p>
            <w:pPr>
              <w:ind w:left="480"/>
              <w:spacing w:after="0"/>
              <w:rPr>
                <w:sz w:val="20"/>
                <w:szCs w:val="20"/>
                <w:color w:val="auto"/>
              </w:rPr>
            </w:pPr>
            <w:r>
              <w:rPr>
                <w:rFonts w:ascii="Arial" w:cs="Arial" w:eastAsia="Arial" w:hAnsi="Arial"/>
                <w:sz w:val="16"/>
                <w:szCs w:val="16"/>
                <w:color w:val="auto"/>
              </w:rPr>
              <w:t>(402)</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(402)</w:t>
            </w:r>
          </w:p>
        </w:tc>
        <w:tc>
          <w:tcPr>
            <w:tcW w:w="0" w:type="dxa"/>
            <w:vAlign w:val="bottom"/>
          </w:tcPr>
          <w:p>
            <w:pPr>
              <w:spacing w:after="0"/>
              <w:rPr>
                <w:sz w:val="1"/>
                <w:szCs w:val="1"/>
                <w:color w:val="auto"/>
              </w:rPr>
            </w:pPr>
          </w:p>
        </w:tc>
      </w:tr>
      <w:tr>
        <w:trPr>
          <w:trHeight w:val="459"/>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87"/>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80" w:type="dxa"/>
            <w:vAlign w:val="bottom"/>
          </w:tcPr>
          <w:p>
            <w:pPr>
              <w:ind w:lef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6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64"/>
        </w:trPr>
        <w:tc>
          <w:tcPr>
            <w:tcW w:w="580" w:type="dxa"/>
            <w:vAlign w:val="bottom"/>
          </w:tcPr>
          <w:p>
            <w:pPr>
              <w:jc w:val="right"/>
              <w:ind w:right="339"/>
              <w:spacing w:after="0"/>
              <w:rPr>
                <w:sz w:val="20"/>
                <w:szCs w:val="20"/>
                <w:color w:val="auto"/>
              </w:rPr>
            </w:pPr>
            <w:r>
              <w:rPr>
                <w:rFonts w:ascii="Arial" w:cs="Arial" w:eastAsia="Arial" w:hAnsi="Arial"/>
                <w:sz w:val="16"/>
                <w:szCs w:val="16"/>
                <w:color w:val="auto"/>
                <w:w w:val="87"/>
              </w:rPr>
              <w:t>—</w:t>
            </w:r>
          </w:p>
        </w:tc>
        <w:tc>
          <w:tcPr>
            <w:tcW w:w="940" w:type="dxa"/>
            <w:vAlign w:val="bottom"/>
          </w:tcPr>
          <w:p>
            <w:pPr>
              <w:ind w:left="42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81</w:t>
            </w:r>
          </w:p>
        </w:tc>
        <w:tc>
          <w:tcPr>
            <w:tcW w:w="10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80" w:type="dxa"/>
            <w:vAlign w:val="bottom"/>
          </w:tcPr>
          <w:p>
            <w:pPr>
              <w:ind w:lef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339"/>
              <w:spacing w:after="0"/>
              <w:rPr>
                <w:sz w:val="20"/>
                <w:szCs w:val="20"/>
                <w:color w:val="auto"/>
              </w:rPr>
            </w:pPr>
            <w:r>
              <w:rPr>
                <w:rFonts w:ascii="Arial" w:cs="Arial" w:eastAsia="Arial" w:hAnsi="Arial"/>
                <w:sz w:val="16"/>
                <w:szCs w:val="16"/>
                <w:color w:val="auto"/>
                <w:w w:val="87"/>
              </w:rPr>
              <w:t>—</w:t>
            </w:r>
          </w:p>
        </w:tc>
        <w:tc>
          <w:tcPr>
            <w:tcW w:w="940" w:type="dxa"/>
            <w:vAlign w:val="bottom"/>
            <w:vMerge w:val="restart"/>
          </w:tcPr>
          <w:p>
            <w:pPr>
              <w:ind w:left="420"/>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79"/>
              <w:spacing w:after="0"/>
              <w:rPr>
                <w:sz w:val="20"/>
                <w:szCs w:val="20"/>
                <w:color w:val="auto"/>
              </w:rPr>
            </w:pPr>
            <w:r>
              <w:rPr>
                <w:rFonts w:ascii="Arial" w:cs="Arial" w:eastAsia="Arial" w:hAnsi="Arial"/>
                <w:sz w:val="16"/>
                <w:szCs w:val="16"/>
                <w:color w:val="auto"/>
              </w:rPr>
              <w:t>(187)</w:t>
            </w:r>
          </w:p>
        </w:tc>
        <w:tc>
          <w:tcPr>
            <w:tcW w:w="1000" w:type="dxa"/>
            <w:vAlign w:val="bottom"/>
          </w:tcPr>
          <w:p>
            <w:pPr>
              <w:ind w:left="360"/>
              <w:spacing w:after="0"/>
              <w:rPr>
                <w:sz w:val="20"/>
                <w:szCs w:val="20"/>
                <w:color w:val="auto"/>
              </w:rPr>
            </w:pPr>
            <w:r>
              <w:rPr>
                <w:rFonts w:ascii="Arial" w:cs="Arial" w:eastAsia="Arial" w:hAnsi="Arial"/>
                <w:sz w:val="16"/>
                <w:szCs w:val="16"/>
                <w:color w:val="auto"/>
              </w:rPr>
              <w:t>—</w:t>
            </w:r>
          </w:p>
        </w:tc>
        <w:tc>
          <w:tcPr>
            <w:tcW w:w="1380" w:type="dxa"/>
            <w:vAlign w:val="bottom"/>
          </w:tcPr>
          <w:p>
            <w:pPr>
              <w:ind w:left="6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03"/>
        </w:trPr>
        <w:tc>
          <w:tcPr>
            <w:tcW w:w="5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-1601470</wp:posOffset>
            </wp:positionV>
            <wp:extent cx="7132320"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-1146810</wp:posOffset>
            </wp:positionV>
            <wp:extent cx="7132320" cy="291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-563880</wp:posOffset>
            </wp:positionV>
            <wp:extent cx="71323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18415</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220" w:space="720"/>
            <w:col w:w="7300"/>
          </w:cols>
          <w:pgMar w:left="320" w:top="1138" w:right="339" w:bottom="1440" w:gutter="0" w:footer="0" w:header="0"/>
          <w:type w:val="continuous"/>
        </w:sectPr>
      </w:pPr>
    </w:p>
    <w:p>
      <w:pPr>
        <w:ind w:left="20"/>
        <w:spacing w:after="0"/>
        <w:tabs>
          <w:tab w:leader="none" w:pos="3820" w:val="left"/>
          <w:tab w:leader="none" w:pos="5000" w:val="left"/>
          <w:tab w:leader="none" w:pos="5580" w:val="left"/>
          <w:tab w:leader="none" w:pos="6580" w:val="left"/>
          <w:tab w:leader="none" w:pos="7600" w:val="left"/>
          <w:tab w:leader="none" w:pos="8720" w:val="left"/>
          <w:tab w:leader="none" w:pos="10120" w:val="left"/>
          <w:tab w:leader="none" w:pos="10740" w:val="left"/>
        </w:tabs>
        <w:rPr>
          <w:sz w:val="20"/>
          <w:szCs w:val="20"/>
          <w:color w:val="auto"/>
        </w:rPr>
      </w:pPr>
      <w:r>
        <w:rPr>
          <w:rFonts w:ascii="Arial" w:cs="Arial" w:eastAsia="Arial" w:hAnsi="Arial"/>
          <w:sz w:val="16"/>
          <w:szCs w:val="16"/>
          <w:b w:val="1"/>
          <w:bCs w:val="1"/>
          <w:color w:val="auto"/>
        </w:rPr>
        <w:t>Balances as of September 30, 2023</w:t>
      </w:r>
      <w:r>
        <w:rPr>
          <w:sz w:val="20"/>
          <w:szCs w:val="20"/>
          <w:color w:val="auto"/>
        </w:rPr>
        <w:tab/>
      </w:r>
      <w:r>
        <w:rPr>
          <w:rFonts w:ascii="Arial" w:cs="Arial" w:eastAsia="Arial" w:hAnsi="Arial"/>
          <w:sz w:val="16"/>
          <w:szCs w:val="16"/>
          <w:b w:val="1"/>
          <w:bCs w:val="1"/>
          <w:color w:val="auto"/>
        </w:rPr>
        <w:t>455 $</w:t>
      </w:r>
      <w:r>
        <w:rPr>
          <w:sz w:val="20"/>
          <w:szCs w:val="20"/>
          <w:color w:val="auto"/>
        </w:rPr>
        <w:tab/>
      </w:r>
      <w:r>
        <w:rPr>
          <w:rFonts w:ascii="Arial" w:cs="Arial" w:eastAsia="Arial" w:hAnsi="Arial"/>
          <w:sz w:val="16"/>
          <w:szCs w:val="16"/>
          <w:b w:val="1"/>
          <w:bCs w:val="1"/>
          <w:color w:val="auto"/>
        </w:rPr>
        <w:t>5 $</w:t>
      </w:r>
      <w:r>
        <w:rPr>
          <w:sz w:val="20"/>
          <w:szCs w:val="20"/>
          <w:color w:val="auto"/>
        </w:rPr>
        <w:tab/>
      </w:r>
      <w:r>
        <w:rPr>
          <w:rFonts w:ascii="Arial" w:cs="Arial" w:eastAsia="Arial" w:hAnsi="Arial"/>
          <w:sz w:val="16"/>
          <w:szCs w:val="16"/>
          <w:b w:val="1"/>
          <w:bCs w:val="1"/>
          <w:color w:val="auto"/>
        </w:rPr>
        <w:t>6,469 $</w:t>
      </w:r>
      <w:r>
        <w:rPr>
          <w:sz w:val="20"/>
          <w:szCs w:val="20"/>
          <w:color w:val="auto"/>
        </w:rPr>
        <w:tab/>
      </w:r>
      <w:r>
        <w:rPr>
          <w:rFonts w:ascii="Arial" w:cs="Arial" w:eastAsia="Arial" w:hAnsi="Arial"/>
          <w:sz w:val="16"/>
          <w:szCs w:val="16"/>
          <w:b w:val="1"/>
          <w:bCs w:val="1"/>
          <w:color w:val="auto"/>
        </w:rPr>
        <w:t>937 $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(280) $</w:t>
      </w:r>
      <w:r>
        <w:rPr>
          <w:sz w:val="20"/>
          <w:szCs w:val="20"/>
          <w:color w:val="auto"/>
        </w:rPr>
        <w:tab/>
      </w:r>
      <w:r>
        <w:rPr>
          <w:rFonts w:ascii="Arial" w:cs="Arial" w:eastAsia="Arial" w:hAnsi="Arial"/>
          <w:sz w:val="16"/>
          <w:szCs w:val="16"/>
          <w:b w:val="1"/>
          <w:bCs w:val="1"/>
          <w:color w:val="auto"/>
        </w:rPr>
        <w:t>11 $</w:t>
      </w:r>
      <w:r>
        <w:rPr>
          <w:sz w:val="20"/>
          <w:szCs w:val="20"/>
          <w:color w:val="auto"/>
        </w:rPr>
        <w:tab/>
      </w:r>
      <w:r>
        <w:rPr>
          <w:rFonts w:ascii="Arial" w:cs="Arial" w:eastAsia="Arial" w:hAnsi="Arial"/>
          <w:sz w:val="15"/>
          <w:szCs w:val="15"/>
          <w:b w:val="1"/>
          <w:bCs w:val="1"/>
          <w:color w:val="auto"/>
        </w:rPr>
        <w:t>7,142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9" w:name="page10"/>
    <w:bookmarkEnd w:id="9"/>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Condensed Consolidated Statements of Cash Flows (Unaudited)</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6"/>
        </w:trPr>
        <w:tc>
          <w:tcPr>
            <w:tcW w:w="7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454545"/>
              </w:rPr>
              <w:t>For the nine months ended September</w:t>
            </w:r>
          </w:p>
        </w:tc>
      </w:tr>
      <w:tr>
        <w:trPr>
          <w:trHeight w:val="223"/>
        </w:trPr>
        <w:tc>
          <w:tcPr>
            <w:tcW w:w="7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454545"/>
              </w:rPr>
              <w:t>30</w:t>
            </w:r>
          </w:p>
        </w:tc>
        <w:tc>
          <w:tcPr>
            <w:tcW w:w="1240" w:type="dxa"/>
            <w:vAlign w:val="bottom"/>
          </w:tcPr>
          <w:p>
            <w:pPr>
              <w:spacing w:after="0"/>
              <w:rPr>
                <w:sz w:val="19"/>
                <w:szCs w:val="19"/>
                <w:color w:val="auto"/>
              </w:rPr>
            </w:pPr>
          </w:p>
        </w:tc>
      </w:tr>
      <w:tr>
        <w:trPr>
          <w:trHeight w:val="21"/>
        </w:trPr>
        <w:tc>
          <w:tcPr>
            <w:tcW w:w="7980" w:type="dxa"/>
            <w:vAlign w:val="bottom"/>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r>
      <w:tr>
        <w:trPr>
          <w:trHeight w:val="250"/>
        </w:trPr>
        <w:tc>
          <w:tcPr>
            <w:tcW w:w="79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100" w:type="dxa"/>
            <w:vAlign w:val="bottom"/>
            <w:tcBorders>
              <w:bottom w:val="single" w:sz="8" w:color="6022A6"/>
            </w:tcBorders>
          </w:tcPr>
          <w:p>
            <w:pPr>
              <w:spacing w:after="0"/>
              <w:rPr>
                <w:sz w:val="21"/>
                <w:szCs w:val="21"/>
                <w:color w:val="auto"/>
              </w:rPr>
            </w:pPr>
          </w:p>
        </w:tc>
        <w:tc>
          <w:tcPr>
            <w:tcW w:w="148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2024</w:t>
            </w:r>
          </w:p>
        </w:tc>
        <w:tc>
          <w:tcPr>
            <w:tcW w:w="360" w:type="dxa"/>
            <w:vAlign w:val="bottom"/>
            <w:tcBorders>
              <w:bottom w:val="single" w:sz="8" w:color="6022A6"/>
            </w:tcBorders>
          </w:tcPr>
          <w:p>
            <w:pPr>
              <w:spacing w:after="0"/>
              <w:rPr>
                <w:sz w:val="21"/>
                <w:szCs w:val="21"/>
                <w:color w:val="auto"/>
              </w:rPr>
            </w:pPr>
          </w:p>
        </w:tc>
        <w:tc>
          <w:tcPr>
            <w:tcW w:w="1240" w:type="dxa"/>
            <w:vAlign w:val="bottom"/>
            <w:tcBorders>
              <w:bottom w:val="single" w:sz="8" w:color="6022A6"/>
            </w:tcBorders>
          </w:tcPr>
          <w:p>
            <w:pPr>
              <w:jc w:val="right"/>
              <w:ind w:right="539"/>
              <w:spacing w:after="0"/>
              <w:rPr>
                <w:sz w:val="20"/>
                <w:szCs w:val="20"/>
                <w:color w:val="auto"/>
              </w:rPr>
            </w:pPr>
            <w:r>
              <w:rPr>
                <w:rFonts w:ascii="Arial" w:cs="Arial" w:eastAsia="Arial" w:hAnsi="Arial"/>
                <w:sz w:val="16"/>
                <w:szCs w:val="16"/>
                <w:b w:val="1"/>
                <w:bCs w:val="1"/>
                <w:color w:val="454545"/>
              </w:rPr>
              <w:t>2023</w:t>
            </w:r>
          </w:p>
        </w:tc>
      </w:tr>
      <w:tr>
        <w:trPr>
          <w:trHeight w:val="230"/>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1,312</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1,198</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9"/>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1,312</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1,202</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Adjustments to reconcile Net income from continuing operations to Cash from (used for) operating activities</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9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203</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r>
      <w:tr>
        <w:trPr>
          <w:trHeight w:val="227"/>
        </w:trPr>
        <w:tc>
          <w:tcPr>
            <w:tcW w:w="798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237</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278</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9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Gain on fair value remeasurement of contingent consideration</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28"/>
        </w:trPr>
        <w:tc>
          <w:tcPr>
            <w:tcW w:w="7980" w:type="dxa"/>
            <w:vAlign w:val="bottom"/>
          </w:tcPr>
          <w:p>
            <w:pPr>
              <w:ind w:left="140"/>
              <w:spacing w:after="0"/>
              <w:rPr>
                <w:sz w:val="20"/>
                <w:szCs w:val="20"/>
                <w:color w:val="auto"/>
              </w:rPr>
            </w:pPr>
            <w:r>
              <w:rPr>
                <w:rFonts w:ascii="Arial" w:cs="Arial" w:eastAsia="Arial" w:hAnsi="Arial"/>
                <w:sz w:val="16"/>
                <w:szCs w:val="16"/>
                <w:color w:val="auto"/>
              </w:rPr>
              <w:t>Net periodic postretirement benefit plan (income) expense</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9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Postretirement plan contributions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(257)</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w:t>
            </w:r>
          </w:p>
        </w:tc>
      </w:tr>
      <w:tr>
        <w:trPr>
          <w:trHeight w:val="227"/>
        </w:trPr>
        <w:tc>
          <w:tcPr>
            <w:tcW w:w="798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9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Provision for income taxes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435</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550</w:t>
            </w:r>
          </w:p>
        </w:tc>
      </w:tr>
      <w:tr>
        <w:trPr>
          <w:trHeight w:val="228"/>
        </w:trPr>
        <w:tc>
          <w:tcPr>
            <w:tcW w:w="7980" w:type="dxa"/>
            <w:vAlign w:val="bottom"/>
          </w:tcPr>
          <w:p>
            <w:pPr>
              <w:ind w:left="140"/>
              <w:spacing w:after="0"/>
              <w:rPr>
                <w:sz w:val="20"/>
                <w:szCs w:val="20"/>
                <w:color w:val="auto"/>
              </w:rPr>
            </w:pPr>
            <w:r>
              <w:rPr>
                <w:rFonts w:ascii="Arial" w:cs="Arial" w:eastAsia="Arial" w:hAnsi="Arial"/>
                <w:sz w:val="16"/>
                <w:szCs w:val="16"/>
                <w:color w:val="auto"/>
              </w:rPr>
              <w:t>Cash paid during the year for income taxes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(375)</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(375)</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98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r>
      <w:tr>
        <w:trPr>
          <w:trHeight w:val="227"/>
        </w:trPr>
        <w:tc>
          <w:tcPr>
            <w:tcW w:w="798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83</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9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from related parties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r>
      <w:tr>
        <w:trPr>
          <w:trHeight w:val="228"/>
        </w:trPr>
        <w:tc>
          <w:tcPr>
            <w:tcW w:w="7980" w:type="dxa"/>
            <w:vAlign w:val="bottom"/>
          </w:tcPr>
          <w:p>
            <w:pPr>
              <w:ind w:left="240"/>
              <w:spacing w:after="0"/>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(157)</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9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Contract and other deferred assets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w:t>
            </w:r>
          </w:p>
        </w:tc>
      </w:tr>
      <w:tr>
        <w:trPr>
          <w:trHeight w:val="228"/>
        </w:trPr>
        <w:tc>
          <w:tcPr>
            <w:tcW w:w="798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9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Due to related parties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28"/>
        </w:trPr>
        <w:tc>
          <w:tcPr>
            <w:tcW w:w="798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(25)</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98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Current compensation and benefits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All other operating activities - net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10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1,042</w:t>
            </w:r>
          </w:p>
        </w:tc>
        <w:tc>
          <w:tcPr>
            <w:tcW w:w="36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1,051</w:t>
            </w:r>
          </w:p>
        </w:tc>
      </w:tr>
      <w:tr>
        <w:trPr>
          <w:trHeight w:val="229"/>
        </w:trPr>
        <w:tc>
          <w:tcPr>
            <w:tcW w:w="7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21"/>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6"/>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(299)</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(293)</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Dispositions of property, plant, and equipment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1"/>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investing activities - net</w:t>
            </w:r>
          </w:p>
        </w:tc>
        <w:tc>
          <w:tcPr>
            <w:tcW w:w="10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(83)</w:t>
            </w:r>
          </w:p>
        </w:tc>
        <w:tc>
          <w:tcPr>
            <w:tcW w:w="36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29"/>
        </w:trPr>
        <w:tc>
          <w:tcPr>
            <w:tcW w:w="7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investing activities – continuing operations</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(674)</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(470)</w:t>
            </w: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0"/>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994</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2,020</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(162)</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Dividends paid to stockholders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Redemption of noncontrolling interests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6"/>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transfers (to) from GE</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(1,317)</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Proceeds from stock issued under employee benefit plans</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10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w:t>
            </w:r>
          </w:p>
        </w:tc>
        <w:tc>
          <w:tcPr>
            <w:tcW w:w="3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7980" w:type="dxa"/>
            <w:vAlign w:val="bottom"/>
          </w:tcPr>
          <w:p>
            <w:pPr>
              <w:ind w:left="20"/>
              <w:spacing w:after="0"/>
              <w:rPr>
                <w:sz w:val="20"/>
                <w:szCs w:val="20"/>
                <w:color w:val="auto"/>
              </w:rPr>
            </w:pPr>
            <w:r>
              <w:rPr>
                <w:rFonts w:ascii="Arial" w:cs="Arial" w:eastAsia="Arial" w:hAnsi="Arial"/>
                <w:sz w:val="16"/>
                <w:szCs w:val="16"/>
                <w:color w:val="auto"/>
              </w:rPr>
              <w:t>All other financing activities - net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9"/>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5"/>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financing activities – continuing operations</w:t>
            </w:r>
          </w:p>
        </w:tc>
        <w:tc>
          <w:tcPr>
            <w:tcW w:w="100" w:type="dxa"/>
            <w:vAlign w:val="bottom"/>
            <w:tcBorders>
              <w:bottom w:val="single" w:sz="8" w:color="E4E4E4"/>
            </w:tcBorders>
            <w:shd w:val="clear" w:color="auto" w:fill="E4E4E4"/>
          </w:tcPr>
          <w:p>
            <w:pPr>
              <w:spacing w:after="0"/>
              <w:rPr>
                <w:sz w:val="21"/>
                <w:szCs w:val="21"/>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704</w:t>
            </w:r>
          </w:p>
        </w:tc>
        <w:tc>
          <w:tcPr>
            <w:tcW w:w="360" w:type="dxa"/>
            <w:vAlign w:val="bottom"/>
            <w:tcBorders>
              <w:bottom w:val="single" w:sz="8" w:color="E4E4E4"/>
            </w:tcBorders>
            <w:shd w:val="clear" w:color="auto" w:fill="E4E4E4"/>
          </w:tcPr>
          <w:p>
            <w:pPr>
              <w:spacing w:after="0"/>
              <w:rPr>
                <w:sz w:val="21"/>
                <w:szCs w:val="21"/>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422</w:t>
            </w:r>
          </w:p>
        </w:tc>
      </w:tr>
      <w:tr>
        <w:trPr>
          <w:trHeight w:val="221"/>
        </w:trPr>
        <w:tc>
          <w:tcPr>
            <w:tcW w:w="7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Cash from (used for) operating activities – discontinued operations</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2"/>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10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6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29"/>
        </w:trPr>
        <w:tc>
          <w:tcPr>
            <w:tcW w:w="7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1,066</w:t>
            </w: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969</w:t>
            </w:r>
          </w:p>
        </w:tc>
      </w:tr>
      <w:tr>
        <w:trPr>
          <w:trHeight w:val="21"/>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62"/>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100" w:type="dxa"/>
            <w:vAlign w:val="bottom"/>
            <w:tcBorders>
              <w:bottom w:val="single" w:sz="8" w:color="E4E4E4"/>
            </w:tcBorders>
            <w:shd w:val="clear" w:color="auto" w:fill="E4E4E4"/>
          </w:tcPr>
          <w:p>
            <w:pPr>
              <w:spacing w:after="0"/>
              <w:rPr>
                <w:sz w:val="22"/>
                <w:szCs w:val="22"/>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2,506</w:t>
            </w:r>
          </w:p>
        </w:tc>
        <w:tc>
          <w:tcPr>
            <w:tcW w:w="36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1,451</w:t>
            </w:r>
          </w:p>
        </w:tc>
      </w:tr>
      <w:tr>
        <w:trPr>
          <w:trHeight w:val="221"/>
        </w:trPr>
        <w:tc>
          <w:tcPr>
            <w:tcW w:w="7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as of September 30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3,572</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2,420</w:t>
            </w:r>
          </w:p>
        </w:tc>
      </w:tr>
      <w:tr>
        <w:trPr>
          <w:trHeight w:val="29"/>
        </w:trPr>
        <w:tc>
          <w:tcPr>
            <w:tcW w:w="7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6"/>
        </w:trPr>
        <w:tc>
          <w:tcPr>
            <w:tcW w:w="7980" w:type="dxa"/>
            <w:vAlign w:val="bottom"/>
            <w:shd w:val="clear" w:color="auto" w:fill="E4E4E4"/>
          </w:tcPr>
          <w:p>
            <w:pPr>
              <w:spacing w:after="0"/>
              <w:rPr>
                <w:sz w:val="17"/>
                <w:szCs w:val="17"/>
                <w:color w:val="auto"/>
              </w:rPr>
            </w:pPr>
          </w:p>
        </w:tc>
        <w:tc>
          <w:tcPr>
            <w:tcW w:w="100" w:type="dxa"/>
            <w:vAlign w:val="bottom"/>
            <w:shd w:val="clear" w:color="auto" w:fill="E4E4E4"/>
          </w:tcPr>
          <w:p>
            <w:pPr>
              <w:spacing w:after="0"/>
              <w:rPr>
                <w:sz w:val="17"/>
                <w:szCs w:val="17"/>
                <w:color w:val="auto"/>
              </w:rPr>
            </w:pPr>
          </w:p>
        </w:tc>
        <w:tc>
          <w:tcPr>
            <w:tcW w:w="1480" w:type="dxa"/>
            <w:vAlign w:val="bottom"/>
            <w:shd w:val="clear" w:color="auto" w:fill="E4E4E4"/>
          </w:tcPr>
          <w:p>
            <w:pPr>
              <w:spacing w:after="0"/>
              <w:rPr>
                <w:sz w:val="17"/>
                <w:szCs w:val="17"/>
                <w:color w:val="auto"/>
              </w:rPr>
            </w:pPr>
          </w:p>
        </w:tc>
        <w:tc>
          <w:tcPr>
            <w:tcW w:w="360" w:type="dxa"/>
            <w:vAlign w:val="bottom"/>
            <w:shd w:val="clear" w:color="auto" w:fill="E4E4E4"/>
          </w:tcPr>
          <w:p>
            <w:pPr>
              <w:spacing w:after="0"/>
              <w:rPr>
                <w:sz w:val="17"/>
                <w:szCs w:val="17"/>
                <w:color w:val="auto"/>
              </w:rPr>
            </w:pPr>
          </w:p>
        </w:tc>
        <w:tc>
          <w:tcPr>
            <w:tcW w:w="1240" w:type="dxa"/>
            <w:vAlign w:val="bottom"/>
            <w:shd w:val="clear" w:color="auto" w:fill="E4E4E4"/>
          </w:tcPr>
          <w:p>
            <w:pPr>
              <w:spacing w:after="0"/>
              <w:rPr>
                <w:sz w:val="17"/>
                <w:szCs w:val="17"/>
                <w:color w:val="auto"/>
              </w:rPr>
            </w:pPr>
          </w:p>
        </w:tc>
      </w:tr>
      <w:tr>
        <w:trPr>
          <w:trHeight w:val="236"/>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paid during the year for interest</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(339)</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w:t>
            </w:r>
          </w:p>
        </w:tc>
      </w:tr>
      <w:tr>
        <w:trPr>
          <w:trHeight w:val="235"/>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
        </w:trPr>
        <w:tc>
          <w:tcPr>
            <w:tcW w:w="7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6"/>
        </w:trPr>
        <w:tc>
          <w:tcPr>
            <w:tcW w:w="7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7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94" w:orient="portrait"/>
          <w:cols w:equalWidth="0" w:num="1">
            <w:col w:w="11160"/>
          </w:cols>
          <w:pgMar w:left="360" w:top="1192"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94" w:orient="portrait"/>
          <w:cols w:equalWidth="0" w:num="1">
            <w:col w:w="11160"/>
          </w:cols>
          <w:pgMar w:left="360" w:top="1192" w:right="379" w:bottom="0" w:gutter="0" w:footer="0" w:header="0"/>
          <w:type w:val="continuous"/>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5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GE HealthCare Technologies Inc. and its subsidiaries (“GE HealthCare,” the “Company,” “our,” “us,” or “we”) is a leading global medical technology, pharmaceutical diagnostics, and digital solutions innovator. We operate at the center of the healthcare ecosystem, helping enable precision care by increasing health system capacity, enhancing productivity, digitizing healthcare delivery, and improving clinical outcomes while serving patients’ demand for greater efficiency, access, and personalized medicine. Our products, services, and solutions are designed to enable clinicians to make more informed decisions quickly and efficiently, improving patient care from diagnosis to therapy to monitoring.</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January 3, 2023, the General Electric Company, which now operates as GE Aerospace (“GE”), completed the spin-off of GE HealthCare Technologies Inc. (the “Spin-Off”). The Spin-Off was completed through a distribution of approximately 80.1% of the Company’s outstanding common stock to holders of record of GE’s common stock as of the close of business on December 16, 2022 (the “Distribution”), which resulted in the issuance of approximately 454 million shares of common stock. Prior to the Distribution, the Company issued 100 shares of common stock in exchange for $1.00, all of which were held by GE as of December 31, 2022. As a result of the Distribution, the Company became an independent public company. On April 2, 2024, GE completed the separation of its GE Vernova business into an independent publicly traded company. As of September 30, 2024, GE’s beneficial ownership was approximately 2.9% of the Company’s outstanding common stock.</w:t>
      </w:r>
    </w:p>
    <w:p>
      <w:pPr>
        <w:spacing w:after="0" w:line="217"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In connection with the Spin-Off, certain adjustments were recorded to reflect transfers from GE, the draw-down of the Term Loan Facility, and settlement of Spin-Off transactions with GE, which resulted in the net reduction in Total equity of $2,840 million. These items substantially consisted of the transfer of: (1) certain pension plan liabilities and assets, (2) certain deferred income taxes, (3) deferred compensation liabilities, and (4) employee termination obligations.</w:t>
      </w:r>
    </w:p>
    <w:p>
      <w:pPr>
        <w:spacing w:after="0" w:line="21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See Note 17, “Related Parties and Transition Services Agreement” for more information on these agreements and related transactions.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condensed consolidated financial statements (the “financial statements”) have been prepared in accordance with United States (“U.S.”) generally accepted accounting principles (“U.S. GAAP”) for interim financial information and in accordance with the instructions to Form 10-Q and Article 10 of Regulation S-X. Accordingly, the financial statements do not include all of the information and notes required by U.S. GAAP for complete financial statements.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Operating results for the three and nine months ended September 30, 2024 and 2023 are not necessarily indicative of the results that may be expected for the fiscal year as a whole. The December 31, 2023 period presented on the Condensed Consolidated Statement of Financial Position was derived from audited financial statements, but does not include all disclosures required by U.S. GAAP. Tables throughout this document are presented in millions of U.S. dollars unless otherwise stated and certain columns and rows may not sum due to the use of rounded numbers. Percentages presented are calculated from the underlying whole-dollar amounts.</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Certain prior year amounts in the financial statements and notes thereto have been reclassified to conform to the current year presentation, which provides additional detail to readers of the financial statements. Amounts related to current compensation and benefit obligations that were previously reported within the All other current liabilities and All other operating activities lines on the Condensed Consolidated Statements of Financial Position and Statements of Cash Flows, respectively, have been reclassified to separate lines on the respective financial statements. Additionally on the Condensed Consolidated Statements of Cash Flows, amounts related to purchase of investments previously reported within All other investing activities, and amounts related to equity award activity previously reported within All other financing activities, have been reclassified to separate lines.</w:t>
      </w:r>
    </w:p>
    <w:p>
      <w:pPr>
        <w:spacing w:after="0" w:line="20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Effective July 1, 2024, Image Guided Therapies (“IGT”), previously part of the Imaging segment, was realigned to the Ultrasound segment to better match its clinical usage and realize stronger business and customer impact by providing the right image guidance in the right care setting. The Ultrasound segment was subsequently renamed Advanced Visualization Solutions (“AVS”). Following this realignment, the Company continues to have four reportable segments: Imaging, AVS, Patient Care Solutions (“PCS”), and Pharmaceutical Diagnostics (“PDx”). These segments have been identified based on the nature of the products sold and how the Company manages its operations. Historical segment financial information presented within this report has been recast to conform to the new reportable segments structure. See Note 3, “Segment Information” for more information.</w:t>
      </w:r>
    </w:p>
    <w:p>
      <w:pPr>
        <w:spacing w:after="0" w:line="203"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financial statements and notes should be read in conjunction with the Company’s audited consolidated and combined financial statements and notes included in our Annual Report on Form 10-K for the fiscal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ESTIMATES AND ASSUMPTIONS.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6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In November 2023, the Financial Accounting Standards Board (“FASB”) issued Accounting Standards Update (“ASU”) No. 2023-07 (“ASU 2023-07”), </w:t>
      </w:r>
      <w:r>
        <w:rPr>
          <w:rFonts w:ascii="Arial" w:cs="Arial" w:eastAsia="Arial" w:hAnsi="Arial"/>
          <w:sz w:val="16"/>
          <w:szCs w:val="16"/>
          <w:i w:val="1"/>
          <w:iCs w:val="1"/>
          <w:color w:val="auto"/>
        </w:rPr>
        <w:t>Segment Reporting (Topic 280): Improvements to Reportable Segment Disclosures</w:t>
      </w:r>
      <w:r>
        <w:rPr>
          <w:rFonts w:ascii="Arial" w:cs="Arial" w:eastAsia="Arial" w:hAnsi="Arial"/>
          <w:sz w:val="16"/>
          <w:szCs w:val="16"/>
          <w:color w:val="auto"/>
        </w:rPr>
        <w:t>. ASU 2023-07 requires annual and interim disclosures that are expected</w:t>
      </w:r>
      <w:r>
        <w:rPr>
          <w:rFonts w:ascii="Arial" w:cs="Arial" w:eastAsia="Arial" w:hAnsi="Arial"/>
          <w:sz w:val="16"/>
          <w:szCs w:val="16"/>
          <w:i w:val="1"/>
          <w:iCs w:val="1"/>
          <w:color w:val="auto"/>
        </w:rPr>
        <w:t xml:space="preserve"> </w:t>
      </w:r>
      <w:r>
        <w:rPr>
          <w:rFonts w:ascii="Arial" w:cs="Arial" w:eastAsia="Arial" w:hAnsi="Arial"/>
          <w:sz w:val="16"/>
          <w:szCs w:val="16"/>
          <w:color w:val="auto"/>
        </w:rPr>
        <w:t>to improve reportable segment disclosures, primarily through enhanced disclosures about significant segment expenses. The provisions of ASU 2023-07 are effective for fiscal years beginning after December 15, 2023, and interim periods within fiscal years beginning after December 15, 2024, with early adoption permitted. We are currently evaluating the effect that ASU 2023-07 will have on our financial statement disclosures.</w:t>
      </w:r>
    </w:p>
    <w:p>
      <w:pPr>
        <w:spacing w:after="0" w:line="21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 xml:space="preserve">In December 2023, the FASB issued ASU No. 2023-09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with early adoption permitted. We are currently evaluating the effect that ASU 2023-09 will have on our financial statement disclosures.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57"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on-demand service parts, extended warranties, training, and other service-type offerings. The Company recognizes revenue from contracts with customers when the customer obtains control of the underlying products or services.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w:t>
      </w:r>
    </w:p>
    <w:p>
      <w:pPr>
        <w:spacing w:after="0" w:line="18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140" w:type="dxa"/>
            <w:vAlign w:val="bottom"/>
          </w:tcPr>
          <w:p>
            <w:pPr>
              <w:spacing w:after="0"/>
              <w:rPr>
                <w:sz w:val="19"/>
                <w:szCs w:val="19"/>
                <w:color w:val="auto"/>
              </w:rPr>
            </w:pPr>
          </w:p>
        </w:tc>
        <w:tc>
          <w:tcPr>
            <w:tcW w:w="3480" w:type="dxa"/>
            <w:vAlign w:val="bottom"/>
            <w:gridSpan w:val="3"/>
          </w:tcPr>
          <w:p>
            <w:pPr>
              <w:jc w:val="right"/>
              <w:ind w:right="1519"/>
              <w:spacing w:after="0"/>
              <w:rPr>
                <w:sz w:val="20"/>
                <w:szCs w:val="20"/>
                <w:color w:val="auto"/>
              </w:rPr>
            </w:pPr>
            <w:r>
              <w:rPr>
                <w:rFonts w:ascii="Arial" w:cs="Arial" w:eastAsia="Arial" w:hAnsi="Arial"/>
                <w:sz w:val="16"/>
                <w:szCs w:val="16"/>
                <w:b w:val="1"/>
                <w:bCs w:val="1"/>
                <w:color w:val="454545"/>
              </w:rPr>
              <w:t>As of</w:t>
            </w:r>
          </w:p>
        </w:tc>
      </w:tr>
      <w:tr>
        <w:trPr>
          <w:trHeight w:val="21"/>
        </w:trPr>
        <w:tc>
          <w:tcPr>
            <w:tcW w:w="762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60" w:type="dxa"/>
            <w:vAlign w:val="bottom"/>
            <w:tcBorders>
              <w:bottom w:val="single" w:sz="8" w:color="454545"/>
            </w:tcBorders>
          </w:tcPr>
          <w:p>
            <w:pPr>
              <w:spacing w:after="0" w:line="20" w:lineRule="exact"/>
              <w:rPr>
                <w:sz w:val="1"/>
                <w:szCs w:val="1"/>
                <w:color w:val="auto"/>
              </w:rPr>
            </w:pPr>
          </w:p>
        </w:tc>
      </w:tr>
      <w:tr>
        <w:trPr>
          <w:trHeight w:val="229"/>
        </w:trPr>
        <w:tc>
          <w:tcPr>
            <w:tcW w:w="7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b w:val="1"/>
                <w:bCs w:val="1"/>
                <w:color w:val="454545"/>
              </w:rPr>
              <w:t>September 30, 2024</w:t>
            </w:r>
          </w:p>
        </w:tc>
        <w:tc>
          <w:tcPr>
            <w:tcW w:w="180" w:type="dxa"/>
            <w:vAlign w:val="bottom"/>
          </w:tcPr>
          <w:p>
            <w:pPr>
              <w:spacing w:after="0"/>
              <w:rPr>
                <w:sz w:val="19"/>
                <w:szCs w:val="19"/>
                <w:color w:val="auto"/>
              </w:rPr>
            </w:pPr>
          </w:p>
        </w:tc>
        <w:tc>
          <w:tcPr>
            <w:tcW w:w="1660" w:type="dxa"/>
            <w:vAlign w:val="bottom"/>
          </w:tcPr>
          <w:p>
            <w:pPr>
              <w:jc w:val="right"/>
              <w:ind w:right="9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6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r>
      <w:tr>
        <w:trPr>
          <w:trHeight w:val="228"/>
        </w:trPr>
        <w:tc>
          <w:tcPr>
            <w:tcW w:w="762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361</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29"/>
        </w:trPr>
        <w:tc>
          <w:tcPr>
            <w:tcW w:w="7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7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14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1,046</w:t>
            </w:r>
          </w:p>
        </w:tc>
        <w:tc>
          <w:tcPr>
            <w:tcW w:w="180" w:type="dxa"/>
            <w:vAlign w:val="bottom"/>
            <w:tcBorders>
              <w:bottom w:val="single" w:sz="8" w:color="E4E4E4"/>
            </w:tcBorders>
            <w:shd w:val="clear" w:color="auto" w:fill="E4E4E4"/>
          </w:tcPr>
          <w:p>
            <w:pPr>
              <w:spacing w:after="0"/>
              <w:rPr>
                <w:sz w:val="20"/>
                <w:szCs w:val="20"/>
                <w:color w:val="auto"/>
              </w:rPr>
            </w:pPr>
          </w:p>
        </w:tc>
        <w:tc>
          <w:tcPr>
            <w:tcW w:w="1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r>
      <w:tr>
        <w:trPr>
          <w:trHeight w:val="256"/>
        </w:trPr>
        <w:tc>
          <w:tcPr>
            <w:tcW w:w="762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93</w:t>
            </w:r>
          </w:p>
        </w:tc>
        <w:tc>
          <w:tcPr>
            <w:tcW w:w="1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57"/>
        </w:trPr>
        <w:tc>
          <w:tcPr>
            <w:tcW w:w="76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140" w:type="dxa"/>
            <w:vAlign w:val="bottom"/>
            <w:tcBorders>
              <w:bottom w:val="single" w:sz="8" w:color="auto"/>
            </w:tcBorders>
            <w:shd w:val="clear" w:color="auto" w:fill="E4E4E4"/>
          </w:tcPr>
          <w:p>
            <w:pPr>
              <w:spacing w:after="0"/>
              <w:rPr>
                <w:sz w:val="22"/>
                <w:szCs w:val="22"/>
                <w:color w:val="auto"/>
              </w:rPr>
            </w:pPr>
          </w:p>
        </w:tc>
        <w:tc>
          <w:tcPr>
            <w:tcW w:w="16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180" w:type="dxa"/>
            <w:vAlign w:val="bottom"/>
            <w:tcBorders>
              <w:bottom w:val="single" w:sz="8" w:color="auto"/>
            </w:tcBorders>
            <w:shd w:val="clear" w:color="auto" w:fill="E4E4E4"/>
          </w:tcPr>
          <w:p>
            <w:pPr>
              <w:spacing w:after="0"/>
              <w:rPr>
                <w:sz w:val="22"/>
                <w:szCs w:val="22"/>
                <w:color w:val="auto"/>
              </w:rPr>
            </w:pPr>
          </w:p>
        </w:tc>
        <w:tc>
          <w:tcPr>
            <w:tcW w:w="1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96</w:t>
            </w:r>
          </w:p>
        </w:tc>
      </w:tr>
      <w:tr>
        <w:trPr>
          <w:trHeight w:val="22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rPr>
              <w:t>1,235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1,168</w:t>
            </w:r>
          </w:p>
        </w:tc>
      </w:tr>
      <w:tr>
        <w:trPr>
          <w:trHeight w:val="21"/>
        </w:trPr>
        <w:tc>
          <w:tcPr>
            <w:tcW w:w="7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680" w:hanging="252"/>
        <w:spacing w:after="0" w:line="286" w:lineRule="auto"/>
        <w:tabs>
          <w:tab w:leader="none" w:pos="255"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Non-current contract and other deferred assets are recognized within All other non-current assets in the Condensed Consolidated Statements of Financial Position.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remaining performance obligations (“RPO”) are expected to be satisfied with our customers.</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As of September 30, 2024 and December 31, 2023, contract liabilities were approximately $2,619 million and $2,623 million, respectively, of which the non-current portion of $704 million and $705 million, respectively, was recognized in All other non-current liabilities in the Condensed Consolidated Statements of Financial Position. Revenue recognized related to the contract liabilities balance at the beginning of the year was approximately $1,381 million and $1,357 million for the nine months ended September 30, 2024 and 2023, respectively.</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16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As of September 30, 2024, the aggregate amount of the contracted revenues allocated to our unsatisfied performance obligations was $14,563 million. We expect to recognize revenue as we satisfy our RPO as follows: (1) product-related RPO of $4,808 million of which 98% is expected to be recognized within two years, and the remaining thereafter; and (2) services-related RPO of $9,756 million of which 64% and 91% are expected to be recognized within two years and five years, respectively, and the remaining thereafter.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INFORMATION</w:t>
      </w:r>
    </w:p>
    <w:p>
      <w:pPr>
        <w:spacing w:after="0" w:line="25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Effective July 1, 2024, Image Guided Therapies, previously part of the Imaging segment, was realigned to the Ultrasound segment to better match its clinical usage and realize stronger business and customer impact by providing the right image guidance in the right care setting. The Ultrasound segment was subsequently renamed Advanced Visualization Solutions. The AVS segment has a portfolio that serves customers across two core areas: Specialized Ultrasound and Procedural Guidance. Specialized Ultrasound includes Radiology, Primary Care and Point of Care, and Women’s Health Ultrasound. Procedural Guidance includes Cardiovascular and Interventional Solutions, and Surgical Innovations. Under the new structure, IGT is reported within the Procedural Guidance business in AVS. Historical segment financial information presented within this report has been recast to conform to the new reportable segments structure.</w:t>
      </w:r>
    </w:p>
    <w:p>
      <w:pPr>
        <w:spacing w:after="0" w:line="20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Following this realignment, the Company continues to have four reportable segments: Imaging, AVS, PCS, and PDx. These segments have been identified based on the nature of the products sold and how the Company manages its operations. We have not aggregated any of our operating segments to form reportable segments.</w:t>
      </w:r>
    </w:p>
    <w:p>
      <w:pPr>
        <w:spacing w:after="0" w:line="205"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The performance of these segments was principally measured based on Total revenues and an earnings metric defined as “Segment EBIT.” Segment EBIT is calculated as income before income taxes in our Condensed Consolidated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amortization of acquisition-related intangible assets, and investment revaluation gain (loss).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3400" w:type="dxa"/>
            <w:vAlign w:val="bottom"/>
            <w:gridSpan w:val="5"/>
          </w:tcPr>
          <w:p>
            <w:pPr>
              <w:ind w:left="40"/>
              <w:spacing w:after="0"/>
              <w:rPr>
                <w:sz w:val="20"/>
                <w:szCs w:val="20"/>
                <w:color w:val="auto"/>
              </w:rPr>
            </w:pPr>
            <w:r>
              <w:rPr>
                <w:rFonts w:ascii="Arial" w:cs="Arial" w:eastAsia="Arial" w:hAnsi="Arial"/>
                <w:sz w:val="16"/>
                <w:szCs w:val="16"/>
                <w:b w:val="1"/>
                <w:bCs w:val="1"/>
                <w:color w:val="454545"/>
              </w:rPr>
              <w:t>For the three months ended September 30</w:t>
            </w:r>
          </w:p>
        </w:tc>
        <w:tc>
          <w:tcPr>
            <w:tcW w:w="332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52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40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40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r>
      <w:tr>
        <w:trPr>
          <w:trHeight w:val="21"/>
        </w:trPr>
        <w:tc>
          <w:tcPr>
            <w:tcW w:w="452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Imaging</w:t>
            </w:r>
          </w:p>
        </w:tc>
        <w:tc>
          <w:tcPr>
            <w:tcW w:w="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2,229</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2,236</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6,462</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6,552</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AVS: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Procedural Guidance</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647</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641</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1,967</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1,938</w:t>
            </w:r>
          </w:p>
        </w:tc>
      </w:tr>
      <w:tr>
        <w:trPr>
          <w:trHeight w:val="228"/>
        </w:trPr>
        <w:tc>
          <w:tcPr>
            <w:tcW w:w="4520" w:type="dxa"/>
            <w:vAlign w:val="bottom"/>
          </w:tcPr>
          <w:p>
            <w:pPr>
              <w:ind w:left="180"/>
              <w:spacing w:after="0"/>
              <w:rPr>
                <w:sz w:val="20"/>
                <w:szCs w:val="20"/>
                <w:color w:val="auto"/>
              </w:rPr>
            </w:pPr>
            <w:r>
              <w:rPr>
                <w:rFonts w:ascii="Arial" w:cs="Arial" w:eastAsia="Arial" w:hAnsi="Arial"/>
                <w:sz w:val="16"/>
                <w:szCs w:val="16"/>
                <w:color w:val="auto"/>
              </w:rPr>
              <w:t>Specialized Ultrasound</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569</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1,725</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1,774</w:t>
            </w:r>
          </w:p>
        </w:tc>
      </w:tr>
      <w:tr>
        <w:trPr>
          <w:trHeight w:val="29"/>
        </w:trPr>
        <w:tc>
          <w:tcPr>
            <w:tcW w:w="4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AVS</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1,216</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1,214</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3,692</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3,712</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PCS: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9"/>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Monitoring Solutions</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556</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573</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1,621</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1,688</w:t>
            </w:r>
          </w:p>
        </w:tc>
      </w:tr>
      <w:tr>
        <w:trPr>
          <w:trHeight w:val="228"/>
        </w:trPr>
        <w:tc>
          <w:tcPr>
            <w:tcW w:w="4520" w:type="dxa"/>
            <w:vAlign w:val="bottom"/>
          </w:tcPr>
          <w:p>
            <w:pPr>
              <w:ind w:left="180"/>
              <w:spacing w:after="0"/>
              <w:rPr>
                <w:sz w:val="20"/>
                <w:szCs w:val="20"/>
                <w:color w:val="auto"/>
              </w:rPr>
            </w:pPr>
            <w:r>
              <w:rPr>
                <w:rFonts w:ascii="Arial" w:cs="Arial" w:eastAsia="Arial" w:hAnsi="Arial"/>
                <w:sz w:val="16"/>
                <w:szCs w:val="16"/>
                <w:color w:val="auto"/>
              </w:rPr>
              <w:t>Life Support Solutions</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223</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677</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627</w:t>
            </w:r>
          </w:p>
        </w:tc>
      </w:tr>
      <w:tr>
        <w:trPr>
          <w:trHeight w:val="29"/>
        </w:trPr>
        <w:tc>
          <w:tcPr>
            <w:tcW w:w="4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779</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764</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2,298</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2,315</w:t>
            </w:r>
          </w:p>
        </w:tc>
      </w:tr>
      <w:tr>
        <w:trPr>
          <w:trHeight w:val="235"/>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625</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589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1,862</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1,715</w:t>
            </w:r>
          </w:p>
        </w:tc>
      </w:tr>
      <w:tr>
        <w:trPr>
          <w:trHeight w:val="21"/>
        </w:trPr>
        <w:tc>
          <w:tcPr>
            <w:tcW w:w="4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6"/>
        </w:trPr>
        <w:tc>
          <w:tcPr>
            <w:tcW w:w="45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40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Borders>
              <w:bottom w:val="single" w:sz="8" w:color="auto"/>
            </w:tcBorders>
            <w:shd w:val="clear" w:color="auto" w:fill="E4E4E4"/>
          </w:tcPr>
          <w:p>
            <w:pPr>
              <w:spacing w:after="0"/>
              <w:rPr>
                <w:sz w:val="22"/>
                <w:szCs w:val="22"/>
                <w:color w:val="auto"/>
              </w:rPr>
            </w:pPr>
          </w:p>
        </w:tc>
        <w:tc>
          <w:tcPr>
            <w:tcW w:w="380" w:type="dxa"/>
            <w:vAlign w:val="bottom"/>
            <w:tcBorders>
              <w:bottom w:val="single" w:sz="8" w:color="auto"/>
            </w:tcBorders>
            <w:shd w:val="clear" w:color="auto" w:fill="E4E4E4"/>
          </w:tcPr>
          <w:p>
            <w:pPr>
              <w:spacing w:after="0"/>
              <w:rPr>
                <w:sz w:val="22"/>
                <w:szCs w:val="22"/>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w:t>
            </w:r>
          </w:p>
        </w:tc>
        <w:tc>
          <w:tcPr>
            <w:tcW w:w="400" w:type="dxa"/>
            <w:vAlign w:val="bottom"/>
            <w:tcBorders>
              <w:bottom w:val="single" w:sz="8" w:color="auto"/>
            </w:tcBorders>
            <w:shd w:val="clear" w:color="auto" w:fill="E4E4E4"/>
          </w:tcPr>
          <w:p>
            <w:pPr>
              <w:spacing w:after="0"/>
              <w:rPr>
                <w:sz w:val="22"/>
                <w:szCs w:val="22"/>
                <w:color w:val="auto"/>
              </w:rPr>
            </w:pPr>
          </w:p>
        </w:tc>
        <w:tc>
          <w:tcPr>
            <w:tcW w:w="12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r>
      <w:tr>
        <w:trPr>
          <w:trHeight w:val="229"/>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4,863</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4,822</w:t>
            </w:r>
          </w:p>
        </w:tc>
        <w:tc>
          <w:tcPr>
            <w:tcW w:w="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14,353</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rPr>
              <w:t>14,346</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60" w:right="160" w:hanging="252"/>
        <w:spacing w:after="0" w:line="304" w:lineRule="auto"/>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(“HFS”) which does not meet the definition of an operating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3400" w:type="dxa"/>
            <w:vAlign w:val="bottom"/>
            <w:gridSpan w:val="5"/>
          </w:tcPr>
          <w:p>
            <w:pPr>
              <w:ind w:left="40"/>
              <w:spacing w:after="0"/>
              <w:rPr>
                <w:sz w:val="20"/>
                <w:szCs w:val="20"/>
                <w:color w:val="auto"/>
              </w:rPr>
            </w:pPr>
            <w:r>
              <w:rPr>
                <w:rFonts w:ascii="Arial" w:cs="Arial" w:eastAsia="Arial" w:hAnsi="Arial"/>
                <w:sz w:val="16"/>
                <w:szCs w:val="16"/>
                <w:b w:val="1"/>
                <w:bCs w:val="1"/>
                <w:color w:val="454545"/>
              </w:rPr>
              <w:t>For the three months ended September 30</w:t>
            </w:r>
          </w:p>
        </w:tc>
        <w:tc>
          <w:tcPr>
            <w:tcW w:w="332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52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4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c>
          <w:tcPr>
            <w:tcW w:w="380" w:type="dxa"/>
            <w:vAlign w:val="bottom"/>
          </w:tcPr>
          <w:p>
            <w:pPr>
              <w:spacing w:after="0"/>
              <w:rPr>
                <w:sz w:val="19"/>
                <w:szCs w:val="19"/>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r>
      <w:tr>
        <w:trPr>
          <w:trHeight w:val="21"/>
        </w:trPr>
        <w:tc>
          <w:tcPr>
            <w:tcW w:w="452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EBIT</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spacing w:after="0"/>
              <w:rPr>
                <w:sz w:val="20"/>
                <w:szCs w:val="20"/>
                <w:color w:val="auto"/>
              </w:rPr>
            </w:pPr>
          </w:p>
        </w:tc>
      </w:tr>
      <w:tr>
        <w:trPr>
          <w:trHeight w:val="228"/>
        </w:trPr>
        <w:tc>
          <w:tcPr>
            <w:tcW w:w="4520" w:type="dxa"/>
            <w:vAlign w:val="bottom"/>
          </w:tcPr>
          <w:p>
            <w:pPr>
              <w:ind w:left="140"/>
              <w:spacing w:after="0"/>
              <w:rPr>
                <w:sz w:val="20"/>
                <w:szCs w:val="20"/>
                <w:color w:val="auto"/>
              </w:rPr>
            </w:pPr>
            <w:r>
              <w:rPr>
                <w:rFonts w:ascii="Arial" w:cs="Arial" w:eastAsia="Arial" w:hAnsi="Arial"/>
                <w:sz w:val="16"/>
                <w:szCs w:val="16"/>
                <w:color w:val="auto"/>
              </w:rPr>
              <w:t>Imaging</w:t>
            </w: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287</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243</w:t>
            </w:r>
          </w:p>
        </w:tc>
        <w:tc>
          <w:tcPr>
            <w:tcW w:w="8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660</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566</w:t>
            </w:r>
          </w:p>
        </w:tc>
      </w:tr>
      <w:tr>
        <w:trPr>
          <w:trHeight w:val="29"/>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AVS</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232</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798</w:t>
            </w:r>
          </w:p>
        </w:tc>
      </w:tr>
      <w:tr>
        <w:trPr>
          <w:trHeight w:val="227"/>
        </w:trPr>
        <w:tc>
          <w:tcPr>
            <w:tcW w:w="4520" w:type="dxa"/>
            <w:vAlign w:val="bottom"/>
          </w:tcPr>
          <w:p>
            <w:pPr>
              <w:ind w:left="140"/>
              <w:spacing w:after="0"/>
              <w:rPr>
                <w:sz w:val="20"/>
                <w:szCs w:val="20"/>
                <w:color w:val="auto"/>
              </w:rPr>
            </w:pPr>
            <w:r>
              <w:rPr>
                <w:rFonts w:ascii="Arial" w:cs="Arial" w:eastAsia="Arial" w:hAnsi="Arial"/>
                <w:sz w:val="16"/>
                <w:szCs w:val="16"/>
                <w:color w:val="auto"/>
              </w:rPr>
              <w:t>PCS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241</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9"/>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6"/>
        </w:trPr>
        <w:tc>
          <w:tcPr>
            <w:tcW w:w="45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571</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473</w:t>
            </w:r>
          </w:p>
        </w:tc>
      </w:tr>
      <w:tr>
        <w:trPr>
          <w:trHeight w:val="25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52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795</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744</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2,217</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2,119</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9"/>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r>
      <w:tr>
        <w:trPr>
          <w:trHeight w:val="227"/>
        </w:trPr>
        <w:tc>
          <w:tcPr>
            <w:tcW w:w="452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9"/>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7"/>
        </w:trPr>
        <w:tc>
          <w:tcPr>
            <w:tcW w:w="452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(130)</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(383)</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9"/>
        </w:trPr>
        <w:tc>
          <w:tcPr>
            <w:tcW w:w="4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1"/>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38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38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306</w:t>
            </w:r>
          </w:p>
        </w:tc>
        <w:tc>
          <w:tcPr>
            <w:tcW w:w="38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658</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636</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1,747</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1,752</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86"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primarily represents HFS which does not meet the definition of an operating segment.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2024</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3,265</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3,339</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139</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119</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257</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284</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3,418</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3,525</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40" w:hanging="252"/>
        <w:spacing w:after="0" w:line="275" w:lineRule="auto"/>
        <w:tabs>
          <w:tab w:leader="none" w:pos="2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$135 million and $144 million as of September 30, 2024 and December 31, 2023, respectively.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2024</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5"/>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72</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w:t>
            </w:r>
          </w:p>
        </w:tc>
      </w:tr>
      <w:tr>
        <w:trPr>
          <w:trHeight w:val="221"/>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r>
              <w:rPr>
                <w:rFonts w:ascii="Arial" w:cs="Arial" w:eastAsia="Arial" w:hAnsi="Arial"/>
                <w:sz w:val="21"/>
                <w:szCs w:val="21"/>
                <w:b w:val="1"/>
                <w:bCs w:val="1"/>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Long-term receivables are recognized within All other non-current assets in the Condensed Consolidated Statements of Financial Position.</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5. FINANCING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39"/>
              <w:spacing w:after="0"/>
              <w:rPr>
                <w:sz w:val="20"/>
                <w:szCs w:val="20"/>
                <w:color w:val="auto"/>
              </w:rPr>
            </w:pPr>
            <w:r>
              <w:rPr>
                <w:rFonts w:ascii="Arial" w:cs="Arial" w:eastAsia="Arial" w:hAnsi="Arial"/>
                <w:sz w:val="16"/>
                <w:szCs w:val="16"/>
                <w:b w:val="1"/>
                <w:bCs w:val="1"/>
                <w:color w:val="454545"/>
              </w:rPr>
              <w:t>September 30, 2024</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74</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r>
              <w:rPr>
                <w:rFonts w:ascii="Arial" w:cs="Arial" w:eastAsia="Arial" w:hAnsi="Arial"/>
                <w:sz w:val="21"/>
                <w:szCs w:val="21"/>
                <w:b w:val="1"/>
                <w:bCs w:val="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240" w:type="dxa"/>
            <w:vAlign w:val="bottom"/>
            <w:tcBorders>
              <w:top w:val="single" w:sz="8" w:color="auto"/>
              <w:bottom w:val="single" w:sz="8" w:color="auto"/>
            </w:tcBorders>
          </w:tcPr>
          <w:p>
            <w:pPr>
              <w:spacing w:after="0"/>
              <w:rPr>
                <w:sz w:val="21"/>
                <w:szCs w:val="21"/>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97</w:t>
            </w: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6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E4E4E4"/>
            </w:tcBorders>
            <w:shd w:val="clear" w:color="auto" w:fill="E4E4E4"/>
          </w:tcPr>
          <w:p>
            <w:pPr>
              <w:spacing w:after="0"/>
              <w:rPr>
                <w:sz w:val="20"/>
                <w:szCs w:val="20"/>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financing leases, net of deferred income</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0"/>
        </w:trPr>
        <w:tc>
          <w:tcPr>
            <w:tcW w:w="7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r>
              <w:rPr>
                <w:rFonts w:ascii="Arial" w:cs="Arial" w:eastAsia="Arial" w:hAnsi="Arial"/>
                <w:sz w:val="21"/>
                <w:szCs w:val="21"/>
                <w:b w:val="1"/>
                <w:bCs w:val="1"/>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178</w:t>
            </w:r>
          </w:p>
        </w:tc>
      </w:tr>
    </w:tbl>
    <w:p>
      <w:pPr>
        <w:spacing w:after="0" w:line="80" w:lineRule="exact"/>
        <w:rPr>
          <w:sz w:val="20"/>
          <w:szCs w:val="20"/>
          <w:color w:val="auto"/>
        </w:rPr>
      </w:pPr>
    </w:p>
    <w:p>
      <w:pPr>
        <w:ind w:left="260" w:right="480" w:hanging="252"/>
        <w:spacing w:after="0" w:line="286"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Condensed Consolidated Statements of Financial Position.</w:t>
      </w:r>
    </w:p>
    <w:p>
      <w:pPr>
        <w:spacing w:after="0" w:line="18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September 30, 2024, 4%, 4%, and 4% of financing receivables were over 30 days past due, over 90 days past due, and on nonaccrual, respectively, with the majority of nonaccrual financing receivables secured by collateral. As of December 31, 2023, 5%, 5%, and 6% of financing receivables were over 30 days past due, over 90 days past due, and on nonaccrual, respectively, with the majority of nonaccrual financing receivables secured by collateral.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7"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Operating lease liabilities recognized within All other current liabilities and All other non-current liabilities in the Condensed Consolidated Statements of Financial Position were $378 million and $383 million as of September 30, 2024 and December 31, 2023, respectively. The total lease expense related to our operating lease portfolio was $70 million and $54 million for the three months ended September 30, 2024 and 2023, respectively, and $189 million and $167 million for the nine months ended September 30, 2024 and 2023, respectively.</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MIM Software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On April 1, 2024, the Company acquired 100% of the stock of MIM Software Inc. (“MIM Software”) for approximately $259 million, net of cash acquired,</w:t>
      </w:r>
    </w:p>
    <w:p>
      <w:pPr>
        <w:spacing w:after="0" w:line="5"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$13 million of potential earn-out payments, and up to $23 million of other contingent payments based on service requirements. The acquisition was funded with cash on hand. This transaction was accounted for as a business combination. The preliminary purchase price allocation resulted in goodwill of $195 million, customer-related intangible assets of $52 million, developed technology intangible assets of $48 million, net deferred tax liabilities of $19 million, and other net assets of $7 million. The goodwill associated with the acquired business, recorded within the Imaging segment, is non-deductible for tax purposes and is attributed to expected synergies and commercial benefits from use of the MIM Software technology in our existing GE HealthCare portfolio. MIM Software is a global provider of medical imaging analysis and artificial intelligence (“AI”) solutions for the practice of radiation oncology, molecular radiotherapy, diagnostic imaging, and urology at imaging centers, hospitals, specialty clinics, and research organizations worldwide.</w:t>
      </w:r>
    </w:p>
    <w:p>
      <w:pPr>
        <w:spacing w:after="0" w:line="20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Revenue and earnings of MIM Software included in the Company’s financial statements since the acquisition date are not material to our consolidated revenue and earnings. If the acquisition of MIM Software had taken place as of the beginning of 2023, consolidated revenues and earnings would not have been significantly different from reported amounts.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Caption Health</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On February 17, 2023, the Company acquired 100% of the stock of Caption Health, Inc. (“Caption Health”) for $127 million of upfront payment, $10 million of future holdback payment, and potential earn-out payments valued at $13 million based primarily on various milestones and sales targets. This transaction was accounted for as a business combination. The preliminary purchase price allocation resulted in goodwill of $94 million, intangible assets of $60 million, and deferred tax liabilities of $3 million. The purchase price allocation for Caption Health was finalized in the first quarter of 2024 without material adjustments. The goodwill associated with the acquired business is non-deductible for tax purposes and is reported in the AVS segment. Caption Health is an AI company whose technology expands access to AI-guided ultrasound screening for novice users.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b w:val="1"/>
          <w:bCs w:val="1"/>
          <w:color w:val="auto"/>
        </w:rPr>
        <w:t>GOODWILL.</w:t>
      </w:r>
    </w:p>
    <w:p>
      <w:pPr>
        <w:spacing w:after="0" w:line="26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As discussed in Note 3, “Segment Information”, effective in the third quarter of 2024, the Company (1) reorganized its operations and moved responsibility for and reporting of IGT from the Imaging segment to the Ultrasound Segment and (2) renamed the Ultrasound segment the AVS segment. This resulted in a $1,031 million increase in the Company’s allocation of goodwill to its AVS segment and a corresponding decrease in the goodwill allocated to the Imaging segment. The Company allocated goodwill to its new reporting units using a relative fair value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454545"/>
              </w:rPr>
              <w:t>Imaging</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454545"/>
              </w:rPr>
              <w:t>AVS</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PCS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PDx</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2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82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r>
      <w:tr>
        <w:trPr>
          <w:trHeight w:val="230"/>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4,431</w:t>
            </w:r>
          </w:p>
        </w:tc>
        <w:tc>
          <w:tcPr>
            <w:tcW w:w="820" w:type="dxa"/>
            <w:vAlign w:val="bottom"/>
            <w:tcBorders>
              <w:bottom w:val="single" w:sz="8" w:color="E4E4E4"/>
            </w:tcBorders>
            <w:shd w:val="clear" w:color="auto" w:fill="E4E4E4"/>
          </w:tcPr>
          <w:p>
            <w:pPr>
              <w:jc w:val="right"/>
              <w:ind w:right="6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3,933</w:t>
            </w:r>
          </w:p>
        </w:tc>
        <w:tc>
          <w:tcPr>
            <w:tcW w:w="86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4"/>
              </w:rPr>
              <w:t>2,038</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2,534</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12,936</w:t>
            </w:r>
          </w:p>
        </w:tc>
      </w:tr>
      <w:tr>
        <w:trPr>
          <w:trHeight w:val="227"/>
        </w:trPr>
        <w:tc>
          <w:tcPr>
            <w:tcW w:w="3720" w:type="dxa"/>
            <w:vAlign w:val="bottom"/>
          </w:tcPr>
          <w:p>
            <w:pPr>
              <w:ind w:left="20"/>
              <w:spacing w:after="0"/>
              <w:rPr>
                <w:sz w:val="20"/>
                <w:szCs w:val="20"/>
                <w:color w:val="auto"/>
              </w:rPr>
            </w:pPr>
            <w:r>
              <w:rPr>
                <w:rFonts w:ascii="Arial" w:cs="Arial" w:eastAsia="Arial" w:hAnsi="Arial"/>
                <w:sz w:val="16"/>
                <w:szCs w:val="16"/>
                <w:color w:val="auto"/>
              </w:rPr>
              <w:t>Reallocation</w:t>
            </w:r>
          </w:p>
        </w:tc>
        <w:tc>
          <w:tcPr>
            <w:tcW w:w="1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(1,031)</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1,031</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Acquisitions</w:t>
            </w:r>
          </w:p>
        </w:tc>
        <w:tc>
          <w:tcPr>
            <w:tcW w:w="120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w:t>
            </w:r>
          </w:p>
        </w:tc>
        <w:tc>
          <w:tcPr>
            <w:tcW w:w="82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w:t>
            </w:r>
          </w:p>
        </w:tc>
      </w:tr>
      <w:tr>
        <w:trPr>
          <w:trHeight w:val="228"/>
        </w:trPr>
        <w:tc>
          <w:tcPr>
            <w:tcW w:w="372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9"/>
        </w:trPr>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September 30, 2024</w:t>
            </w:r>
          </w:p>
        </w:tc>
        <w:tc>
          <w:tcPr>
            <w:tcW w:w="12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3,598</w:t>
            </w:r>
          </w:p>
        </w:tc>
        <w:tc>
          <w:tcPr>
            <w:tcW w:w="820" w:type="dxa"/>
            <w:vAlign w:val="bottom"/>
            <w:tcBorders>
              <w:bottom w:val="single" w:sz="8" w:color="E4E4E4"/>
            </w:tcBorders>
            <w:shd w:val="clear" w:color="auto" w:fill="E4E4E4"/>
          </w:tcPr>
          <w:p>
            <w:pPr>
              <w:jc w:val="right"/>
              <w:ind w:right="61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4,967</w:t>
            </w:r>
          </w:p>
        </w:tc>
        <w:tc>
          <w:tcPr>
            <w:tcW w:w="86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4"/>
              </w:rPr>
              <w:t>2,039</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99"/>
              </w:rPr>
              <w:t>2,534</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13,138</w:t>
            </w:r>
          </w:p>
        </w:tc>
      </w:tr>
      <w:tr>
        <w:trPr>
          <w:trHeight w:val="20"/>
        </w:trPr>
        <w:tc>
          <w:tcPr>
            <w:tcW w:w="37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ind w:right="240"/>
        <w:spacing w:after="0" w:line="265" w:lineRule="auto"/>
        <w:rPr>
          <w:sz w:val="20"/>
          <w:szCs w:val="20"/>
          <w:color w:val="auto"/>
        </w:rPr>
      </w:pPr>
      <w:r>
        <w:rPr>
          <w:rFonts w:ascii="Arial" w:cs="Arial" w:eastAsia="Arial" w:hAnsi="Arial"/>
          <w:sz w:val="16"/>
          <w:szCs w:val="16"/>
          <w:color w:val="auto"/>
        </w:rPr>
        <w:t>We assess the possibility that a reporting unit’s fair value has been reduced below its carrying amount due to the occurrence of events or circumstances between annual impairment testing dates. In connection with the change in reportable segments in the third quarter of 2024, the Company evaluated the goodwill of our Imaging and AVS reporting units for impairment before and after the segment realignment. There were no impairments identified as part of these assessments. In addition, with respect to the PCS and PDx reporting units, we did not identify any events or circumstances that required an interim impairment test since the last annual impairment testing date.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ASSETS.</w:t>
      </w:r>
    </w:p>
    <w:p>
      <w:pPr>
        <w:spacing w:after="0" w:line="248" w:lineRule="exact"/>
        <w:rPr>
          <w:sz w:val="20"/>
          <w:szCs w:val="20"/>
          <w:color w:val="auto"/>
        </w:rPr>
      </w:pPr>
    </w:p>
    <w:p>
      <w:pPr>
        <w:jc w:val="both"/>
        <w:ind w:right="160"/>
        <w:spacing w:after="0" w:line="271" w:lineRule="auto"/>
        <w:rPr>
          <w:sz w:val="20"/>
          <w:szCs w:val="20"/>
          <w:color w:val="auto"/>
        </w:rPr>
      </w:pPr>
      <w:r>
        <w:rPr>
          <w:rFonts w:ascii="Arial" w:cs="Arial" w:eastAsia="Arial" w:hAnsi="Arial"/>
          <w:sz w:val="16"/>
          <w:szCs w:val="16"/>
          <w:color w:val="auto"/>
        </w:rPr>
        <w:t>Intangible assets decreased during the nine months ended September 30, 2024, primarily as a result of amortization, partially offset by additions related to the acquisition of MIM Software. Substantially all of our intangible assets are subject to amortization. Amortization expense was $77 million and $89 million for the three months ended September 30, 2024 and 2023, respectively, and $237 million and $278 million for the nine months ended September 30, 2024 and 2023,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following senior unsecured notes and credit agreements: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9"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The Company’s borrowings include $9,250 million aggregate principal amount of senior unsecured notes in seven series with maturity dates ranging from 2024 through 2052 (collectively, the “Notes”). This includes $1,000 million aggregate principal amount of 4.800% senior unsecured notes due in 2029 issued by the Company in the third quarter of 2024. Refer to the table below for further information about the Notes.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14"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$2,500 million, maturing on January 3, 2028;</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$1,000 million, maturing on December 11, 2024; and</w:t>
      </w:r>
    </w:p>
    <w:p>
      <w:pPr>
        <w:spacing w:after="0" w:line="59" w:lineRule="exact"/>
        <w:rPr>
          <w:rFonts w:ascii="Arial" w:cs="Arial" w:eastAsia="Arial" w:hAnsi="Arial"/>
          <w:sz w:val="16"/>
          <w:szCs w:val="16"/>
          <w:color w:val="auto"/>
        </w:rPr>
      </w:pPr>
    </w:p>
    <w:p>
      <w:pPr>
        <w:ind w:left="660" w:right="220" w:hanging="328"/>
        <w:spacing w:after="0" w:line="304"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maturing on January 2, 2026 (the “Term Loan Facility” and, together with the five-year revolving credit facility and the 364-day revolving credit facility, the “Credit Facilities”).</w:t>
      </w:r>
    </w:p>
    <w:p>
      <w:pPr>
        <w:spacing w:after="0" w:line="168"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There were no outstanding amounts under the five-year revolving credit facility and 364-day revolving credit facility, and there was $1,000 million and $1,150 million outstanding on the Term Loan Facility as of September 30, 2024 and December 31, 2023, respectively.</w:t>
      </w:r>
    </w:p>
    <w:p>
      <w:pPr>
        <w:spacing w:after="0" w:line="168"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In the first quarter of 2024, we repaid $150 million of the Term Loan Facility and had no principal debt repayments on the Notes in the nine months ended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260" w:type="dxa"/>
            <w:vAlign w:val="bottom"/>
          </w:tcPr>
          <w:p>
            <w:pPr>
              <w:spacing w:after="0"/>
              <w:rPr>
                <w:sz w:val="19"/>
                <w:szCs w:val="19"/>
                <w:color w:val="auto"/>
              </w:rPr>
            </w:pPr>
          </w:p>
        </w:tc>
        <w:tc>
          <w:tcPr>
            <w:tcW w:w="236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20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ind w:right="279"/>
              <w:spacing w:after="0"/>
              <w:rPr>
                <w:sz w:val="20"/>
                <w:szCs w:val="20"/>
                <w:color w:val="auto"/>
              </w:rPr>
            </w:pPr>
            <w:r>
              <w:rPr>
                <w:rFonts w:ascii="Arial" w:cs="Arial" w:eastAsia="Arial" w:hAnsi="Arial"/>
                <w:sz w:val="16"/>
                <w:szCs w:val="16"/>
                <w:b w:val="1"/>
                <w:bCs w:val="1"/>
                <w:color w:val="454545"/>
              </w:rPr>
              <w:t>September 30, 2024</w:t>
            </w:r>
          </w:p>
        </w:tc>
        <w:tc>
          <w:tcPr>
            <w:tcW w:w="34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20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5.550% senior notes due November 15, 2024</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5.600% senior notes due November 15, 2025</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5.650% senior notes due November 15, 2027</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4.800% senior notes due August 14, 2029</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5.857% senior notes due March 15, 2030</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5.905% senior notes due November 22, 2032</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6.377% senior notes due November 22, 2052</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Floating rate Term Loan Facility due January 2, 2026</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1,150</w:t>
            </w:r>
          </w:p>
        </w:tc>
      </w:tr>
      <w:tr>
        <w:trPr>
          <w:trHeight w:val="29"/>
        </w:trPr>
        <w:tc>
          <w:tcPr>
            <w:tcW w:w="6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2"/>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E4E4E4"/>
            </w:tcBorders>
            <w:shd w:val="clear" w:color="auto" w:fill="E4E4E4"/>
          </w:tcPr>
          <w:p>
            <w:pPr>
              <w:spacing w:after="0"/>
              <w:rPr>
                <w:sz w:val="22"/>
                <w:szCs w:val="22"/>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34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6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10,292</w:t>
            </w:r>
          </w:p>
        </w:tc>
        <w:tc>
          <w:tcPr>
            <w:tcW w:w="3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9,452</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60" w:type="dxa"/>
            <w:vAlign w:val="bottom"/>
            <w:tcBorders>
              <w:bottom w:val="single" w:sz="8" w:color="E4E4E4"/>
            </w:tcBorders>
            <w:shd w:val="clear" w:color="auto" w:fill="E4E4E4"/>
          </w:tcPr>
          <w:p>
            <w:pPr>
              <w:spacing w:after="0"/>
              <w:rPr>
                <w:sz w:val="20"/>
                <w:szCs w:val="20"/>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57</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9"/>
        </w:trPr>
        <w:tc>
          <w:tcPr>
            <w:tcW w:w="6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borrowings</w:t>
            </w:r>
          </w:p>
        </w:tc>
        <w:tc>
          <w:tcPr>
            <w:tcW w:w="260" w:type="dxa"/>
            <w:vAlign w:val="bottom"/>
            <w:tcBorders>
              <w:bottom w:val="single" w:sz="8" w:color="E4E4E4"/>
            </w:tcBorders>
            <w:shd w:val="clear" w:color="auto" w:fill="E4E4E4"/>
          </w:tcPr>
          <w:p>
            <w:pPr>
              <w:spacing w:after="0"/>
              <w:rPr>
                <w:sz w:val="21"/>
                <w:szCs w:val="21"/>
                <w:color w:val="auto"/>
              </w:rPr>
            </w:pP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10,312</w:t>
            </w:r>
          </w:p>
        </w:tc>
        <w:tc>
          <w:tcPr>
            <w:tcW w:w="34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9,442</w:t>
            </w:r>
          </w:p>
        </w:tc>
      </w:tr>
      <w:tr>
        <w:trPr>
          <w:trHeight w:val="250"/>
        </w:trPr>
        <w:tc>
          <w:tcPr>
            <w:tcW w:w="6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(1)</w:t>
            </w:r>
          </w:p>
        </w:tc>
        <w:tc>
          <w:tcPr>
            <w:tcW w:w="26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340" w:type="dxa"/>
            <w:vAlign w:val="bottom"/>
            <w:tcBorders>
              <w:top w:val="single" w:sz="8" w:color="auto"/>
              <w:bottom w:val="single" w:sz="8" w:color="auto"/>
            </w:tcBorders>
          </w:tcPr>
          <w:p>
            <w:pPr>
              <w:spacing w:after="0"/>
              <w:rPr>
                <w:sz w:val="21"/>
                <w:szCs w:val="21"/>
                <w:color w:val="auto"/>
              </w:rPr>
            </w:pPr>
          </w:p>
        </w:tc>
        <w:tc>
          <w:tcPr>
            <w:tcW w:w="1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1,006</w:t>
            </w: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2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9,306</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8,436</w:t>
            </w:r>
          </w:p>
        </w:tc>
      </w:tr>
      <w:tr>
        <w:trPr>
          <w:trHeight w:val="20"/>
        </w:trPr>
        <w:tc>
          <w:tcPr>
            <w:tcW w:w="6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140" w:hanging="252"/>
        <w:spacing w:after="0" w:line="268" w:lineRule="auto"/>
        <w:tabs>
          <w:tab w:leader="none" w:pos="260" w:val="left"/>
        </w:tabs>
        <w:numPr>
          <w:ilvl w:val="0"/>
          <w:numId w:val="9"/>
        </w:numPr>
        <w:rPr>
          <w:rFonts w:ascii="Arial" w:cs="Arial" w:eastAsia="Arial" w:hAnsi="Arial"/>
          <w:sz w:val="16"/>
          <w:szCs w:val="16"/>
          <w:color w:val="231F20"/>
        </w:rPr>
      </w:pPr>
      <w:r>
        <w:rPr>
          <w:rFonts w:ascii="Arial" w:cs="Arial" w:eastAsia="Arial" w:hAnsi="Arial"/>
          <w:sz w:val="16"/>
          <w:szCs w:val="16"/>
          <w:color w:val="231F20"/>
        </w:rPr>
        <w:t xml:space="preserve">Short-term borrowings </w:t>
      </w:r>
      <w:r>
        <w:rPr>
          <w:rFonts w:ascii="Arial" w:cs="Arial" w:eastAsia="Arial" w:hAnsi="Arial"/>
          <w:sz w:val="16"/>
          <w:szCs w:val="16"/>
          <w:color w:val="000000"/>
        </w:rPr>
        <w:t>as of September 30, 2024 and December 31, 2023 i</w:t>
      </w:r>
      <w:r>
        <w:rPr>
          <w:rFonts w:ascii="Arial" w:cs="Arial" w:eastAsia="Arial" w:hAnsi="Arial"/>
          <w:sz w:val="16"/>
          <w:szCs w:val="16"/>
          <w:color w:val="231F20"/>
        </w:rPr>
        <w:t xml:space="preserve">ncludes </w:t>
      </w:r>
      <w:r>
        <w:rPr>
          <w:rFonts w:ascii="Arial" w:cs="Arial" w:eastAsia="Arial" w:hAnsi="Arial"/>
          <w:sz w:val="16"/>
          <w:szCs w:val="16"/>
          <w:color w:val="000000"/>
        </w:rPr>
        <w:t>$1,004 million and $1,002 million, respectively,</w:t>
      </w:r>
      <w:r>
        <w:rPr>
          <w:rFonts w:ascii="Arial" w:cs="Arial" w:eastAsia="Arial" w:hAnsi="Arial"/>
          <w:sz w:val="16"/>
          <w:szCs w:val="16"/>
          <w:color w:val="231F20"/>
        </w:rPr>
        <w:t xml:space="preserve"> related to the current portion of our long-term borrowings, net of unamortized debt issuance costs and discounts.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See Note 12, “Financial Instruments and Fair Value Measurements” for further information about borrowings and associated derivatives contracts.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As of September 30, 2024 and December 31, 2023, the Company had bank guarantees and surety bonds of approximately $801 million and $751 million, respectively, related to certain commercial contracts. Additionally, we have issued approximately $28 million and $39 million of guarantees as of September 30, 2024 and December 31, 2023, respectively, primarily related to residual value and credit guarantees on equipment sold to third-party finance companies. Our Condensed Consolidated Statements of Financial Position reflect a liability of $3 million and $4 million as of September 30, 2024 and December 31, 2023, respectively, related to these guarantees. For credit-related guarantees, we estimate our expected credit losses related to off-balance sheet credit exposure consistent with the method used to estimate the allowance for credit losses on financial assets held at amortized cost. See Note 13, “Commitments, Guarantees, Product Warranties, and Other Loss Contingencies” for further information on guarantee arrangements with GE.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POSTRETIREMENT BENEFIT PLANS</w:t>
      </w:r>
    </w:p>
    <w:p>
      <w:pPr>
        <w:spacing w:after="0" w:line="25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sponsor a number of pension and retiree health and life insurance benefit plans that we present in three categories: Principal Pension Plans, Other Pension Plans, and Other Postretirement Plans (“OPEB Plans”). Please refer to Note 10, “Postretirement Benefit Plans” in our Annual Report on Form 10-K for the fiscal year ended December 31, 2023 for further information. On January 1, 2024, we transitioned from legacy GE multiple-employer OPEB plans to GE HealthCare sponsored single-employer OPEB plans. This change did not have an impact on our results of operations or financial position. Pension plans with pension assets or obligations less than $50 million are not included in the results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20" w:type="dxa"/>
            <w:vAlign w:val="bottom"/>
            <w:gridSpan w:val="8"/>
          </w:tcPr>
          <w:p>
            <w:pPr>
              <w:jc w:val="center"/>
              <w:ind w:left="519"/>
              <w:spacing w:after="0"/>
              <w:rPr>
                <w:sz w:val="20"/>
                <w:szCs w:val="20"/>
                <w:color w:val="auto"/>
              </w:rPr>
            </w:pPr>
            <w:r>
              <w:rPr>
                <w:rFonts w:ascii="Arial" w:cs="Arial" w:eastAsia="Arial" w:hAnsi="Arial"/>
                <w:sz w:val="16"/>
                <w:szCs w:val="16"/>
                <w:b w:val="1"/>
                <w:bCs w:val="1"/>
                <w:color w:val="454545"/>
              </w:rPr>
              <w:t>For the three months ended September 30</w:t>
            </w: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
        </w:trPr>
        <w:tc>
          <w:tcPr>
            <w:tcW w:w="3540" w:type="dxa"/>
            <w:vAlign w:val="bottom"/>
          </w:tcPr>
          <w:p>
            <w:pPr>
              <w:spacing w:after="0" w:line="20" w:lineRule="exact"/>
              <w:rPr>
                <w:sz w:val="1"/>
                <w:szCs w:val="1"/>
                <w:color w:val="auto"/>
              </w:rPr>
            </w:pPr>
          </w:p>
        </w:tc>
        <w:tc>
          <w:tcPr>
            <w:tcW w:w="2600" w:type="dxa"/>
            <w:vAlign w:val="bottom"/>
            <w:tcBorders>
              <w:bottom w:val="single" w:sz="8" w:color="454545"/>
            </w:tcBorders>
            <w:gridSpan w:val="5"/>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300" w:type="dxa"/>
            <w:vAlign w:val="bottom"/>
            <w:tcBorders>
              <w:bottom w:val="single" w:sz="8" w:color="454545"/>
            </w:tcBorders>
            <w:gridSpan w:val="4"/>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gridSpan w:val="2"/>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2600" w:type="dxa"/>
            <w:vAlign w:val="bottom"/>
            <w:gridSpan w:val="5"/>
          </w:tcPr>
          <w:p>
            <w:pPr>
              <w:ind w:left="340"/>
              <w:spacing w:after="0"/>
              <w:rPr>
                <w:sz w:val="20"/>
                <w:szCs w:val="20"/>
                <w:color w:val="auto"/>
              </w:rPr>
            </w:pPr>
            <w:r>
              <w:rPr>
                <w:rFonts w:ascii="Arial" w:cs="Arial" w:eastAsia="Arial" w:hAnsi="Arial"/>
                <w:sz w:val="16"/>
                <w:szCs w:val="16"/>
                <w:b w:val="1"/>
                <w:bCs w:val="1"/>
                <w:color w:val="454545"/>
              </w:rPr>
              <w:t>Principal Pension Plans</w:t>
            </w:r>
          </w:p>
        </w:tc>
        <w:tc>
          <w:tcPr>
            <w:tcW w:w="280" w:type="dxa"/>
            <w:vAlign w:val="bottom"/>
          </w:tcPr>
          <w:p>
            <w:pPr>
              <w:spacing w:after="0"/>
              <w:rPr>
                <w:sz w:val="19"/>
                <w:szCs w:val="19"/>
                <w:color w:val="auto"/>
              </w:rPr>
            </w:pPr>
          </w:p>
        </w:tc>
        <w:tc>
          <w:tcPr>
            <w:tcW w:w="23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454545"/>
              </w:rPr>
              <w:t>Other Pension Plans</w:t>
            </w:r>
          </w:p>
        </w:tc>
        <w:tc>
          <w:tcPr>
            <w:tcW w:w="380" w:type="dxa"/>
            <w:vAlign w:val="bottom"/>
          </w:tcPr>
          <w:p>
            <w:pPr>
              <w:spacing w:after="0"/>
              <w:rPr>
                <w:sz w:val="19"/>
                <w:szCs w:val="19"/>
                <w:color w:val="auto"/>
              </w:rPr>
            </w:pPr>
          </w:p>
        </w:tc>
        <w:tc>
          <w:tcPr>
            <w:tcW w:w="12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OPEB</w:t>
            </w:r>
          </w:p>
        </w:tc>
        <w:tc>
          <w:tcPr>
            <w:tcW w:w="920" w:type="dxa"/>
            <w:vAlign w:val="bottom"/>
          </w:tcPr>
          <w:p>
            <w:pPr>
              <w:spacing w:after="0"/>
              <w:rPr>
                <w:sz w:val="19"/>
                <w:szCs w:val="19"/>
                <w:color w:val="auto"/>
              </w:rPr>
            </w:pPr>
          </w:p>
        </w:tc>
      </w:tr>
      <w:tr>
        <w:trPr>
          <w:trHeight w:val="21"/>
        </w:trPr>
        <w:tc>
          <w:tcPr>
            <w:tcW w:w="3540" w:type="dxa"/>
            <w:vAlign w:val="bottom"/>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30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r>
      <w:tr>
        <w:trPr>
          <w:trHeight w:val="21"/>
        </w:trPr>
        <w:tc>
          <w:tcPr>
            <w:tcW w:w="35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6"/>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84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(284)</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(292)</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w:t>
            </w: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84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3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Curtailment loss (gain)</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(67)</w:t>
            </w:r>
          </w:p>
        </w:tc>
        <w:tc>
          <w:tcPr>
            <w:tcW w:w="8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8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w:t>
            </w:r>
          </w:p>
        </w:tc>
      </w:tr>
      <w:tr>
        <w:trPr>
          <w:trHeight w:val="229"/>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(67)</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(58)</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0" w:type="dxa"/>
            <w:vAlign w:val="bottom"/>
            <w:gridSpan w:val="8"/>
          </w:tcPr>
          <w:p>
            <w:pPr>
              <w:jc w:val="center"/>
              <w:ind w:left="539"/>
              <w:spacing w:after="0"/>
              <w:rPr>
                <w:sz w:val="20"/>
                <w:szCs w:val="20"/>
                <w:color w:val="auto"/>
              </w:rPr>
            </w:pPr>
            <w:r>
              <w:rPr>
                <w:rFonts w:ascii="Arial" w:cs="Arial" w:eastAsia="Arial" w:hAnsi="Arial"/>
                <w:sz w:val="16"/>
                <w:szCs w:val="16"/>
                <w:b w:val="1"/>
                <w:bCs w:val="1"/>
                <w:color w:val="454545"/>
              </w:rPr>
              <w:t>For the nine months ended September 30</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
        </w:trPr>
        <w:tc>
          <w:tcPr>
            <w:tcW w:w="3540" w:type="dxa"/>
            <w:vAlign w:val="bottom"/>
          </w:tcPr>
          <w:p>
            <w:pPr>
              <w:spacing w:after="0" w:line="20" w:lineRule="exact"/>
              <w:rPr>
                <w:sz w:val="1"/>
                <w:szCs w:val="1"/>
                <w:color w:val="auto"/>
              </w:rPr>
            </w:pPr>
          </w:p>
        </w:tc>
        <w:tc>
          <w:tcPr>
            <w:tcW w:w="2600" w:type="dxa"/>
            <w:vAlign w:val="bottom"/>
            <w:tcBorders>
              <w:bottom w:val="single" w:sz="8" w:color="454545"/>
            </w:tcBorders>
            <w:gridSpan w:val="5"/>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300" w:type="dxa"/>
            <w:vAlign w:val="bottom"/>
            <w:tcBorders>
              <w:bottom w:val="single" w:sz="8" w:color="454545"/>
            </w:tcBorders>
            <w:gridSpan w:val="4"/>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2160" w:type="dxa"/>
            <w:vAlign w:val="bottom"/>
            <w:tcBorders>
              <w:bottom w:val="single" w:sz="8" w:color="454545"/>
            </w:tcBorders>
            <w:gridSpan w:val="3"/>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2600" w:type="dxa"/>
            <w:vAlign w:val="bottom"/>
            <w:gridSpan w:val="5"/>
          </w:tcPr>
          <w:p>
            <w:pPr>
              <w:ind w:left="340"/>
              <w:spacing w:after="0"/>
              <w:rPr>
                <w:sz w:val="20"/>
                <w:szCs w:val="20"/>
                <w:color w:val="auto"/>
              </w:rPr>
            </w:pPr>
            <w:r>
              <w:rPr>
                <w:rFonts w:ascii="Arial" w:cs="Arial" w:eastAsia="Arial" w:hAnsi="Arial"/>
                <w:sz w:val="16"/>
                <w:szCs w:val="16"/>
                <w:b w:val="1"/>
                <w:bCs w:val="1"/>
                <w:color w:val="454545"/>
              </w:rPr>
              <w:t>Principal Pension Plans</w:t>
            </w:r>
          </w:p>
        </w:tc>
        <w:tc>
          <w:tcPr>
            <w:tcW w:w="280" w:type="dxa"/>
            <w:vAlign w:val="bottom"/>
          </w:tcPr>
          <w:p>
            <w:pPr>
              <w:spacing w:after="0"/>
              <w:rPr>
                <w:sz w:val="19"/>
                <w:szCs w:val="19"/>
                <w:color w:val="auto"/>
              </w:rPr>
            </w:pPr>
          </w:p>
        </w:tc>
        <w:tc>
          <w:tcPr>
            <w:tcW w:w="230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454545"/>
              </w:rPr>
              <w:t>Other Pension Plans</w:t>
            </w:r>
          </w:p>
        </w:tc>
        <w:tc>
          <w:tcPr>
            <w:tcW w:w="360" w:type="dxa"/>
            <w:vAlign w:val="bottom"/>
          </w:tcPr>
          <w:p>
            <w:pPr>
              <w:spacing w:after="0"/>
              <w:rPr>
                <w:sz w:val="19"/>
                <w:szCs w:val="19"/>
                <w:color w:val="auto"/>
              </w:rPr>
            </w:pPr>
          </w:p>
        </w:tc>
        <w:tc>
          <w:tcPr>
            <w:tcW w:w="216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3540" w:type="dxa"/>
            <w:vAlign w:val="bottom"/>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r>
      <w:tr>
        <w:trPr>
          <w:trHeight w:val="229"/>
        </w:trPr>
        <w:tc>
          <w:tcPr>
            <w:tcW w:w="3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30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2023</w:t>
            </w:r>
          </w:p>
        </w:tc>
      </w:tr>
      <w:tr>
        <w:trPr>
          <w:trHeight w:val="21"/>
        </w:trPr>
        <w:tc>
          <w:tcPr>
            <w:tcW w:w="354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681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84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(851)</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(878)</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(192)</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35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(57)</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9"/>
        </w:trPr>
        <w:tc>
          <w:tcPr>
            <w:tcW w:w="3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84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0"/>
                <w:szCs w:val="20"/>
                <w:color w:val="auto"/>
              </w:rPr>
            </w:pPr>
          </w:p>
        </w:tc>
        <w:tc>
          <w:tcPr>
            <w:tcW w:w="36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c>
          <w:tcPr>
            <w:tcW w:w="2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28"/>
        </w:trPr>
        <w:tc>
          <w:tcPr>
            <w:tcW w:w="3540" w:type="dxa"/>
            <w:vAlign w:val="bottom"/>
          </w:tcPr>
          <w:p>
            <w:pPr>
              <w:ind w:left="20"/>
              <w:spacing w:after="0"/>
              <w:rPr>
                <w:sz w:val="20"/>
                <w:szCs w:val="20"/>
                <w:color w:val="auto"/>
              </w:rPr>
            </w:pPr>
            <w:r>
              <w:rPr>
                <w:rFonts w:ascii="Arial" w:cs="Arial" w:eastAsia="Arial" w:hAnsi="Arial"/>
                <w:sz w:val="16"/>
                <w:szCs w:val="16"/>
                <w:color w:val="auto"/>
              </w:rPr>
              <w:t>Curtailment loss (gain)</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84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(221)</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(240)</w:t>
            </w:r>
          </w:p>
        </w:tc>
        <w:tc>
          <w:tcPr>
            <w:tcW w:w="80" w:type="dxa"/>
            <w:vAlign w:val="bottom"/>
            <w:tcBorders>
              <w:bottom w:val="single" w:sz="8" w:color="E4E4E4"/>
            </w:tcBorders>
            <w:shd w:val="clear" w:color="auto" w:fill="E4E4E4"/>
          </w:tcPr>
          <w:p>
            <w:pPr>
              <w:spacing w:after="0"/>
              <w:rPr>
                <w:sz w:val="21"/>
                <w:szCs w:val="21"/>
                <w:color w:val="auto"/>
              </w:rPr>
            </w:pP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w:t>
            </w:r>
          </w:p>
        </w:tc>
        <w:tc>
          <w:tcPr>
            <w:tcW w:w="80" w:type="dxa"/>
            <w:vAlign w:val="bottom"/>
            <w:tcBorders>
              <w:bottom w:val="single" w:sz="8" w:color="E4E4E4"/>
            </w:tcBorders>
            <w:shd w:val="clear" w:color="auto" w:fill="E4E4E4"/>
          </w:tcPr>
          <w:p>
            <w:pPr>
              <w:spacing w:after="0"/>
              <w:rPr>
                <w:sz w:val="21"/>
                <w:szCs w:val="21"/>
                <w:color w:val="auto"/>
              </w:rPr>
            </w:pPr>
          </w:p>
        </w:tc>
        <w:tc>
          <w:tcPr>
            <w:tcW w:w="36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w:t>
            </w:r>
          </w:p>
        </w:tc>
      </w:tr>
      <w:tr>
        <w:trPr>
          <w:trHeight w:val="229"/>
        </w:trPr>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w:t>
            </w: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(64)</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In the third quarter of 2023, management approved an amendment to the U.S. based GE HealthCare Pension Plan whereby the benefits for all remaining active employees will be frozen effective December 31, 2024, and additional benefit enhancements were provided. As a result, we recognized a non-cash pre-tax curtailment loss of approximately $17 million as non-operating benefit costs.</w:t>
      </w:r>
    </w:p>
    <w:p>
      <w:pPr>
        <w:spacing w:after="0" w:line="21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In the nine months ended September 30, 2024, the Company made cash benefit payments totaling $91 million to its Principal Pension Plans, $67 million to its Other Pension Plans, and $99 million to its OPEB Plans. In 2024, the Company expects to make total cash contributions of approximately $336 million to these plans. The Company does not have a required minimum funding contribution for its U.S.-based GE HealthCare Pension Plan in 2024. Future contributions will depend on capital market conditions, including equity market returns, and other factors.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Defined Contribution Plan</w:t>
      </w:r>
    </w:p>
    <w:p>
      <w:pPr>
        <w:spacing w:after="0" w:line="29" w:lineRule="exact"/>
        <w:rPr>
          <w:sz w:val="20"/>
          <w:szCs w:val="20"/>
          <w:color w:val="auto"/>
        </w:rPr>
      </w:pPr>
    </w:p>
    <w:p>
      <w:pPr>
        <w:ind w:right="620"/>
        <w:spacing w:after="0" w:line="267" w:lineRule="auto"/>
        <w:rPr>
          <w:sz w:val="20"/>
          <w:szCs w:val="20"/>
          <w:color w:val="auto"/>
        </w:rPr>
      </w:pPr>
      <w:r>
        <w:rPr>
          <w:rFonts w:ascii="Arial" w:cs="Arial" w:eastAsia="Arial" w:hAnsi="Arial"/>
          <w:sz w:val="16"/>
          <w:szCs w:val="16"/>
          <w:color w:val="auto"/>
        </w:rPr>
        <w:t>GE HealthCare sponsors a defined contribution plan for its eligible U.S. employees. Expenses associated with our employees’ participation in GE HealthCare’s defined contribution plan were $27 million and $28 million for the three months ended September 30, 2024 and 2023, respectively, and $100 million and $94 million for the nine months ended September 30, 2024 and 2023,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5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effective income tax rate was 25.5% and 39.3% for the three months ended September 30, 2024 and 2023, respectively, and 24.9% and 31.4% for the nine months ended September 30, 2024 and 2023, respectively. The tax rate for the three and nine months ended September 30, 2024 is higher than the U.S. statutory rate primarily due to the tax cost of global activities, reconciling adjustments to recorded tax account balances associated with the Spin-Off, withholding taxes, and state taxes, partially offset by research and development benefits.</w:t>
      </w:r>
    </w:p>
    <w:p>
      <w:pPr>
        <w:spacing w:after="0" w:line="213"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The effective tax rate for 2023 is higher than the U.S. statutory rate primarily due to the tax cost of global activities, including the U.S. taxation on international operations, tax effect of foreign currency movement, withholding taxes, and state taxes. Benefit (provision) for income taxes for the three and nine months ended September 30, 2023 included $105 million of deferred tax provision associated with the Tax Matters Agreement (“TMA”) with GE including the effect of completing the 2022 GE U.S. federal tax return. In addition, Other (income) expense – net for the three and nine months ended September 30, 2023 included a $30 million benefit related to changes in tax indemnities with GE also associated with the TMA and the effect of completing the 2022 GE U.S. federal tax return.</w:t>
      </w:r>
    </w:p>
    <w:p>
      <w:pPr>
        <w:spacing w:after="0" w:line="207"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Post Spin-Off, the Company’s previously undistributed earnings of our foreign subsidiaries are no longer indefinitely reinvested in non-U.S. businesses due to current U.S. funding needs. Therefore, in the first quarter of 2023, an incremental deferred tax liability of $30 million was recorded for withholding and other foreign taxes due upon future distribution of earnings. In addition, the Company is providing for withholding and other foreign taxes due upon future distribution of current period earnings.</w:t>
      </w:r>
    </w:p>
    <w:p>
      <w:pPr>
        <w:spacing w:after="0" w:line="20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The Company is currently being audited in a number of jurisdictions for tax years 2004-2022, including China, Germany, Norway, the United Kingdom, and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11. ACCUMULATED OTHER COMPREHENSIVE INCOME (LOSS) – NET</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Changes in Accumulated other comprehensive income (loss) (“AOCI”) by component, net of income taxes, were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00" w:type="dxa"/>
            <w:vAlign w:val="bottom"/>
            <w:gridSpan w:val="6"/>
          </w:tcPr>
          <w:p>
            <w:pPr>
              <w:jc w:val="center"/>
              <w:ind w:left="919"/>
              <w:spacing w:after="0"/>
              <w:rPr>
                <w:sz w:val="20"/>
                <w:szCs w:val="20"/>
                <w:color w:val="auto"/>
              </w:rPr>
            </w:pPr>
            <w:r>
              <w:rPr>
                <w:rFonts w:ascii="Arial" w:cs="Arial" w:eastAsia="Arial" w:hAnsi="Arial"/>
                <w:sz w:val="16"/>
                <w:szCs w:val="16"/>
                <w:b w:val="1"/>
                <w:bCs w:val="1"/>
                <w:color w:val="454545"/>
              </w:rPr>
              <w:t>For the three months ended September 30, 2024</w:t>
            </w:r>
          </w:p>
        </w:tc>
        <w:tc>
          <w:tcPr>
            <w:tcW w:w="118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6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6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34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w w:val="99"/>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2024</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(1,812)</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961</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(845)</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$27, $8, and $10</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$12, and $1</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(41)</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(67)</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74</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(1,635)</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894</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(771)</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gridSpan w:val="6"/>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93"/>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gridSpan w:val="6"/>
          </w:tcPr>
          <w:p>
            <w:pPr>
              <w:jc w:val="center"/>
              <w:ind w:left="919"/>
              <w:spacing w:after="0"/>
              <w:rPr>
                <w:sz w:val="20"/>
                <w:szCs w:val="20"/>
                <w:color w:val="auto"/>
              </w:rPr>
            </w:pPr>
            <w:r>
              <w:rPr>
                <w:rFonts w:ascii="Arial" w:cs="Arial" w:eastAsia="Arial" w:hAnsi="Arial"/>
                <w:sz w:val="16"/>
                <w:szCs w:val="16"/>
                <w:b w:val="1"/>
                <w:bCs w:val="1"/>
                <w:color w:val="454545"/>
              </w:rPr>
              <w:t>For the three months ended September 30, 2023</w:t>
            </w:r>
          </w:p>
        </w:tc>
        <w:tc>
          <w:tcPr>
            <w:tcW w:w="1180" w:type="dxa"/>
            <w:vAlign w:val="bottom"/>
          </w:tcPr>
          <w:p>
            <w:pPr>
              <w:spacing w:after="0"/>
              <w:rPr>
                <w:sz w:val="24"/>
                <w:szCs w:val="24"/>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6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6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34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w w:val="99"/>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June 30,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(1,757)</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1,847</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$(16), $69, and $(6)</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(214)</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6"/>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$16, and $(1)</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(50)</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22</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(385)</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16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(1,865)</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1,583</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(280)</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700" w:type="dxa"/>
            <w:vAlign w:val="bottom"/>
            <w:tcBorders>
              <w:bottom w:val="single" w:sz="8" w:color="auto"/>
            </w:tcBorders>
            <w:gridSpan w:val="6"/>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580"/>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00" w:type="dxa"/>
            <w:vAlign w:val="bottom"/>
            <w:gridSpan w:val="6"/>
          </w:tcPr>
          <w:p>
            <w:pPr>
              <w:jc w:val="center"/>
              <w:ind w:left="939"/>
              <w:spacing w:after="0"/>
              <w:rPr>
                <w:sz w:val="20"/>
                <w:szCs w:val="20"/>
                <w:color w:val="auto"/>
              </w:rPr>
            </w:pPr>
            <w:r>
              <w:rPr>
                <w:rFonts w:ascii="Arial" w:cs="Arial" w:eastAsia="Arial" w:hAnsi="Arial"/>
                <w:sz w:val="16"/>
                <w:szCs w:val="16"/>
                <w:b w:val="1"/>
                <w:bCs w:val="1"/>
                <w:color w:val="454545"/>
              </w:rPr>
              <w:t>For the nine months ended September 30, 2024</w:t>
            </w:r>
          </w:p>
        </w:tc>
        <w:tc>
          <w:tcPr>
            <w:tcW w:w="1180" w:type="dxa"/>
            <w:vAlign w:val="bottom"/>
          </w:tcPr>
          <w:p>
            <w:pPr>
              <w:spacing w:after="0"/>
              <w:rPr>
                <w:sz w:val="24"/>
                <w:szCs w:val="24"/>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60" w:type="dxa"/>
            <w:vAlign w:val="bottom"/>
          </w:tcPr>
          <w:p>
            <w:pPr>
              <w:spacing w:after="0"/>
              <w:rPr>
                <w:sz w:val="17"/>
                <w:szCs w:val="17"/>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6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center"/>
              <w:ind w:right="7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34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w w:val="99"/>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(1,706)</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1,033</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$13, $7, and $3</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(27)</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$33, and $1</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(114)</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(80)</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5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shd w:val="clear" w:color="auto" w:fill="E4E4E4"/>
          </w:tcPr>
          <w:p>
            <w:pPr>
              <w:spacing w:after="0"/>
              <w:rPr>
                <w:sz w:val="18"/>
                <w:szCs w:val="18"/>
                <w:color w:val="auto"/>
              </w:rPr>
            </w:pPr>
          </w:p>
        </w:tc>
        <w:tc>
          <w:tcPr>
            <w:tcW w:w="134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13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60" w:type="dxa"/>
            <w:vAlign w:val="bottom"/>
            <w:shd w:val="clear" w:color="auto" w:fill="E4E4E4"/>
          </w:tcPr>
          <w:p>
            <w:pPr>
              <w:spacing w:after="0"/>
              <w:rPr>
                <w:sz w:val="18"/>
                <w:szCs w:val="18"/>
                <w:color w:val="auto"/>
              </w:rPr>
            </w:pPr>
          </w:p>
        </w:tc>
        <w:tc>
          <w:tcPr>
            <w:tcW w:w="340" w:type="dxa"/>
            <w:vAlign w:val="bottom"/>
            <w:shd w:val="clear" w:color="auto" w:fill="E4E4E4"/>
          </w:tcPr>
          <w:p>
            <w:pPr>
              <w:spacing w:after="0"/>
              <w:rPr>
                <w:sz w:val="18"/>
                <w:szCs w:val="18"/>
                <w:color w:val="auto"/>
              </w:rPr>
            </w:pPr>
          </w:p>
        </w:tc>
        <w:tc>
          <w:tcPr>
            <w:tcW w:w="1180" w:type="dxa"/>
            <w:vAlign w:val="bottom"/>
            <w:shd w:val="clear" w:color="auto" w:fill="E4E4E4"/>
          </w:tcPr>
          <w:p>
            <w:pPr>
              <w:spacing w:after="0"/>
              <w:rPr>
                <w:sz w:val="18"/>
                <w:szCs w:val="18"/>
                <w:color w:val="auto"/>
              </w:rPr>
            </w:pPr>
          </w:p>
        </w:tc>
      </w:tr>
      <w:tr>
        <w:trPr>
          <w:trHeight w:val="249"/>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E4E4E4"/>
            </w:tcBorders>
            <w:shd w:val="clear" w:color="auto" w:fill="E4E4E4"/>
          </w:tcPr>
          <w:p>
            <w:pPr>
              <w:spacing w:after="0"/>
              <w:rPr>
                <w:sz w:val="21"/>
                <w:szCs w:val="21"/>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September 30, 2024</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(1,635)</w:t>
            </w: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894</w:t>
            </w:r>
          </w:p>
        </w:tc>
        <w:tc>
          <w:tcPr>
            <w:tcW w:w="64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(771)</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3"/>
        </w:trPr>
        <w:tc>
          <w:tcPr>
            <w:tcW w:w="5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00" w:type="dxa"/>
            <w:vAlign w:val="bottom"/>
            <w:gridSpan w:val="6"/>
          </w:tcPr>
          <w:p>
            <w:pPr>
              <w:jc w:val="right"/>
              <w:spacing w:after="0"/>
              <w:rPr>
                <w:sz w:val="20"/>
                <w:szCs w:val="20"/>
                <w:color w:val="auto"/>
              </w:rPr>
            </w:pPr>
            <w:r>
              <w:rPr>
                <w:rFonts w:ascii="Arial" w:cs="Arial" w:eastAsia="Arial" w:hAnsi="Arial"/>
                <w:sz w:val="16"/>
                <w:szCs w:val="16"/>
                <w:b w:val="1"/>
                <w:bCs w:val="1"/>
                <w:color w:val="454545"/>
              </w:rPr>
              <w:t>For the nine months ended September 30, 2023</w:t>
            </w:r>
          </w:p>
        </w:tc>
        <w:tc>
          <w:tcPr>
            <w:tcW w:w="1180" w:type="dxa"/>
            <w:vAlign w:val="bottom"/>
          </w:tcPr>
          <w:p>
            <w:pPr>
              <w:spacing w:after="0"/>
              <w:rPr>
                <w:sz w:val="19"/>
                <w:szCs w:val="19"/>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1520" w:type="dxa"/>
            <w:vAlign w:val="bottom"/>
            <w:tcBorders>
              <w:bottom w:val="single" w:sz="8" w:color="454545"/>
            </w:tcBorders>
            <w:gridSpan w:val="2"/>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r>
      <w:tr>
        <w:trPr>
          <w:trHeight w:val="209"/>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w w:val="99"/>
              </w:rPr>
              <w:t>Currency</w:t>
            </w:r>
          </w:p>
        </w:tc>
        <w:tc>
          <w:tcPr>
            <w:tcW w:w="1520" w:type="dxa"/>
            <w:vAlign w:val="bottom"/>
            <w:gridSpan w:val="2"/>
          </w:tcPr>
          <w:p>
            <w:pPr>
              <w:ind w:left="40"/>
              <w:spacing w:after="0"/>
              <w:rPr>
                <w:sz w:val="20"/>
                <w:szCs w:val="20"/>
                <w:color w:val="auto"/>
              </w:rPr>
            </w:pPr>
            <w:r>
              <w:rPr>
                <w:rFonts w:ascii="Arial" w:cs="Arial" w:eastAsia="Arial" w:hAnsi="Arial"/>
                <w:sz w:val="16"/>
                <w:szCs w:val="16"/>
                <w:b w:val="1"/>
                <w:bCs w:val="1"/>
                <w:color w:val="454545"/>
              </w:rPr>
              <w:t>Pension and Other</w:t>
            </w: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3"/>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79"/>
              <w:spacing w:after="0"/>
              <w:rPr>
                <w:sz w:val="20"/>
                <w:szCs w:val="20"/>
                <w:color w:val="auto"/>
              </w:rPr>
            </w:pPr>
            <w:r>
              <w:rPr>
                <w:rFonts w:ascii="Arial" w:cs="Arial" w:eastAsia="Arial" w:hAnsi="Arial"/>
                <w:sz w:val="16"/>
                <w:szCs w:val="16"/>
                <w:b w:val="1"/>
                <w:bCs w:val="1"/>
                <w:color w:val="454545"/>
              </w:rPr>
              <w:t>translation</w:t>
            </w:r>
          </w:p>
        </w:tc>
        <w:tc>
          <w:tcPr>
            <w:tcW w:w="160" w:type="dxa"/>
            <w:vAlign w:val="bottom"/>
          </w:tcPr>
          <w:p>
            <w:pPr>
              <w:spacing w:after="0"/>
              <w:rPr>
                <w:sz w:val="17"/>
                <w:szCs w:val="17"/>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b w:val="1"/>
                <w:bCs w:val="1"/>
                <w:color w:val="454545"/>
              </w:rPr>
              <w:t>Postretirement</w:t>
            </w:r>
          </w:p>
        </w:tc>
        <w:tc>
          <w:tcPr>
            <w:tcW w:w="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4"/>
        </w:trPr>
        <w:tc>
          <w:tcPr>
            <w:tcW w:w="5200" w:type="dxa"/>
            <w:vAlign w:val="bottom"/>
            <w:tcBorders>
              <w:bottom w:val="single" w:sz="8" w:color="6022A6"/>
            </w:tcBorders>
          </w:tcPr>
          <w:p>
            <w:pPr>
              <w:spacing w:after="0"/>
              <w:rPr>
                <w:sz w:val="21"/>
                <w:szCs w:val="21"/>
                <w:color w:val="auto"/>
              </w:rPr>
            </w:pPr>
          </w:p>
        </w:tc>
        <w:tc>
          <w:tcPr>
            <w:tcW w:w="160" w:type="dxa"/>
            <w:vAlign w:val="bottom"/>
            <w:tcBorders>
              <w:bottom w:val="single" w:sz="8" w:color="6022A6"/>
            </w:tcBorders>
          </w:tcPr>
          <w:p>
            <w:pPr>
              <w:spacing w:after="0"/>
              <w:rPr>
                <w:sz w:val="21"/>
                <w:szCs w:val="21"/>
                <w:color w:val="auto"/>
              </w:rPr>
            </w:pPr>
          </w:p>
        </w:tc>
        <w:tc>
          <w:tcPr>
            <w:tcW w:w="13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w w:val="96"/>
              </w:rPr>
              <w:t>adjustments</w:t>
            </w:r>
            <w:r>
              <w:rPr>
                <w:rFonts w:ascii="Arial" w:cs="Arial" w:eastAsia="Arial" w:hAnsi="Arial"/>
                <w:sz w:val="21"/>
                <w:szCs w:val="21"/>
                <w:b w:val="1"/>
                <w:bCs w:val="1"/>
                <w:color w:val="454545"/>
                <w:w w:val="96"/>
                <w:vertAlign w:val="superscript"/>
              </w:rPr>
              <w:t>(1)</w:t>
            </w:r>
          </w:p>
        </w:tc>
        <w:tc>
          <w:tcPr>
            <w:tcW w:w="160" w:type="dxa"/>
            <w:vAlign w:val="bottom"/>
            <w:tcBorders>
              <w:bottom w:val="single" w:sz="8" w:color="6022A6"/>
            </w:tcBorders>
          </w:tcPr>
          <w:p>
            <w:pPr>
              <w:spacing w:after="0"/>
              <w:rPr>
                <w:sz w:val="21"/>
                <w:szCs w:val="21"/>
                <w:color w:val="auto"/>
              </w:rPr>
            </w:pPr>
          </w:p>
        </w:tc>
        <w:tc>
          <w:tcPr>
            <w:tcW w:w="1360" w:type="dxa"/>
            <w:vAlign w:val="bottom"/>
            <w:tcBorders>
              <w:bottom w:val="single" w:sz="8" w:color="6022A6"/>
            </w:tcBorders>
          </w:tcPr>
          <w:p>
            <w:pPr>
              <w:jc w:val="right"/>
              <w:ind w:right="459"/>
              <w:spacing w:after="0"/>
              <w:rPr>
                <w:sz w:val="20"/>
                <w:szCs w:val="20"/>
                <w:color w:val="auto"/>
              </w:rPr>
            </w:pPr>
            <w:r>
              <w:rPr>
                <w:rFonts w:ascii="Arial" w:cs="Arial" w:eastAsia="Arial" w:hAnsi="Arial"/>
                <w:sz w:val="16"/>
                <w:szCs w:val="16"/>
                <w:b w:val="1"/>
                <w:bCs w:val="1"/>
                <w:color w:val="454545"/>
              </w:rPr>
              <w:t>Plans</w:t>
            </w:r>
          </w:p>
        </w:tc>
        <w:tc>
          <w:tcPr>
            <w:tcW w:w="150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Cash flow hedges</w:t>
            </w:r>
          </w:p>
        </w:tc>
        <w:tc>
          <w:tcPr>
            <w:tcW w:w="34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w w:val="99"/>
              </w:rPr>
              <w:t>Total AOCI</w:t>
            </w:r>
          </w:p>
        </w:tc>
      </w:tr>
      <w:tr>
        <w:trPr>
          <w:trHeight w:val="255"/>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(1,845)</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r>
      <w:tr>
        <w:trPr>
          <w:trHeight w:val="209"/>
        </w:trPr>
        <w:tc>
          <w:tcPr>
            <w:tcW w:w="5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taxes of $1, $60, and $(4)</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(264)</w:t>
            </w:r>
          </w:p>
        </w:tc>
      </w:tr>
      <w:tr>
        <w:trPr>
          <w:trHeight w:val="29"/>
        </w:trPr>
        <w:tc>
          <w:tcPr>
            <w:tcW w:w="5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7"/>
        </w:trPr>
        <w:tc>
          <w:tcPr>
            <w:tcW w:w="52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 $49, and $5</w:t>
            </w:r>
          </w:p>
        </w:tc>
        <w:tc>
          <w:tcPr>
            <w:tcW w:w="160" w:type="dxa"/>
            <w:vAlign w:val="bottom"/>
            <w:tcBorders>
              <w:bottom w:val="single" w:sz="8" w:color="auto"/>
            </w:tcBorders>
            <w:shd w:val="clear" w:color="auto" w:fill="E4E4E4"/>
          </w:tcPr>
          <w:p>
            <w:pPr>
              <w:spacing w:after="0"/>
              <w:rPr>
                <w:sz w:val="22"/>
                <w:szCs w:val="22"/>
                <w:color w:val="auto"/>
              </w:rPr>
            </w:pPr>
          </w:p>
        </w:tc>
        <w:tc>
          <w:tcPr>
            <w:tcW w:w="1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E4E4E4"/>
          </w:tcPr>
          <w:p>
            <w:pPr>
              <w:spacing w:after="0"/>
              <w:rPr>
                <w:sz w:val="22"/>
                <w:szCs w:val="22"/>
                <w:color w:val="auto"/>
              </w:rPr>
            </w:pPr>
          </w:p>
        </w:tc>
        <w:tc>
          <w:tcPr>
            <w:tcW w:w="13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64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340" w:type="dxa"/>
            <w:vAlign w:val="bottom"/>
            <w:tcBorders>
              <w:bottom w:val="single" w:sz="8" w:color="auto"/>
            </w:tcBorders>
            <w:shd w:val="clear" w:color="auto" w:fill="E4E4E4"/>
          </w:tcPr>
          <w:p>
            <w:pPr>
              <w:spacing w:after="0"/>
              <w:rPr>
                <w:sz w:val="22"/>
                <w:szCs w:val="22"/>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(173)</w:t>
            </w:r>
          </w:p>
        </w:tc>
      </w:tr>
      <w:tr>
        <w:trPr>
          <w:trHeight w:val="229"/>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(346)</w:t>
            </w:r>
          </w:p>
        </w:tc>
        <w:tc>
          <w:tcPr>
            <w:tcW w:w="6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(437)</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related adjustments – net of taxes of $—, $(509), and $—</w:t>
            </w:r>
          </w:p>
        </w:tc>
        <w:tc>
          <w:tcPr>
            <w:tcW w:w="16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16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1,972</w:t>
            </w:r>
          </w:p>
        </w:tc>
        <w:tc>
          <w:tcPr>
            <w:tcW w:w="64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2,000</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Less: Other comprehensive income (loss) attributable to noncontrolling</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interests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6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9"/>
        </w:trPr>
        <w:tc>
          <w:tcPr>
            <w:tcW w:w="5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5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September 30, 2023</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(1,865)</w:t>
            </w:r>
          </w:p>
        </w:tc>
        <w:tc>
          <w:tcPr>
            <w:tcW w:w="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1,583</w:t>
            </w:r>
          </w:p>
        </w:tc>
        <w:tc>
          <w:tcPr>
            <w:tcW w:w="6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(280)</w:t>
            </w:r>
          </w:p>
        </w:tc>
      </w:tr>
      <w:tr>
        <w:trPr>
          <w:trHeight w:val="20"/>
        </w:trPr>
        <w:tc>
          <w:tcPr>
            <w:tcW w:w="5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80" w:hanging="252"/>
        <w:spacing w:after="0" w:line="257"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amount of Currency translation adjustments recognized in Other comprehensive income (loss) (“OCI”) during the three and nine months ended September 30, 2024 and 2023 included net gains (losses) relating to net investment hedges, as further discussed in Note 12, “Financial Instruments and Fair Value Measurements.”</w:t>
      </w:r>
    </w:p>
    <w:p>
      <w:pPr>
        <w:spacing w:after="0" w:line="1" w:lineRule="exact"/>
        <w:rPr>
          <w:rFonts w:ascii="Arial" w:cs="Arial" w:eastAsia="Arial" w:hAnsi="Arial"/>
          <w:sz w:val="16"/>
          <w:szCs w:val="16"/>
          <w:color w:val="auto"/>
        </w:rPr>
      </w:pPr>
    </w:p>
    <w:p>
      <w:pPr>
        <w:ind w:left="260" w:right="80" w:hanging="252"/>
        <w:spacing w:after="0" w:line="270" w:lineRule="auto"/>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Condensed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INSTRUMENTS AND FAIR VALUE MEASUREMENTS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4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and equity prices. These derivative contracts reduce, but do not entirely eliminate, the aforementioned risks. Our policy is to use derivative contracts solely for managing risks and not for speculative purposes.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9"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September 30, 2024, we expect to reclassify $35 million of pre-tax net deferred loss associated with designated cash flow hedges to earnings in the next 12 months, contemporaneously with the impact on earnings of the related hedged transactions.</w:t>
      </w:r>
    </w:p>
    <w:p>
      <w:pPr>
        <w:spacing w:after="0" w:line="141"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The cash flows associated with derivatives designated as cash flow hedges are recorded in All other operating activities in the Condensed Consolidated Statements of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29"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September 30, 2024, these contracts were designated as hedges of our net investment in foreign operations, primarily in Euro and Chinese Renminbi currencies.</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cash flows associated with derivatives designated as net investment hedges are recorded in All other investing activities in the Condensed Consolidated Statements of Cash Flows. For the nine months ended September 30, 2024, All other investing activities includes a $94 million payment for the settlement of cross-currency swaps that were designated in net investment hedges. Cash flows from the periodic interest settlements on the cross-currency swaps are recorded in All other operating activities in the Condensed Consolidated Statements of Cash Flows.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29"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spacing w:after="0" w:line="127" w:lineRule="exact"/>
        <w:rPr>
          <w:sz w:val="20"/>
          <w:szCs w:val="20"/>
          <w:color w:val="auto"/>
        </w:rPr>
      </w:pPr>
    </w:p>
    <w:p>
      <w:pPr>
        <w:jc w:val="both"/>
        <w:ind w:right="320"/>
        <w:spacing w:after="0" w:line="266" w:lineRule="auto"/>
        <w:rPr>
          <w:sz w:val="20"/>
          <w:szCs w:val="20"/>
          <w:color w:val="auto"/>
        </w:rPr>
      </w:pPr>
      <w:r>
        <w:rPr>
          <w:rFonts w:ascii="Arial" w:cs="Arial" w:eastAsia="Arial" w:hAnsi="Arial"/>
          <w:sz w:val="16"/>
          <w:szCs w:val="16"/>
          <w:color w:val="auto"/>
        </w:rPr>
        <w:t>We record the changes in fair value on these swap contracts in Interest and other financial charges – net in our Condensed Consolidated Statements of Income, the same line item where the offsetting change in the fair value of the designated cash flows of the senior unsecured note is recorded as a basis adjustment.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1" w:name="page22"/>
    <w:bookmarkEnd w:id="21"/>
    <w:p>
      <w:pPr>
        <w:ind w:right="500"/>
        <w:spacing w:after="0" w:line="286" w:lineRule="auto"/>
        <w:rPr>
          <w:sz w:val="20"/>
          <w:szCs w:val="20"/>
          <w:color w:val="auto"/>
        </w:rPr>
      </w:pPr>
      <w:r>
        <w:rPr>
          <w:rFonts w:ascii="Arial" w:cs="Arial" w:eastAsia="Arial" w:hAnsi="Arial"/>
          <w:sz w:val="16"/>
          <w:szCs w:val="16"/>
          <w:color w:val="auto"/>
        </w:rPr>
        <w:t>Cash flows for the periodic interest settlements on the interest rate swaps are recorded in All other operating activities in the Condensed Consolidated Statements of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3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and record them as embedded derivatives.</w:t>
      </w:r>
    </w:p>
    <w:p>
      <w:pPr>
        <w:spacing w:after="0" w:line="20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changes in fair value of derivatives not designated in qualifying hedge transactions are recorded in Cost of products, Cost of services, Selling, general, and administrative (“SG&amp;A”), and Other (income) expense – net in the Condensed Consolidated Statements of Income based on the nature of the underlying hedged transaction. Changes in fair value of embedded derivatives are recognized in Other (income) expense – net in the Condensed Consolidated Statements of Income.</w:t>
      </w:r>
    </w:p>
    <w:p>
      <w:pPr>
        <w:spacing w:after="0" w:line="195" w:lineRule="exact"/>
        <w:rPr>
          <w:sz w:val="20"/>
          <w:szCs w:val="20"/>
          <w:color w:val="auto"/>
        </w:rPr>
      </w:pPr>
    </w:p>
    <w:p>
      <w:pPr>
        <w:jc w:val="both"/>
        <w:ind w:right="480"/>
        <w:spacing w:after="0" w:line="275" w:lineRule="auto"/>
        <w:rPr>
          <w:sz w:val="20"/>
          <w:szCs w:val="20"/>
          <w:color w:val="auto"/>
        </w:rPr>
      </w:pPr>
      <w:r>
        <w:rPr>
          <w:rFonts w:ascii="Arial" w:cs="Arial" w:eastAsia="Arial" w:hAnsi="Arial"/>
          <w:sz w:val="16"/>
          <w:szCs w:val="16"/>
          <w:color w:val="auto"/>
        </w:rPr>
        <w:t>The cash flows associated with derivatives not designated but used as economic hedges are recorded, based on the nature of the underlying hedged transaction, in All other operating activities and All other investing activities in the Condensed Consolidated Statements of Cash Flows. The cash flows related to embedded derivatives are included in All other operating activities in the Condensed Consolidated Statements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30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454545"/>
              </w:rPr>
              <w:t>September 30, 2024</w:t>
            </w:r>
          </w:p>
        </w:tc>
        <w:tc>
          <w:tcPr>
            <w:tcW w:w="160" w:type="dxa"/>
            <w:vAlign w:val="bottom"/>
          </w:tcPr>
          <w:p>
            <w:pPr>
              <w:spacing w:after="0"/>
              <w:rPr>
                <w:sz w:val="19"/>
                <w:szCs w:val="19"/>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1,504</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1,356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1,504</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1,356</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shd w:val="clear" w:color="auto" w:fill="E4E4E4"/>
          </w:tcPr>
          <w:p>
            <w:pPr>
              <w:ind w:left="20"/>
              <w:spacing w:after="0"/>
              <w:rPr>
                <w:sz w:val="20"/>
                <w:szCs w:val="20"/>
                <w:color w:val="auto"/>
              </w:rPr>
            </w:pPr>
            <w:r>
              <w:rPr>
                <w:rFonts w:ascii="Arial" w:cs="Arial" w:eastAsia="Arial" w:hAnsi="Arial"/>
                <w:sz w:val="16"/>
                <w:szCs w:val="16"/>
                <w:color w:val="auto"/>
              </w:rPr>
              <w:t>Cross-currency swaps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2,148</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174</w:t>
            </w: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2,209</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204</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1,625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3,773</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w:t>
            </w:r>
          </w:p>
        </w:tc>
      </w:tr>
      <w:tr>
        <w:trPr>
          <w:trHeight w:val="250"/>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3,854</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3,597</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6"/>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(1)(2)</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397</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auto"/>
            </w:tcBorders>
            <w:shd w:val="clear" w:color="auto" w:fill="E4E4E4"/>
          </w:tcPr>
          <w:p>
            <w:pPr>
              <w:spacing w:after="0"/>
              <w:rPr>
                <w:sz w:val="22"/>
                <w:szCs w:val="22"/>
                <w:color w:val="auto"/>
              </w:rPr>
            </w:pP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438</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4,251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4,035</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11,229</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257</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9,591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269</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120" w:hanging="252"/>
        <w:spacing w:after="0" w:line="263"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Accrued interest was immaterial for the periods presented and is excluded from fair value. These amounts are recognized within All other current assets and All other current liabilities in the Condensed Consolidated Statements of Financial Position.</w:t>
      </w:r>
    </w:p>
    <w:p>
      <w:pPr>
        <w:ind w:left="260" w:right="260" w:hanging="252"/>
        <w:spacing w:after="0" w:line="270" w:lineRule="auto"/>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 As of December 31, 2023, Other derivatives also included commodity contracts.</w:t>
      </w:r>
    </w:p>
    <w:p>
      <w:pPr>
        <w:spacing w:after="0" w:line="208" w:lineRule="exact"/>
        <w:rPr>
          <w:sz w:val="20"/>
          <w:szCs w:val="20"/>
          <w:color w:val="auto"/>
        </w:rPr>
      </w:pPr>
    </w:p>
    <w:p>
      <w:pPr>
        <w:ind w:right="680"/>
        <w:spacing w:after="0" w:line="286" w:lineRule="auto"/>
        <w:rPr>
          <w:sz w:val="20"/>
          <w:szCs w:val="20"/>
          <w:color w:val="auto"/>
        </w:rPr>
      </w:pPr>
      <w:r>
        <w:rPr>
          <w:rFonts w:ascii="Arial" w:cs="Arial" w:eastAsia="Arial" w:hAnsi="Arial"/>
          <w:sz w:val="16"/>
          <w:szCs w:val="16"/>
          <w:color w:val="auto"/>
        </w:rPr>
        <w:t>The following table presents amounts recorded in Long-term borrowings in the Condensed Consolidated Statements of Financial Position related to cumulative basis adjustment for fair value hedges.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4"/>
          </w:tcPr>
          <w:p>
            <w:pPr>
              <w:ind w:left="760"/>
              <w:spacing w:after="0"/>
              <w:rPr>
                <w:sz w:val="20"/>
                <w:szCs w:val="20"/>
                <w:color w:val="auto"/>
              </w:rPr>
            </w:pPr>
            <w:r>
              <w:rPr>
                <w:rFonts w:ascii="Arial" w:cs="Arial" w:eastAsia="Arial" w:hAnsi="Arial"/>
                <w:sz w:val="16"/>
                <w:szCs w:val="16"/>
                <w:b w:val="1"/>
                <w:bCs w:val="1"/>
                <w:color w:val="454545"/>
              </w:rPr>
              <w:t>September 30, 2024</w:t>
            </w:r>
          </w:p>
        </w:tc>
        <w:tc>
          <w:tcPr>
            <w:tcW w:w="120" w:type="dxa"/>
            <w:vAlign w:val="bottom"/>
          </w:tcPr>
          <w:p>
            <w:pPr>
              <w:spacing w:after="0"/>
              <w:rPr>
                <w:sz w:val="19"/>
                <w:szCs w:val="19"/>
                <w:color w:val="auto"/>
              </w:rPr>
            </w:pPr>
          </w:p>
        </w:tc>
        <w:tc>
          <w:tcPr>
            <w:tcW w:w="31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2023</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79"/>
              <w:spacing w:after="0" w:line="182" w:lineRule="exact"/>
              <w:rPr>
                <w:sz w:val="20"/>
                <w:szCs w:val="20"/>
                <w:color w:val="auto"/>
              </w:rPr>
            </w:pPr>
            <w:r>
              <w:rPr>
                <w:rFonts w:ascii="Arial" w:cs="Arial" w:eastAsia="Arial" w:hAnsi="Arial"/>
                <w:sz w:val="16"/>
                <w:szCs w:val="16"/>
                <w:b w:val="1"/>
                <w:bCs w:val="1"/>
                <w:color w:val="454545"/>
              </w:rPr>
              <w:t>Cumulative basis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80" w:type="dxa"/>
            <w:vAlign w:val="bottom"/>
            <w:gridSpan w:val="3"/>
          </w:tcPr>
          <w:p>
            <w:pPr>
              <w:jc w:val="center"/>
              <w:ind w:right="40"/>
              <w:spacing w:after="0" w:line="175" w:lineRule="exact"/>
              <w:rPr>
                <w:sz w:val="20"/>
                <w:szCs w:val="20"/>
                <w:color w:val="auto"/>
              </w:rPr>
            </w:pPr>
            <w:r>
              <w:rPr>
                <w:rFonts w:ascii="Arial" w:cs="Arial" w:eastAsia="Arial" w:hAnsi="Arial"/>
                <w:sz w:val="16"/>
                <w:szCs w:val="16"/>
                <w:b w:val="1"/>
                <w:bCs w:val="1"/>
                <w:color w:val="454545"/>
              </w:rPr>
              <w:t>adjustment included</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79"/>
              <w:spacing w:after="0" w:line="175" w:lineRule="exact"/>
              <w:rPr>
                <w:sz w:val="20"/>
                <w:szCs w:val="20"/>
                <w:color w:val="auto"/>
              </w:rPr>
            </w:pPr>
            <w:r>
              <w:rPr>
                <w:rFonts w:ascii="Arial" w:cs="Arial" w:eastAsia="Arial" w:hAnsi="Arial"/>
                <w:sz w:val="16"/>
                <w:szCs w:val="16"/>
                <w:b w:val="1"/>
                <w:bCs w:val="1"/>
                <w:color w:val="454545"/>
              </w:rPr>
              <w:t>Cumulative basis</w:t>
            </w: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454545"/>
                <w:w w:val="98"/>
              </w:rPr>
              <w:t>Carrying amount</w:t>
            </w:r>
          </w:p>
        </w:tc>
        <w:tc>
          <w:tcPr>
            <w:tcW w:w="200" w:type="dxa"/>
            <w:vAlign w:val="bottom"/>
          </w:tcPr>
          <w:p>
            <w:pPr>
              <w:spacing w:after="0"/>
              <w:rPr>
                <w:sz w:val="16"/>
                <w:szCs w:val="16"/>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454545"/>
              </w:rPr>
              <w:t>in the carrying</w:t>
            </w:r>
          </w:p>
        </w:tc>
        <w:tc>
          <w:tcPr>
            <w:tcW w:w="120" w:type="dxa"/>
            <w:vAlign w:val="bottom"/>
          </w:tcPr>
          <w:p>
            <w:pPr>
              <w:spacing w:after="0"/>
              <w:rPr>
                <w:sz w:val="16"/>
                <w:szCs w:val="16"/>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454545"/>
                <w:w w:val="99"/>
              </w:rPr>
              <w:t>Carrying amount</w:t>
            </w:r>
          </w:p>
        </w:tc>
        <w:tc>
          <w:tcPr>
            <w:tcW w:w="18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adjustment included</w:t>
            </w:r>
          </w:p>
        </w:tc>
        <w:tc>
          <w:tcPr>
            <w:tcW w:w="0" w:type="dxa"/>
            <w:vAlign w:val="bottom"/>
          </w:tcPr>
          <w:p>
            <w:pPr>
              <w:spacing w:after="0"/>
              <w:rPr>
                <w:sz w:val="1"/>
                <w:szCs w:val="1"/>
                <w:color w:val="auto"/>
              </w:rPr>
            </w:pPr>
          </w:p>
        </w:tc>
      </w:tr>
      <w:tr>
        <w:trPr>
          <w:trHeight w:val="226"/>
        </w:trPr>
        <w:tc>
          <w:tcPr>
            <w:tcW w:w="4580" w:type="dxa"/>
            <w:vAlign w:val="bottom"/>
            <w:tcBorders>
              <w:bottom w:val="single" w:sz="8" w:color="6022A6"/>
            </w:tcBorders>
          </w:tcPr>
          <w:p>
            <w:pPr>
              <w:spacing w:after="0"/>
              <w:rPr>
                <w:sz w:val="19"/>
                <w:szCs w:val="19"/>
                <w:color w:val="auto"/>
              </w:rPr>
            </w:pPr>
          </w:p>
        </w:tc>
        <w:tc>
          <w:tcPr>
            <w:tcW w:w="120" w:type="dxa"/>
            <w:vAlign w:val="bottom"/>
            <w:tcBorders>
              <w:bottom w:val="single" w:sz="8" w:color="6022A6"/>
            </w:tcBorders>
          </w:tcPr>
          <w:p>
            <w:pPr>
              <w:spacing w:after="0"/>
              <w:rPr>
                <w:sz w:val="19"/>
                <w:szCs w:val="19"/>
                <w:color w:val="auto"/>
              </w:rPr>
            </w:pPr>
          </w:p>
        </w:tc>
        <w:tc>
          <w:tcPr>
            <w:tcW w:w="1360" w:type="dxa"/>
            <w:vAlign w:val="bottom"/>
            <w:tcBorders>
              <w:bottom w:val="single" w:sz="8" w:color="6022A6"/>
            </w:tcBorders>
            <w:vMerge w:val="continue"/>
          </w:tcPr>
          <w:p>
            <w:pPr>
              <w:spacing w:after="0"/>
              <w:rPr>
                <w:sz w:val="19"/>
                <w:szCs w:val="19"/>
                <w:color w:val="auto"/>
              </w:rPr>
            </w:pPr>
          </w:p>
        </w:tc>
        <w:tc>
          <w:tcPr>
            <w:tcW w:w="200" w:type="dxa"/>
            <w:vAlign w:val="bottom"/>
            <w:tcBorders>
              <w:bottom w:val="single" w:sz="8" w:color="6022A6"/>
            </w:tcBorders>
          </w:tcPr>
          <w:p>
            <w:pPr>
              <w:spacing w:after="0"/>
              <w:rPr>
                <w:sz w:val="19"/>
                <w:szCs w:val="19"/>
                <w:color w:val="auto"/>
              </w:rPr>
            </w:pPr>
          </w:p>
        </w:tc>
        <w:tc>
          <w:tcPr>
            <w:tcW w:w="1680" w:type="dxa"/>
            <w:vAlign w:val="bottom"/>
            <w:tcBorders>
              <w:bottom w:val="single" w:sz="8" w:color="6022A6"/>
            </w:tcBorders>
            <w:gridSpan w:val="2"/>
          </w:tcPr>
          <w:p>
            <w:pPr>
              <w:jc w:val="center"/>
              <w:ind w:right="240"/>
              <w:spacing w:after="0"/>
              <w:rPr>
                <w:sz w:val="20"/>
                <w:szCs w:val="20"/>
                <w:color w:val="auto"/>
              </w:rPr>
            </w:pPr>
            <w:r>
              <w:rPr>
                <w:rFonts w:ascii="Arial" w:cs="Arial" w:eastAsia="Arial" w:hAnsi="Arial"/>
                <w:sz w:val="16"/>
                <w:szCs w:val="16"/>
                <w:b w:val="1"/>
                <w:bCs w:val="1"/>
                <w:color w:val="454545"/>
              </w:rPr>
              <w:t>amount</w:t>
            </w:r>
          </w:p>
        </w:tc>
        <w:tc>
          <w:tcPr>
            <w:tcW w:w="120" w:type="dxa"/>
            <w:vAlign w:val="bottom"/>
            <w:tcBorders>
              <w:bottom w:val="single" w:sz="8" w:color="6022A6"/>
            </w:tcBorders>
          </w:tcPr>
          <w:p>
            <w:pPr>
              <w:spacing w:after="0"/>
              <w:rPr>
                <w:sz w:val="19"/>
                <w:szCs w:val="19"/>
                <w:color w:val="auto"/>
              </w:rPr>
            </w:pPr>
          </w:p>
        </w:tc>
        <w:tc>
          <w:tcPr>
            <w:tcW w:w="1380" w:type="dxa"/>
            <w:vAlign w:val="bottom"/>
            <w:tcBorders>
              <w:bottom w:val="single" w:sz="8" w:color="6022A6"/>
            </w:tcBorders>
            <w:vMerge w:val="continue"/>
          </w:tcPr>
          <w:p>
            <w:pPr>
              <w:spacing w:after="0"/>
              <w:rPr>
                <w:sz w:val="19"/>
                <w:szCs w:val="19"/>
                <w:color w:val="auto"/>
              </w:rPr>
            </w:pP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in fair value hedges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1,753</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1,023</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Condensed Consolidated Statements of Financial Position and in the table above.</w:t>
      </w:r>
    </w:p>
    <w:p>
      <w:pPr>
        <w:spacing w:after="0" w:line="191"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As of September 30, 2024 and December 31, 2023, the potential effect of rights of offset associated with the derivative contracts would be an offset to both assets and liabilities by $85 million and $41 million,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7220" w:type="dxa"/>
            <w:vAlign w:val="bottom"/>
            <w:gridSpan w:val="3"/>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43"/>
        </w:trPr>
        <w:tc>
          <w:tcPr>
            <w:tcW w:w="4080" w:type="dxa"/>
            <w:vAlign w:val="bottom"/>
          </w:tcPr>
          <w:p>
            <w:pPr>
              <w:spacing w:after="0"/>
              <w:rPr>
                <w:sz w:val="21"/>
                <w:szCs w:val="21"/>
                <w:color w:val="auto"/>
              </w:rPr>
            </w:pPr>
          </w:p>
        </w:tc>
        <w:tc>
          <w:tcPr>
            <w:tcW w:w="3560" w:type="dxa"/>
            <w:vAlign w:val="bottom"/>
            <w:gridSpan w:val="4"/>
          </w:tcPr>
          <w:p>
            <w:pPr>
              <w:ind w:left="120"/>
              <w:spacing w:after="0"/>
              <w:rPr>
                <w:sz w:val="20"/>
                <w:szCs w:val="20"/>
                <w:color w:val="auto"/>
              </w:rPr>
            </w:pPr>
            <w:r>
              <w:rPr>
                <w:rFonts w:ascii="Arial" w:cs="Arial" w:eastAsia="Arial" w:hAnsi="Arial"/>
                <w:sz w:val="16"/>
                <w:szCs w:val="16"/>
                <w:b w:val="1"/>
                <w:bCs w:val="1"/>
                <w:color w:val="454545"/>
              </w:rPr>
              <w:t>For the three months ended September 30</w:t>
            </w:r>
          </w:p>
        </w:tc>
        <w:tc>
          <w:tcPr>
            <w:tcW w:w="160" w:type="dxa"/>
            <w:vAlign w:val="bottom"/>
          </w:tcPr>
          <w:p>
            <w:pPr>
              <w:spacing w:after="0"/>
              <w:rPr>
                <w:sz w:val="21"/>
                <w:szCs w:val="21"/>
                <w:color w:val="auto"/>
              </w:rPr>
            </w:pPr>
          </w:p>
        </w:tc>
        <w:tc>
          <w:tcPr>
            <w:tcW w:w="344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080" w:type="dxa"/>
            <w:vAlign w:val="bottom"/>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9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29"/>
        </w:trPr>
        <w:tc>
          <w:tcPr>
            <w:tcW w:w="408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2024</w:t>
            </w:r>
          </w:p>
        </w:tc>
        <w:tc>
          <w:tcPr>
            <w:tcW w:w="1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2024</w:t>
            </w:r>
          </w:p>
        </w:tc>
        <w:tc>
          <w:tcPr>
            <w:tcW w:w="420" w:type="dxa"/>
            <w:vAlign w:val="bottom"/>
          </w:tcPr>
          <w:p>
            <w:pPr>
              <w:spacing w:after="0"/>
              <w:rPr>
                <w:sz w:val="19"/>
                <w:szCs w:val="19"/>
                <w:color w:val="auto"/>
              </w:rPr>
            </w:pPr>
          </w:p>
        </w:tc>
        <w:tc>
          <w:tcPr>
            <w:tcW w:w="138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2023</w:t>
            </w:r>
          </w:p>
        </w:tc>
      </w:tr>
      <w:tr>
        <w:trPr>
          <w:trHeight w:val="21"/>
        </w:trPr>
        <w:tc>
          <w:tcPr>
            <w:tcW w:w="408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r>
      <w:tr>
        <w:trPr>
          <w:trHeight w:val="230"/>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200" w:type="dxa"/>
            <w:vAlign w:val="bottom"/>
            <w:tcBorders>
              <w:bottom w:val="single" w:sz="8" w:color="E4E4E4"/>
            </w:tcBorders>
            <w:shd w:val="clear" w:color="auto" w:fill="E4E4E4"/>
          </w:tcPr>
          <w:p>
            <w:pPr>
              <w:jc w:val="right"/>
              <w:ind w:right="99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E4E4E4"/>
            </w:tcBorders>
            <w:shd w:val="clear" w:color="auto" w:fill="E4E4E4"/>
          </w:tcPr>
          <w:p>
            <w:pPr>
              <w:jc w:val="right"/>
              <w:ind w:right="1199"/>
              <w:spacing w:after="0"/>
              <w:rPr>
                <w:sz w:val="20"/>
                <w:szCs w:val="20"/>
                <w:color w:val="auto"/>
              </w:rPr>
            </w:pPr>
            <w:r>
              <w:rPr>
                <w:rFonts w:ascii="Arial" w:cs="Arial" w:eastAsia="Arial" w:hAnsi="Arial"/>
                <w:sz w:val="16"/>
                <w:szCs w:val="16"/>
                <w:color w:val="auto"/>
              </w:rPr>
              <w:t>(43) $</w:t>
            </w:r>
          </w:p>
        </w:tc>
        <w:tc>
          <w:tcPr>
            <w:tcW w:w="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5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2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339"/>
              <w:spacing w:after="0"/>
              <w:rPr>
                <w:sz w:val="20"/>
                <w:szCs w:val="20"/>
                <w:color w:val="auto"/>
              </w:rPr>
            </w:pPr>
            <w:r>
              <w:rPr>
                <w:rFonts w:ascii="Arial" w:cs="Arial" w:eastAsia="Arial" w:hAnsi="Arial"/>
                <w:sz w:val="16"/>
                <w:szCs w:val="16"/>
                <w:color w:val="auto"/>
              </w:rPr>
              <w:t>(116)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48"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Condensed Consolidated Statements of Income.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0" w:type="dxa"/>
            <w:vAlign w:val="bottom"/>
            <w:gridSpan w:val="6"/>
          </w:tcPr>
          <w:p>
            <w:pPr>
              <w:ind w:left="40"/>
              <w:spacing w:after="0"/>
              <w:rPr>
                <w:sz w:val="20"/>
                <w:szCs w:val="20"/>
                <w:color w:val="auto"/>
              </w:rPr>
            </w:pPr>
            <w:r>
              <w:rPr>
                <w:rFonts w:ascii="Arial" w:cs="Arial" w:eastAsia="Arial" w:hAnsi="Arial"/>
                <w:sz w:val="16"/>
                <w:szCs w:val="16"/>
                <w:b w:val="1"/>
                <w:bCs w:val="1"/>
                <w:color w:val="454545"/>
              </w:rPr>
              <w:t>For the three months ended September 30, 2024</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right"/>
              <w:ind w:right="339"/>
              <w:spacing w:after="0"/>
              <w:rPr>
                <w:sz w:val="20"/>
                <w:szCs w:val="20"/>
                <w:color w:val="auto"/>
              </w:rPr>
            </w:pPr>
            <w:r>
              <w:rPr>
                <w:rFonts w:ascii="Arial" w:cs="Arial" w:eastAsia="Arial" w:hAnsi="Arial"/>
                <w:sz w:val="16"/>
                <w:szCs w:val="16"/>
                <w:b w:val="1"/>
                <w:bCs w:val="1"/>
                <w:color w:val="454545"/>
              </w:rPr>
              <w:t>SG&amp;A</w:t>
            </w:r>
          </w:p>
        </w:tc>
        <w:tc>
          <w:tcPr>
            <w:tcW w:w="1460" w:type="dxa"/>
            <w:vAlign w:val="bottom"/>
            <w:tcBorders>
              <w:bottom w:val="single" w:sz="8" w:color="6022A6"/>
            </w:tcBorders>
            <w:gridSpan w:val="2"/>
          </w:tcPr>
          <w:p>
            <w:pPr>
              <w:jc w:val="center"/>
              <w:ind w:right="17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11</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76</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(84)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22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6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580"/>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gridSpan w:val="6"/>
          </w:tcPr>
          <w:p>
            <w:pPr>
              <w:ind w:left="40"/>
              <w:spacing w:after="0"/>
              <w:rPr>
                <w:sz w:val="20"/>
                <w:szCs w:val="20"/>
                <w:color w:val="auto"/>
              </w:rPr>
            </w:pPr>
            <w:r>
              <w:rPr>
                <w:rFonts w:ascii="Arial" w:cs="Arial" w:eastAsia="Arial" w:hAnsi="Arial"/>
                <w:sz w:val="16"/>
                <w:szCs w:val="16"/>
                <w:b w:val="1"/>
                <w:bCs w:val="1"/>
                <w:color w:val="454545"/>
              </w:rPr>
              <w:t>For the three months ended September 30, 2023</w:t>
            </w: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0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60" w:type="dxa"/>
            <w:vAlign w:val="bottom"/>
            <w:gridSpan w:val="2"/>
          </w:tcPr>
          <w:p>
            <w:pPr>
              <w:jc w:val="center"/>
              <w:ind w:right="17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right"/>
              <w:ind w:right="339"/>
              <w:spacing w:after="0"/>
              <w:rPr>
                <w:sz w:val="20"/>
                <w:szCs w:val="20"/>
                <w:color w:val="auto"/>
              </w:rPr>
            </w:pPr>
            <w:r>
              <w:rPr>
                <w:rFonts w:ascii="Arial" w:cs="Arial" w:eastAsia="Arial" w:hAnsi="Arial"/>
                <w:sz w:val="16"/>
                <w:szCs w:val="16"/>
                <w:b w:val="1"/>
                <w:bCs w:val="1"/>
                <w:color w:val="454545"/>
              </w:rPr>
              <w:t>SG&amp;A</w:t>
            </w:r>
          </w:p>
        </w:tc>
        <w:tc>
          <w:tcPr>
            <w:tcW w:w="1460" w:type="dxa"/>
            <w:vAlign w:val="bottom"/>
            <w:tcBorders>
              <w:bottom w:val="single" w:sz="8" w:color="6022A6"/>
            </w:tcBorders>
            <w:gridSpan w:val="2"/>
          </w:tcPr>
          <w:p>
            <w:pPr>
              <w:jc w:val="center"/>
              <w:ind w:right="17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2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9</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21"/>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26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ind w:left="760"/>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0" w:type="dxa"/>
            <w:vAlign w:val="bottom"/>
            <w:gridSpan w:val="6"/>
          </w:tcPr>
          <w:p>
            <w:pPr>
              <w:jc w:val="center"/>
              <w:ind w:right="159"/>
              <w:spacing w:after="0"/>
              <w:rPr>
                <w:sz w:val="20"/>
                <w:szCs w:val="20"/>
                <w:color w:val="auto"/>
              </w:rPr>
            </w:pPr>
            <w:r>
              <w:rPr>
                <w:rFonts w:ascii="Arial" w:cs="Arial" w:eastAsia="Arial" w:hAnsi="Arial"/>
                <w:sz w:val="16"/>
                <w:szCs w:val="16"/>
                <w:b w:val="1"/>
                <w:bCs w:val="1"/>
                <w:color w:val="454545"/>
              </w:rPr>
              <w:t>For the nine months ended September 30, 2024</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24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8</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32</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(31)</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2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2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r>
      <w:tr>
        <w:trPr>
          <w:trHeight w:val="580"/>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000" w:type="dxa"/>
            <w:vAlign w:val="bottom"/>
            <w:tcBorders>
              <w:top w:val="single" w:sz="8" w:color="auto"/>
            </w:tcBorders>
            <w:gridSpan w:val="6"/>
          </w:tcPr>
          <w:p>
            <w:pPr>
              <w:jc w:val="center"/>
              <w:ind w:right="159"/>
              <w:spacing w:after="0"/>
              <w:rPr>
                <w:sz w:val="20"/>
                <w:szCs w:val="20"/>
                <w:color w:val="auto"/>
              </w:rPr>
            </w:pPr>
            <w:r>
              <w:rPr>
                <w:rFonts w:ascii="Arial" w:cs="Arial" w:eastAsia="Arial" w:hAnsi="Arial"/>
                <w:sz w:val="16"/>
                <w:szCs w:val="16"/>
                <w:b w:val="1"/>
                <w:bCs w:val="1"/>
                <w:color w:val="454545"/>
              </w:rPr>
              <w:t>For the nine months ended September 30, 2023</w:t>
            </w:r>
          </w:p>
        </w:tc>
        <w:tc>
          <w:tcPr>
            <w:tcW w:w="1020" w:type="dxa"/>
            <w:vAlign w:val="bottom"/>
            <w:tcBorders>
              <w:top w:val="single" w:sz="8" w:color="auto"/>
            </w:tcBorders>
          </w:tcPr>
          <w:p>
            <w:pPr>
              <w:spacing w:after="0"/>
              <w:rPr>
                <w:sz w:val="24"/>
                <w:szCs w:val="24"/>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25</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26</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21"/>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r>
      <w:tr>
        <w:trPr>
          <w:trHeight w:val="256"/>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w:t>
            </w: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600" w:hanging="252"/>
        <w:spacing w:after="0" w:line="256"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fair value related to components other than the spot rate are excluded from effectiveness testing for the three and nine months ended September 30, 2024 and 2023.</w:t>
      </w:r>
    </w:p>
    <w:p>
      <w:pPr>
        <w:spacing w:after="0" w:line="1" w:lineRule="exact"/>
        <w:rPr>
          <w:rFonts w:ascii="Arial" w:cs="Arial" w:eastAsia="Arial" w:hAnsi="Arial"/>
          <w:sz w:val="16"/>
          <w:szCs w:val="16"/>
          <w:color w:val="auto"/>
        </w:rPr>
      </w:pPr>
    </w:p>
    <w:p>
      <w:pPr>
        <w:ind w:left="260" w:right="140" w:hanging="252"/>
        <w:spacing w:after="0" w:line="255" w:lineRule="auto"/>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includes $(7) million and $(21) million of interest expense on interest rate derivatives for the three and nine months ended September 30, 2024, respectively.</w:t>
      </w: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derivatives are primarily comprised of embedded derivatives and derivatives related to equity contracts.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Condensed Consolidated Statements of Income.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4"/>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6"/>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As of September 30, 2024</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As of December 31, 2023</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16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231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231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200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26</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31</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168</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257</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269</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35</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44</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51" w:right="339" w:bottom="7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768"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i w:val="1"/>
          <w:iCs w:val="1"/>
          <w:color w:val="auto"/>
        </w:rPr>
        <w:t>Cash equivalents</w:t>
      </w:r>
    </w:p>
    <w:p>
      <w:pPr>
        <w:spacing w:after="0" w:line="19"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As of September 30, 2024 and December 31, 2023, Cash, cash equivalents, and restricted cash of $3,568 million and $2,504 million, respectively, included money market funds of $231 million and $200 million, and other cash equivalents of $2,303 million and $1,023 million, respectively. The carrying values of the other cash equivalents approximates the fair value due to their short maturities and are valued using Level 1 or Level 2 inputs. Refer to Note 16, “Supplemental Financial Information” for further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Contingent consideration is recorded at fair value based on estimates of future cash flows in connection with business acquisitions. As the valuation of these liabilities is based on inputs that are less observable or not observable in the market, the determination of fair value is classified within Level 3 of the fair value hierarchy.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19"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nine months ended September 30, 2024 and 2023.</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1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estimated fair value of borrowings as of September 30, 2024 and December 31, 2023 was $10,937 million and $9,959 million, respectively, compared to a carrying value (which only includes a reduction for unamortized debt issuance costs and discounts and cumulative basis adjustment) of $10,312 million and $9,442 million, respectively. The fair value of our borrowings includes accrued interest and is determined based on observable and quoted prices and spreads of comparable debt and benchmark securities and is considered Level 2 in the fair value hierarchy. See Note 8, “Borrowings” and Note 16, “Supplemental Financial Information” for further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GUARANTEES, PRODUCT WARRANTIES, AND OTHER LOSS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67"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8, “Borrowings” for further information.</w:t>
      </w:r>
    </w:p>
    <w:p>
      <w:pPr>
        <w:spacing w:after="0" w:line="16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Following the Spin-Off, which was completed pursuant to the Separation and Distribution Agreement, the Company had remaining performance guarantees on behalf of GE. Under the Separation and Distribution Agreement, GE was obligated to use reasonable best efforts to replace the Company as the guarantor or terminate all such performance guarantees. Until such termination or replacement, in the event of non-fulfillment of contractual obligations by the relevant obligors, the Company could have been obligated to make payments under the applicable instruments for which GE was obligated to reimburse and indemnify the Company. As of December 31, 2023, the Company’s maximum aggregate exposure, subject to GE reimbursement, was approximately $114 million. In the second quarter of 2024, these remaining performance guarantees were all terminated or replaced.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4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spacing w:after="0"/>
              <w:rPr>
                <w:sz w:val="19"/>
                <w:szCs w:val="19"/>
                <w:color w:val="auto"/>
              </w:rPr>
            </w:pPr>
          </w:p>
        </w:tc>
        <w:tc>
          <w:tcPr>
            <w:tcW w:w="386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38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7380" w:type="dxa"/>
            <w:vAlign w:val="bottom"/>
          </w:tcPr>
          <w:p>
            <w:pPr>
              <w:spacing w:after="0"/>
              <w:rPr>
                <w:sz w:val="19"/>
                <w:szCs w:val="19"/>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2024</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2023</w:t>
            </w:r>
          </w:p>
        </w:tc>
      </w:tr>
      <w:tr>
        <w:trPr>
          <w:trHeight w:val="21"/>
        </w:trPr>
        <w:tc>
          <w:tcPr>
            <w:tcW w:w="738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143</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9"/>
        </w:trPr>
        <w:tc>
          <w:tcPr>
            <w:tcW w:w="7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7"/>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c>
          <w:tcPr>
            <w:tcW w:w="46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(159)</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Other changes</w:t>
            </w:r>
          </w:p>
        </w:tc>
        <w:tc>
          <w:tcPr>
            <w:tcW w:w="1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7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189</w:t>
            </w:r>
          </w:p>
        </w:tc>
      </w:tr>
      <w:tr>
        <w:trPr>
          <w:trHeight w:val="20"/>
        </w:trPr>
        <w:tc>
          <w:tcPr>
            <w:tcW w:w="7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Condensed Consolidated Statements of Financial Position.</w:t>
      </w:r>
    </w:p>
    <w:p>
      <w:pPr>
        <w:sectPr>
          <w:pgSz w:w="11900" w:h="16838" w:orient="portrait"/>
          <w:cols w:equalWidth="0" w:num="1">
            <w:col w:w="11240"/>
          </w:cols>
          <w:pgMar w:left="320" w:top="109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b w:val="1"/>
          <w:bCs w:val="1"/>
          <w:color w:val="auto"/>
        </w:rPr>
        <w:t>LEGAL MATTERS.</w:t>
      </w:r>
    </w:p>
    <w:p>
      <w:pPr>
        <w:spacing w:after="0" w:line="26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matters described below that could have a material impact on our results of operations and cash flows. In many proceedings, including the specific matters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2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June 24, 2024, the Supreme Court vacated the D.C. Circuit’s decision and remanded the case to the D.C. Circuit for further consideration in light of </w:t>
      </w:r>
      <w:r>
        <w:rPr>
          <w:rFonts w:ascii="Arial" w:cs="Arial" w:eastAsia="Arial" w:hAnsi="Arial"/>
          <w:sz w:val="16"/>
          <w:szCs w:val="16"/>
          <w:i w:val="1"/>
          <w:iCs w:val="1"/>
          <w:color w:val="auto"/>
        </w:rPr>
        <w:t>Twitter, Inc. v. Taamneh</w:t>
      </w:r>
      <w:r>
        <w:rPr>
          <w:rFonts w:ascii="Arial" w:cs="Arial" w:eastAsia="Arial" w:hAnsi="Arial"/>
          <w:sz w:val="16"/>
          <w:szCs w:val="16"/>
          <w:color w:val="auto"/>
        </w:rPr>
        <w:t>, a separate case decided by the Supreme Court in May 2023. The proceedings in the District Court are currently inactive.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Government Disclosures</w:t>
      </w:r>
    </w:p>
    <w:p>
      <w:pPr>
        <w:spacing w:after="0" w:line="19"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From time to time, we make self-disclosures regarding our compliance with the Foreign Corrupt Practices Act (“FCPA”) and similar laws to relevant authorities who may pursue or decline to pursue enforcement proceedings against us. We, with the assistance of outside counsel, made voluntary self-disclosures to the U.S. Securities and Exchange Commission (“SEC”) and the U.S. Department of Justice (“DOJ”) beginning in 2018 regarding tender irregularities and other potential violations of the FCPA relating to our activities in certain provinces in China. We have been engaged in ongoing discussions with each of the SEC and the DOJ regarding these matters. We are fully cooperating with the reviews by these agencies and have implemented, and continue to implement, enhancements to our compliance policies and practices. At this time, we are unable to predict the duration, scope, result, or related costs associated with these disclosures to the SEC and the DOJ. We also are unable to predict what, if any, action may be taken by the SEC or the DOJ or what penalties or remedial actions they may seek. Any determination that our operations or activities are not in compliance with existing laws or regulations, including applicable foreign laws, could result in the imposition of fines, penalties, disgorgement, equitable relief, or other losses.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 ACTIVITIES</w:t>
      </w:r>
    </w:p>
    <w:p>
      <w:pPr>
        <w:spacing w:after="0" w:line="243" w:lineRule="exact"/>
        <w:rPr>
          <w:sz w:val="20"/>
          <w:szCs w:val="20"/>
          <w:color w:val="auto"/>
        </w:rPr>
      </w:pPr>
    </w:p>
    <w:p>
      <w:pPr>
        <w:ind w:right="260"/>
        <w:spacing w:after="0" w:line="242"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charges (gains) primarily include facility exit costs, employee-related termination benefits associated with workforce reductions, asset write-downs, and cease-use costs. For segment reporting, restructuring activities are not allocated.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Net expenses for restructuring initiatives committed to by management through September 30, 2024 are included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80" w:type="dxa"/>
            <w:vAlign w:val="bottom"/>
          </w:tcPr>
          <w:p>
            <w:pPr>
              <w:ind w:left="20"/>
              <w:spacing w:after="0"/>
              <w:rPr>
                <w:sz w:val="20"/>
                <w:szCs w:val="20"/>
                <w:color w:val="auto"/>
              </w:rPr>
            </w:pPr>
            <w:r>
              <w:rPr>
                <w:rFonts w:ascii="Arial" w:cs="Arial" w:eastAsia="Arial" w:hAnsi="Arial"/>
                <w:sz w:val="16"/>
                <w:szCs w:val="16"/>
                <w:b w:val="1"/>
                <w:bCs w:val="1"/>
                <w:color w:val="auto"/>
              </w:rPr>
              <w:t>Restructuring Activities</w:t>
            </w:r>
          </w:p>
        </w:tc>
        <w:tc>
          <w:tcPr>
            <w:tcW w:w="140" w:type="dxa"/>
            <w:vAlign w:val="bottom"/>
          </w:tcPr>
          <w:p>
            <w:pPr>
              <w:spacing w:after="0"/>
              <w:rPr>
                <w:sz w:val="19"/>
                <w:szCs w:val="19"/>
                <w:color w:val="auto"/>
              </w:rPr>
            </w:pPr>
          </w:p>
        </w:tc>
        <w:tc>
          <w:tcPr>
            <w:tcW w:w="3480" w:type="dxa"/>
            <w:vAlign w:val="bottom"/>
            <w:gridSpan w:val="4"/>
          </w:tcPr>
          <w:p>
            <w:pPr>
              <w:spacing w:after="0"/>
              <w:rPr>
                <w:sz w:val="20"/>
                <w:szCs w:val="20"/>
                <w:color w:val="auto"/>
              </w:rPr>
            </w:pPr>
            <w:r>
              <w:rPr>
                <w:rFonts w:ascii="Arial" w:cs="Arial" w:eastAsia="Arial" w:hAnsi="Arial"/>
                <w:sz w:val="16"/>
                <w:szCs w:val="16"/>
                <w:b w:val="1"/>
                <w:bCs w:val="1"/>
                <w:color w:val="454545"/>
              </w:rPr>
              <w:t>For the three months ended September 30</w:t>
            </w:r>
          </w:p>
        </w:tc>
        <w:tc>
          <w:tcPr>
            <w:tcW w:w="140" w:type="dxa"/>
            <w:vAlign w:val="bottom"/>
          </w:tcPr>
          <w:p>
            <w:pPr>
              <w:spacing w:after="0"/>
              <w:rPr>
                <w:sz w:val="19"/>
                <w:szCs w:val="19"/>
                <w:color w:val="auto"/>
              </w:rPr>
            </w:pPr>
          </w:p>
        </w:tc>
        <w:tc>
          <w:tcPr>
            <w:tcW w:w="3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r>
      <w:tr>
        <w:trPr>
          <w:trHeight w:val="229"/>
        </w:trPr>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2024</w:t>
            </w:r>
          </w:p>
        </w:tc>
        <w:tc>
          <w:tcPr>
            <w:tcW w:w="44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2024</w:t>
            </w:r>
          </w:p>
        </w:tc>
        <w:tc>
          <w:tcPr>
            <w:tcW w:w="440" w:type="dxa"/>
            <w:vAlign w:val="bottom"/>
          </w:tcPr>
          <w:p>
            <w:pPr>
              <w:spacing w:after="0"/>
              <w:rPr>
                <w:sz w:val="19"/>
                <w:szCs w:val="19"/>
                <w:color w:val="auto"/>
              </w:rPr>
            </w:pPr>
          </w:p>
        </w:tc>
        <w:tc>
          <w:tcPr>
            <w:tcW w:w="136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2023</w:t>
            </w:r>
          </w:p>
        </w:tc>
      </w:tr>
      <w:tr>
        <w:trPr>
          <w:trHeight w:val="21"/>
        </w:trPr>
        <w:tc>
          <w:tcPr>
            <w:tcW w:w="40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r>
      <w:tr>
        <w:trPr>
          <w:trHeight w:val="230"/>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28"/>
        </w:trPr>
        <w:tc>
          <w:tcPr>
            <w:tcW w:w="408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w:t>
            </w: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2"/>
        </w:trPr>
        <w:tc>
          <w:tcPr>
            <w:tcW w:w="40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4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44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activities – net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r>
      <w:tr>
        <w:trPr>
          <w:trHeight w:val="21"/>
        </w:trPr>
        <w:tc>
          <w:tcPr>
            <w:tcW w:w="4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These restructuring initiatives are expected to result in additional expenses of approximately $21 million, to be incurred primarily over the next 12 months, substantially related to employee-related termination benefits and asset write-downs. Restructuring expenses (gains) are recognized within Cost of products, Cost of services, or SG&amp;A, as appropriate, in the Condensed Consolidated Statements of Income.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6" w:name="page27"/>
    <w:bookmarkEnd w:id="26"/>
    <w:p>
      <w:pPr>
        <w:ind w:right="280"/>
        <w:spacing w:after="0" w:line="275" w:lineRule="auto"/>
        <w:rPr>
          <w:sz w:val="20"/>
          <w:szCs w:val="20"/>
          <w:color w:val="auto"/>
        </w:rPr>
      </w:pPr>
      <w:r>
        <w:rPr>
          <w:rFonts w:ascii="Arial" w:cs="Arial" w:eastAsia="Arial" w:hAnsi="Arial"/>
          <w:sz w:val="16"/>
          <w:szCs w:val="16"/>
          <w:color w:val="auto"/>
        </w:rPr>
        <w:t>Liabilities related to restructuring are recognized within Current compensation and benefits, All other current liabilities, Non-current compensation and benefits, and All other non-current liabilities in the Condensed Consolidated Statements of Financial Position and totaled $80 million and $68 million as of September 30, 2024 and December 31, 2023,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5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common stockholders. The denominator of basic EPS is the weighted-average number of shares outstanding during the period. The dilutive effect of outstanding stock options, restricted stock units, and performance share units is reflected in the denominator for diluted EPS using the treasury stock method.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6"/>
                <w:szCs w:val="16"/>
                <w:color w:val="auto"/>
              </w:rPr>
            </w:pPr>
          </w:p>
        </w:tc>
        <w:tc>
          <w:tcPr>
            <w:tcW w:w="250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236"/>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00" w:type="dxa"/>
            <w:vAlign w:val="bottom"/>
          </w:tcPr>
          <w:p>
            <w:pPr>
              <w:spacing w:after="0"/>
              <w:rPr>
                <w:sz w:val="20"/>
                <w:szCs w:val="20"/>
                <w:color w:val="auto"/>
              </w:rPr>
            </w:pPr>
          </w:p>
        </w:tc>
        <w:tc>
          <w:tcPr>
            <w:tcW w:w="25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454545"/>
              </w:rPr>
              <w:t>September 30</w:t>
            </w:r>
          </w:p>
        </w:tc>
        <w:tc>
          <w:tcPr>
            <w:tcW w:w="200" w:type="dxa"/>
            <w:vAlign w:val="bottom"/>
          </w:tcPr>
          <w:p>
            <w:pPr>
              <w:spacing w:after="0"/>
              <w:rPr>
                <w:sz w:val="20"/>
                <w:szCs w:val="20"/>
                <w:color w:val="auto"/>
              </w:rPr>
            </w:pPr>
          </w:p>
        </w:tc>
        <w:tc>
          <w:tcPr>
            <w:tcW w:w="250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454545"/>
              </w:rPr>
              <w:t>September 30</w:t>
            </w:r>
          </w:p>
        </w:tc>
        <w:tc>
          <w:tcPr>
            <w:tcW w:w="0" w:type="dxa"/>
            <w:vAlign w:val="bottom"/>
          </w:tcPr>
          <w:p>
            <w:pPr>
              <w:spacing w:after="0"/>
              <w:rPr>
                <w:sz w:val="1"/>
                <w:szCs w:val="1"/>
                <w:color w:val="auto"/>
              </w:rPr>
            </w:pPr>
          </w:p>
        </w:tc>
      </w:tr>
      <w:tr>
        <w:trPr>
          <w:trHeight w:val="21"/>
        </w:trPr>
        <w:tc>
          <w:tcPr>
            <w:tcW w:w="578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0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7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2024</w:t>
            </w:r>
          </w:p>
        </w:tc>
        <w:tc>
          <w:tcPr>
            <w:tcW w:w="300" w:type="dxa"/>
            <w:vAlign w:val="bottom"/>
          </w:tcPr>
          <w:p>
            <w:pPr>
              <w:spacing w:after="0"/>
              <w:rPr>
                <w:sz w:val="19"/>
                <w:szCs w:val="19"/>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2024</w:t>
            </w:r>
          </w:p>
        </w:tc>
        <w:tc>
          <w:tcPr>
            <w:tcW w:w="320" w:type="dxa"/>
            <w:vAlign w:val="bottom"/>
          </w:tcPr>
          <w:p>
            <w:pPr>
              <w:spacing w:after="0"/>
              <w:rPr>
                <w:sz w:val="19"/>
                <w:szCs w:val="19"/>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1"/>
        </w:trPr>
        <w:tc>
          <w:tcPr>
            <w:tcW w:w="57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490</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386</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1,312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3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1"/>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1,169</w:t>
            </w: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9"/>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 common</w:t>
            </w: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780" w:type="dxa"/>
            <w:vAlign w:val="bottom"/>
          </w:tcPr>
          <w:p>
            <w:pPr>
              <w:ind w:left="20"/>
              <w:spacing w:after="0"/>
              <w:rPr>
                <w:sz w:val="20"/>
                <w:szCs w:val="20"/>
                <w:color w:val="auto"/>
              </w:rPr>
            </w:pPr>
            <w:r>
              <w:rPr>
                <w:rFonts w:ascii="Arial" w:cs="Arial" w:eastAsia="Arial" w:hAnsi="Arial"/>
                <w:sz w:val="16"/>
                <w:szCs w:val="16"/>
                <w:color w:val="auto"/>
              </w:rPr>
              <w:t>stockholders</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470</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 common stockholders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9"/>
        </w:trPr>
        <w:tc>
          <w:tcPr>
            <w:tcW w:w="5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457</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9"/>
        </w:trPr>
        <w:tc>
          <w:tcPr>
            <w:tcW w:w="57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Basic Earnings Per Share:</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0.83</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8"/>
        </w:trPr>
        <w:tc>
          <w:tcPr>
            <w:tcW w:w="578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2.79</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Diluted Earnings Per Share:</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780" w:type="dxa"/>
            <w:vAlign w:val="bottom"/>
          </w:tcPr>
          <w:p>
            <w:pPr>
              <w:ind w:left="200"/>
              <w:spacing w:after="0"/>
              <w:rPr>
                <w:sz w:val="20"/>
                <w:szCs w:val="20"/>
                <w:color w:val="auto"/>
              </w:rPr>
            </w:pPr>
            <w:r>
              <w:rPr>
                <w:rFonts w:ascii="Arial" w:cs="Arial" w:eastAsia="Arial" w:hAnsi="Arial"/>
                <w:sz w:val="16"/>
                <w:szCs w:val="16"/>
                <w:color w:val="auto"/>
              </w:rPr>
              <w:t>Continuing operations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0.83</w:t>
            </w:r>
          </w:p>
        </w:tc>
        <w:tc>
          <w:tcPr>
            <w:tcW w:w="8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8"/>
        </w:trPr>
        <w:tc>
          <w:tcPr>
            <w:tcW w:w="578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2.77</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9"/>
        </w:trPr>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2"/>
                <w:szCs w:val="22"/>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auto"/>
            </w:tcBorders>
            <w:shd w:val="clear" w:color="auto" w:fill="E4E4E4"/>
          </w:tcPr>
          <w:p>
            <w:pPr>
              <w:spacing w:after="0"/>
              <w:rPr>
                <w:sz w:val="22"/>
                <w:szCs w:val="22"/>
                <w:color w:val="auto"/>
              </w:rPr>
            </w:pPr>
          </w:p>
        </w:tc>
        <w:tc>
          <w:tcPr>
            <w:tcW w:w="200" w:type="dxa"/>
            <w:vAlign w:val="bottom"/>
            <w:tcBorders>
              <w:bottom w:val="single" w:sz="8" w:color="auto"/>
            </w:tcBorders>
            <w:shd w:val="clear" w:color="auto" w:fill="E4E4E4"/>
          </w:tcPr>
          <w:p>
            <w:pPr>
              <w:spacing w:after="0"/>
              <w:rPr>
                <w:sz w:val="22"/>
                <w:szCs w:val="22"/>
                <w:color w:val="auto"/>
              </w:rPr>
            </w:pP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SUPPLEMENTAL FINANCIAL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w:t>
            </w:r>
          </w:p>
        </w:tc>
        <w:tc>
          <w:tcPr>
            <w:tcW w:w="16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80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2024</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5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6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3,550</w:t>
            </w:r>
          </w:p>
        </w:tc>
        <w:tc>
          <w:tcPr>
            <w:tcW w:w="2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2,494</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18</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7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60" w:type="dxa"/>
            <w:vAlign w:val="bottom"/>
            <w:shd w:val="clear" w:color="auto" w:fill="E4E4E4"/>
          </w:tcPr>
          <w:p>
            <w:pPr>
              <w:spacing w:after="0"/>
              <w:rPr>
                <w:sz w:val="18"/>
                <w:szCs w:val="18"/>
                <w:color w:val="auto"/>
              </w:rPr>
            </w:pPr>
          </w:p>
        </w:tc>
        <w:tc>
          <w:tcPr>
            <w:tcW w:w="18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49"/>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160" w:type="dxa"/>
            <w:vAlign w:val="bottom"/>
            <w:tcBorders>
              <w:bottom w:val="single" w:sz="8" w:color="E4E4E4"/>
            </w:tcBorders>
            <w:shd w:val="clear" w:color="auto" w:fill="E4E4E4"/>
          </w:tcPr>
          <w:p>
            <w:pPr>
              <w:spacing w:after="0"/>
              <w:rPr>
                <w:sz w:val="21"/>
                <w:szCs w:val="21"/>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3,568</w:t>
            </w:r>
          </w:p>
        </w:tc>
        <w:tc>
          <w:tcPr>
            <w:tcW w:w="220" w:type="dxa"/>
            <w:vAlign w:val="bottom"/>
            <w:tcBorders>
              <w:bottom w:val="single" w:sz="8" w:color="E4E4E4"/>
            </w:tcBorders>
            <w:shd w:val="clear" w:color="auto" w:fill="E4E4E4"/>
          </w:tcPr>
          <w:p>
            <w:pPr>
              <w:spacing w:after="0"/>
              <w:rPr>
                <w:sz w:val="21"/>
                <w:szCs w:val="21"/>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2,504</w:t>
            </w:r>
          </w:p>
        </w:tc>
      </w:tr>
      <w:tr>
        <w:trPr>
          <w:trHeight w:val="250"/>
        </w:trPr>
        <w:tc>
          <w:tcPr>
            <w:tcW w:w="7320" w:type="dxa"/>
            <w:vAlign w:val="bottom"/>
            <w:tcBorders>
              <w:top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(2)</w:t>
            </w:r>
          </w:p>
        </w:tc>
        <w:tc>
          <w:tcPr>
            <w:tcW w:w="16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Condensed</w:t>
            </w:r>
          </w:p>
        </w:tc>
        <w:tc>
          <w:tcPr>
            <w:tcW w:w="160" w:type="dxa"/>
            <w:vAlign w:val="bottom"/>
            <w:shd w:val="clear" w:color="auto" w:fill="E4E4E4"/>
          </w:tcPr>
          <w:p>
            <w:pPr>
              <w:spacing w:after="0"/>
              <w:rPr>
                <w:sz w:val="18"/>
                <w:szCs w:val="18"/>
                <w:color w:val="auto"/>
              </w:rPr>
            </w:pPr>
          </w:p>
        </w:tc>
        <w:tc>
          <w:tcPr>
            <w:tcW w:w="180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3,572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2,506</w:t>
            </w:r>
          </w:p>
        </w:tc>
      </w:tr>
      <w:tr>
        <w:trPr>
          <w:trHeight w:val="20"/>
        </w:trPr>
        <w:tc>
          <w:tcPr>
            <w:tcW w:w="7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480" w:hanging="252"/>
        <w:spacing w:after="0" w:line="263" w:lineRule="auto"/>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increase in cash and cash equivalents was primarily due to proceeds from the issuance of senior unsecured notes by the Company in the third quarter of 2024. Refer to Note 8, “Borrowings” for further information.</w:t>
      </w:r>
    </w:p>
    <w:p>
      <w:pPr>
        <w:ind w:left="260" w:hanging="252"/>
        <w:spacing w:after="0"/>
        <w:tabs>
          <w:tab w:leader="none" w:pos="2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Long-term restricted cash is recognized within All other non-current assets in the Condensed Consolidated Statements of Financial Position.</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Inventories</w:t>
            </w:r>
          </w:p>
        </w:tc>
        <w:tc>
          <w:tcPr>
            <w:tcW w:w="16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60" w:type="dxa"/>
            <w:vAlign w:val="bottom"/>
            <w:tcBorders>
              <w:bottom w:val="single" w:sz="8" w:color="6022A6"/>
            </w:tcBorders>
          </w:tcPr>
          <w:p>
            <w:pPr>
              <w:spacing w:after="0"/>
              <w:rPr>
                <w:sz w:val="19"/>
                <w:szCs w:val="19"/>
                <w:color w:val="auto"/>
              </w:rPr>
            </w:pPr>
          </w:p>
        </w:tc>
        <w:tc>
          <w:tcPr>
            <w:tcW w:w="180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September 30, 2024</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961</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9"/>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1,032</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r>
      <w:tr>
        <w:trPr>
          <w:trHeight w:val="250"/>
        </w:trPr>
        <w:tc>
          <w:tcPr>
            <w:tcW w:w="7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r>
              <w:rPr>
                <w:rFonts w:ascii="Arial" w:cs="Arial" w:eastAsia="Arial" w:hAnsi="Arial"/>
                <w:sz w:val="21"/>
                <w:szCs w:val="21"/>
                <w:b w:val="1"/>
                <w:bCs w:val="1"/>
                <w:color w:val="auto"/>
                <w:vertAlign w:val="superscript"/>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2,124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1,960</w:t>
            </w:r>
          </w:p>
        </w:tc>
      </w:tr>
    </w:tbl>
    <w:p>
      <w:pPr>
        <w:spacing w:after="0" w:line="80" w:lineRule="exact"/>
        <w:rPr>
          <w:sz w:val="20"/>
          <w:szCs w:val="20"/>
          <w:color w:val="auto"/>
        </w:rPr>
      </w:pPr>
    </w:p>
    <w:p>
      <w:pPr>
        <w:ind w:left="260" w:right="220" w:hanging="252"/>
        <w:spacing w:after="0" w:line="286" w:lineRule="auto"/>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inventory items are long-term in nature and therefore have been recognized within All other non-current assets in the Condensed Consolidated Statements of Financial Position.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19"/>
                <w:szCs w:val="19"/>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159"/>
              <w:spacing w:after="0"/>
              <w:rPr>
                <w:sz w:val="20"/>
                <w:szCs w:val="20"/>
                <w:color w:val="auto"/>
              </w:rPr>
            </w:pPr>
            <w:r>
              <w:rPr>
                <w:rFonts w:ascii="Arial" w:cs="Arial" w:eastAsia="Arial" w:hAnsi="Arial"/>
                <w:sz w:val="16"/>
                <w:szCs w:val="16"/>
                <w:b w:val="1"/>
                <w:bCs w:val="1"/>
                <w:color w:val="454545"/>
              </w:rPr>
              <w:t>September 30, 2024</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1"/>
        </w:trPr>
        <w:tc>
          <w:tcPr>
            <w:tcW w:w="732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720" w:type="dxa"/>
            <w:vAlign w:val="bottom"/>
            <w:tcBorders>
              <w:bottom w:val="single" w:sz="8" w:color="6022A6"/>
            </w:tcBorders>
          </w:tcPr>
          <w:p>
            <w:pPr>
              <w:spacing w:after="0" w:line="20" w:lineRule="exact"/>
              <w:rPr>
                <w:sz w:val="1"/>
                <w:szCs w:val="1"/>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Original cost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5,356</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5,208</w:t>
            </w:r>
          </w:p>
        </w:tc>
      </w:tr>
      <w:tr>
        <w:trPr>
          <w:trHeight w:val="227"/>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(3,176)</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(3,064)</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 net of amortization</w:t>
            </w:r>
          </w:p>
        </w:tc>
        <w:tc>
          <w:tcPr>
            <w:tcW w:w="18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359</w:t>
            </w:r>
          </w:p>
        </w:tc>
        <w:tc>
          <w:tcPr>
            <w:tcW w:w="22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356</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2,539</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2,500</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580"/>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Assets</w:t>
            </w:r>
          </w:p>
        </w:tc>
        <w:tc>
          <w:tcPr>
            <w:tcW w:w="180" w:type="dxa"/>
            <w:vAlign w:val="bottom"/>
          </w:tcPr>
          <w:p>
            <w:pPr>
              <w:spacing w:after="0"/>
              <w:rPr>
                <w:sz w:val="24"/>
                <w:szCs w:val="24"/>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4"/>
                <w:szCs w:val="24"/>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18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39"/>
              <w:spacing w:after="0"/>
              <w:rPr>
                <w:sz w:val="20"/>
                <w:szCs w:val="20"/>
                <w:color w:val="auto"/>
              </w:rPr>
            </w:pPr>
            <w:r>
              <w:rPr>
                <w:rFonts w:ascii="Arial" w:cs="Arial" w:eastAsia="Arial" w:hAnsi="Arial"/>
                <w:sz w:val="16"/>
                <w:szCs w:val="16"/>
                <w:b w:val="1"/>
                <w:bCs w:val="1"/>
                <w:color w:val="454545"/>
              </w:rPr>
              <w:t>September 30, 2024</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197</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94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84</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r>
      <w:tr>
        <w:trPr>
          <w:trHeight w:val="241"/>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389</w:t>
            </w:r>
          </w:p>
        </w:tc>
      </w:tr>
      <w:tr>
        <w:trPr>
          <w:trHeight w:val="208"/>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Prepaid pension asset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Equity method and other investments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361</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178</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receivables – net</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151</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189</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1,881</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Current Other primarily consists of tax receivables.</w:t>
      </w:r>
    </w:p>
    <w:p>
      <w:pPr>
        <w:spacing w:after="0" w:line="21" w:lineRule="exact"/>
        <w:rPr>
          <w:rFonts w:ascii="Arial" w:cs="Arial" w:eastAsia="Arial" w:hAnsi="Arial"/>
          <w:sz w:val="16"/>
          <w:szCs w:val="16"/>
          <w:color w:val="auto"/>
        </w:rPr>
      </w:pPr>
    </w:p>
    <w:p>
      <w:pPr>
        <w:ind w:left="260" w:right="560" w:hanging="252"/>
        <w:spacing w:after="0" w:line="283" w:lineRule="auto"/>
        <w:tabs>
          <w:tab w:leader="none" w:pos="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Non-current Other primarily consists of derivative instruments, indemnity assets associated with separation agreements with GE, capitalized costs associated with cloud computing arrangements, and tax receivables.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and Non-Current Liabilities</w:t>
            </w:r>
          </w:p>
        </w:tc>
        <w:tc>
          <w:tcPr>
            <w:tcW w:w="18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18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39"/>
              <w:spacing w:after="0"/>
              <w:rPr>
                <w:sz w:val="20"/>
                <w:szCs w:val="20"/>
                <w:color w:val="auto"/>
              </w:rPr>
            </w:pPr>
            <w:r>
              <w:rPr>
                <w:rFonts w:ascii="Arial" w:cs="Arial" w:eastAsia="Arial" w:hAnsi="Arial"/>
                <w:sz w:val="16"/>
                <w:szCs w:val="16"/>
                <w:b w:val="1"/>
                <w:bCs w:val="1"/>
                <w:color w:val="454545"/>
              </w:rPr>
              <w:t>September 30, 2024</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2023</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260</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 warranties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Accrued freight and utilities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127</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84</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payable on borrowings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164</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E4E4E4"/>
          </w:tcPr>
          <w:p>
            <w:pPr>
              <w:spacing w:after="0"/>
              <w:rPr>
                <w:sz w:val="21"/>
                <w:szCs w:val="21"/>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356</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335</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1,409</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1,493</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704</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263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205</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208</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Derivative instruments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w:t>
            </w: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1,877</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860" w:hanging="252"/>
        <w:spacing w:after="0" w:line="256"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12, “Financial Instruments and Fair Value Measurements”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Current Other primarily consists of miscellaneous accrued costs, contingent consideration liabilities, and dividends payable to stockholders.</w:t>
      </w:r>
    </w:p>
    <w:p>
      <w:pPr>
        <w:spacing w:after="0" w:line="14" w:lineRule="exact"/>
        <w:rPr>
          <w:rFonts w:ascii="Arial" w:cs="Arial" w:eastAsia="Arial" w:hAnsi="Arial"/>
          <w:sz w:val="16"/>
          <w:szCs w:val="16"/>
          <w:color w:val="auto"/>
        </w:rPr>
      </w:pPr>
    </w:p>
    <w:p>
      <w:pPr>
        <w:ind w:left="260" w:right="40" w:hanging="252"/>
        <w:spacing w:after="0" w:line="270" w:lineRule="auto"/>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Non-current Other primarily consists of miscellaneous accrued costs, indemnity liabilities associated with separation agreements with GE, and contingent consideration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as borrowings. In connection with the supply chain finance programs, payment terms normally range from 30 to 180 days, depending on the underlying supplier agreements.</w:t>
      </w:r>
    </w:p>
    <w:p>
      <w:pPr>
        <w:spacing w:after="0" w:line="203"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Included within Accounts payable in the Condensed Consolidated Statements of Financial Position as of September 30, 2024 and December 31, 2023 were $403 million and $365 million, respectively, of confirmed supplier invoices that are outstanding and subject to third-party programs.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Condensed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activity attributable to redeemable noncontrolling interests for the nine months ended September 30, 2024 and 2023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3"/>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240" w:type="dxa"/>
            <w:vAlign w:val="bottom"/>
          </w:tcPr>
          <w:p>
            <w:pPr>
              <w:spacing w:after="0"/>
              <w:rPr>
                <w:sz w:val="19"/>
                <w:szCs w:val="19"/>
                <w:color w:val="auto"/>
              </w:rPr>
            </w:pPr>
          </w:p>
        </w:tc>
        <w:tc>
          <w:tcPr>
            <w:tcW w:w="3680" w:type="dxa"/>
            <w:vAlign w:val="bottom"/>
            <w:gridSpan w:val="3"/>
          </w:tcPr>
          <w:p>
            <w:pPr>
              <w:jc w:val="right"/>
              <w:ind w:right="27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240" w:type="dxa"/>
            <w:vAlign w:val="bottom"/>
            <w:tcBorders>
              <w:bottom w:val="single" w:sz="8" w:color="6022A6"/>
            </w:tcBorders>
          </w:tcPr>
          <w:p>
            <w:pPr>
              <w:spacing w:after="0"/>
              <w:rPr>
                <w:sz w:val="19"/>
                <w:szCs w:val="19"/>
                <w:color w:val="auto"/>
              </w:rPr>
            </w:pPr>
          </w:p>
        </w:tc>
        <w:tc>
          <w:tcPr>
            <w:tcW w:w="1760" w:type="dxa"/>
            <w:vAlign w:val="bottom"/>
            <w:tcBorders>
              <w:bottom w:val="single" w:sz="8" w:color="6022A6"/>
            </w:tcBorders>
          </w:tcPr>
          <w:p>
            <w:pPr>
              <w:jc w:val="right"/>
              <w:ind w:right="739"/>
              <w:spacing w:after="0"/>
              <w:rPr>
                <w:sz w:val="20"/>
                <w:szCs w:val="20"/>
                <w:color w:val="auto"/>
              </w:rPr>
            </w:pPr>
            <w:r>
              <w:rPr>
                <w:rFonts w:ascii="Arial" w:cs="Arial" w:eastAsia="Arial" w:hAnsi="Arial"/>
                <w:sz w:val="16"/>
                <w:szCs w:val="16"/>
                <w:b w:val="1"/>
                <w:bCs w:val="1"/>
                <w:color w:val="454545"/>
              </w:rPr>
              <w:t>2024</w:t>
            </w:r>
          </w:p>
        </w:tc>
        <w:tc>
          <w:tcPr>
            <w:tcW w:w="440" w:type="dxa"/>
            <w:vAlign w:val="bottom"/>
            <w:tcBorders>
              <w:bottom w:val="single" w:sz="8" w:color="6022A6"/>
            </w:tcBorders>
          </w:tcPr>
          <w:p>
            <w:pPr>
              <w:spacing w:after="0"/>
              <w:rPr>
                <w:sz w:val="19"/>
                <w:szCs w:val="19"/>
                <w:color w:val="auto"/>
              </w:rPr>
            </w:pPr>
          </w:p>
        </w:tc>
        <w:tc>
          <w:tcPr>
            <w:tcW w:w="1480" w:type="dxa"/>
            <w:vAlign w:val="bottom"/>
            <w:tcBorders>
              <w:bottom w:val="single" w:sz="8" w:color="6022A6"/>
            </w:tcBorders>
          </w:tcPr>
          <w:p>
            <w:pPr>
              <w:jc w:val="right"/>
              <w:ind w:right="699"/>
              <w:spacing w:after="0"/>
              <w:rPr>
                <w:sz w:val="20"/>
                <w:szCs w:val="20"/>
                <w:color w:val="auto"/>
              </w:rPr>
            </w:pPr>
            <w:r>
              <w:rPr>
                <w:rFonts w:ascii="Arial" w:cs="Arial" w:eastAsia="Arial" w:hAnsi="Arial"/>
                <w:sz w:val="16"/>
                <w:szCs w:val="16"/>
                <w:b w:val="1"/>
                <w:bCs w:val="1"/>
                <w:color w:val="454545"/>
              </w:rPr>
              <w:t>2023</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9"/>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Redemption value adjustments</w:t>
            </w:r>
            <w:r>
              <w:rPr>
                <w:rFonts w:ascii="Arial" w:cs="Arial" w:eastAsia="Arial" w:hAnsi="Arial"/>
                <w:sz w:val="21"/>
                <w:szCs w:val="21"/>
                <w:color w:val="auto"/>
                <w:vertAlign w:val="superscript"/>
              </w:rPr>
              <w:t>(1)</w:t>
            </w:r>
          </w:p>
        </w:tc>
        <w:tc>
          <w:tcPr>
            <w:tcW w:w="240" w:type="dxa"/>
            <w:vAlign w:val="bottom"/>
            <w:shd w:val="clear" w:color="auto" w:fill="E4E4E4"/>
          </w:tcPr>
          <w:p>
            <w:pPr>
              <w:spacing w:after="0"/>
              <w:rPr>
                <w:sz w:val="22"/>
                <w:szCs w:val="22"/>
                <w:color w:val="auto"/>
              </w:rPr>
            </w:pPr>
          </w:p>
        </w:tc>
        <w:tc>
          <w:tcPr>
            <w:tcW w:w="1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E4E4E4"/>
          </w:tcPr>
          <w:p>
            <w:pPr>
              <w:spacing w:after="0"/>
              <w:rPr>
                <w:sz w:val="22"/>
                <w:szCs w:val="22"/>
                <w:color w:val="auto"/>
              </w:rPr>
            </w:pPr>
          </w:p>
        </w:tc>
        <w:tc>
          <w:tcPr>
            <w:tcW w:w="14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183</w:t>
            </w:r>
          </w:p>
        </w:tc>
      </w:tr>
      <w:tr>
        <w:trPr>
          <w:trHeight w:val="256"/>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and exercise of redeemable noncontrolling interests and other</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177</w:t>
            </w:r>
          </w:p>
        </w:tc>
        <w:tc>
          <w:tcPr>
            <w:tcW w:w="44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w:t>
            </w:r>
          </w:p>
        </w:tc>
      </w:tr>
      <w:tr>
        <w:trPr>
          <w:trHeight w:val="20"/>
        </w:trPr>
        <w:tc>
          <w:tcPr>
            <w:tcW w:w="7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280" w:hanging="252"/>
        <w:spacing w:after="0" w:line="256"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As of January 3, 2023, certain redeemable noncontrolling interests were probable of becoming redeemable due to the change of control that occurred upon consummation of the Spin-Off. As a result, these redeemable noncontrolling interests were remeasured to their current redemption value. The remeasurement was accounted for as a deemed preferred stock dividend of redeemable noncontrolling interest and recorded as an adjustment to Retained earnings in the Condensed Consolidated Statements of Financial Position.</w:t>
      </w:r>
    </w:p>
    <w:p>
      <w:pPr>
        <w:ind w:left="260" w:right="420" w:hanging="252"/>
        <w:spacing w:after="0" w:line="283" w:lineRule="auto"/>
        <w:tabs>
          <w:tab w:leader="none" w:pos="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first quarter of 2023, the redeemable noncontrolling interest holder exercised its option redemption provision. The redemption amount of $211 million was paid in the second quarter of 2023.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Income (Expense) – Net</w:t>
            </w:r>
          </w:p>
        </w:tc>
        <w:tc>
          <w:tcPr>
            <w:tcW w:w="3440" w:type="dxa"/>
            <w:vAlign w:val="bottom"/>
            <w:gridSpan w:val="5"/>
          </w:tcPr>
          <w:p>
            <w:pPr>
              <w:ind w:left="220"/>
              <w:spacing w:after="0"/>
              <w:rPr>
                <w:sz w:val="20"/>
                <w:szCs w:val="20"/>
                <w:color w:val="auto"/>
              </w:rPr>
            </w:pPr>
            <w:r>
              <w:rPr>
                <w:rFonts w:ascii="Arial" w:cs="Arial" w:eastAsia="Arial" w:hAnsi="Arial"/>
                <w:sz w:val="16"/>
                <w:szCs w:val="16"/>
                <w:b w:val="1"/>
                <w:bCs w:val="1"/>
                <w:color w:val="454545"/>
              </w:rPr>
              <w:t>For the three months ended September</w:t>
            </w:r>
          </w:p>
        </w:tc>
        <w:tc>
          <w:tcPr>
            <w:tcW w:w="120" w:type="dxa"/>
            <w:vAlign w:val="bottom"/>
          </w:tcPr>
          <w:p>
            <w:pPr>
              <w:spacing w:after="0"/>
              <w:rPr>
                <w:sz w:val="16"/>
                <w:szCs w:val="16"/>
                <w:color w:val="auto"/>
              </w:rPr>
            </w:pPr>
          </w:p>
        </w:tc>
        <w:tc>
          <w:tcPr>
            <w:tcW w:w="3240" w:type="dxa"/>
            <w:vAlign w:val="bottom"/>
            <w:gridSpan w:val="3"/>
          </w:tcPr>
          <w:p>
            <w:pPr>
              <w:jc w:val="center"/>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23"/>
        </w:trPr>
        <w:tc>
          <w:tcPr>
            <w:tcW w:w="444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454545"/>
              </w:rPr>
              <w:t>30</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54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440" w:type="dxa"/>
            <w:vAlign w:val="bottom"/>
            <w:tcBorders>
              <w:bottom w:val="single" w:sz="8" w:color="6022A6"/>
            </w:tcBorders>
          </w:tcPr>
          <w:p>
            <w:pPr>
              <w:spacing w:after="0"/>
              <w:rPr>
                <w:sz w:val="19"/>
                <w:szCs w:val="19"/>
                <w:color w:val="auto"/>
              </w:rPr>
            </w:pPr>
          </w:p>
        </w:tc>
        <w:tc>
          <w:tcPr>
            <w:tcW w:w="124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2024</w:t>
            </w:r>
          </w:p>
        </w:tc>
        <w:tc>
          <w:tcPr>
            <w:tcW w:w="440" w:type="dxa"/>
            <w:vAlign w:val="bottom"/>
            <w:tcBorders>
              <w:bottom w:val="single" w:sz="8" w:color="6022A6"/>
            </w:tcBorders>
          </w:tcPr>
          <w:p>
            <w:pPr>
              <w:spacing w:after="0"/>
              <w:rPr>
                <w:sz w:val="19"/>
                <w:szCs w:val="19"/>
                <w:color w:val="auto"/>
              </w:rPr>
            </w:pPr>
          </w:p>
        </w:tc>
        <w:tc>
          <w:tcPr>
            <w:tcW w:w="380" w:type="dxa"/>
            <w:vAlign w:val="bottom"/>
            <w:tcBorders>
              <w:bottom w:val="single" w:sz="8" w:color="6022A6"/>
            </w:tcBorders>
          </w:tcPr>
          <w:p>
            <w:pPr>
              <w:spacing w:after="0"/>
              <w:rPr>
                <w:sz w:val="19"/>
                <w:szCs w:val="19"/>
                <w:color w:val="auto"/>
              </w:rPr>
            </w:pPr>
          </w:p>
        </w:tc>
        <w:tc>
          <w:tcPr>
            <w:tcW w:w="130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80" w:type="dxa"/>
            <w:vAlign w:val="bottom"/>
            <w:tcBorders>
              <w:bottom w:val="single" w:sz="8" w:color="6022A6"/>
            </w:tcBorders>
          </w:tcPr>
          <w:p>
            <w:pPr>
              <w:spacing w:after="0"/>
              <w:rPr>
                <w:sz w:val="19"/>
                <w:szCs w:val="19"/>
                <w:color w:val="auto"/>
              </w:rPr>
            </w:pPr>
          </w:p>
        </w:tc>
        <w:tc>
          <w:tcPr>
            <w:tcW w:w="120" w:type="dxa"/>
            <w:vAlign w:val="bottom"/>
            <w:tcBorders>
              <w:bottom w:val="single" w:sz="8" w:color="6022A6"/>
            </w:tcBorders>
          </w:tcPr>
          <w:p>
            <w:pPr>
              <w:spacing w:after="0"/>
              <w:rPr>
                <w:sz w:val="19"/>
                <w:szCs w:val="19"/>
                <w:color w:val="auto"/>
              </w:rPr>
            </w:pPr>
          </w:p>
        </w:tc>
        <w:tc>
          <w:tcPr>
            <w:tcW w:w="1540" w:type="dxa"/>
            <w:vAlign w:val="bottom"/>
            <w:tcBorders>
              <w:bottom w:val="single" w:sz="8" w:color="6022A6"/>
            </w:tcBorders>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400" w:type="dxa"/>
            <w:vAlign w:val="bottom"/>
            <w:tcBorders>
              <w:bottom w:val="single" w:sz="8" w:color="6022A6"/>
            </w:tcBorders>
          </w:tcPr>
          <w:p>
            <w:pPr>
              <w:spacing w:after="0"/>
              <w:rPr>
                <w:sz w:val="19"/>
                <w:szCs w:val="19"/>
                <w:color w:val="auto"/>
              </w:rPr>
            </w:pPr>
          </w:p>
        </w:tc>
        <w:tc>
          <w:tcPr>
            <w:tcW w:w="1300" w:type="dxa"/>
            <w:vAlign w:val="bottom"/>
            <w:tcBorders>
              <w:bottom w:val="single" w:sz="8" w:color="6022A6"/>
            </w:tcBorders>
          </w:tcPr>
          <w:p>
            <w:pPr>
              <w:jc w:val="right"/>
              <w:ind w:right="57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1240" w:type="dxa"/>
            <w:vAlign w:val="bottom"/>
            <w:tcBorders>
              <w:bottom w:val="single" w:sz="8" w:color="E4E4E4"/>
            </w:tcBorders>
            <w:shd w:val="clear" w:color="auto" w:fill="E4E4E4"/>
          </w:tcPr>
          <w:p>
            <w:pPr>
              <w:jc w:val="right"/>
              <w:ind w:right="10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400" w:type="dxa"/>
            <w:vAlign w:val="bottom"/>
            <w:tcBorders>
              <w:bottom w:val="single" w:sz="8" w:color="E4E4E4"/>
            </w:tcBorders>
            <w:shd w:val="clear" w:color="auto" w:fill="E4E4E4"/>
          </w:tcPr>
          <w:p>
            <w:pPr>
              <w:jc w:val="center"/>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1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38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8"/>
        </w:trPr>
        <w:tc>
          <w:tcPr>
            <w:tcW w:w="4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124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38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3"/>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(1)</w:t>
            </w:r>
          </w:p>
        </w:tc>
        <w:tc>
          <w:tcPr>
            <w:tcW w:w="12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240" w:type="dxa"/>
            <w:vAlign w:val="bottom"/>
            <w:tcBorders>
              <w:bottom w:val="single" w:sz="8" w:color="E4E4E4"/>
            </w:tcBorders>
            <w:shd w:val="clear" w:color="auto" w:fill="E4E4E4"/>
          </w:tcPr>
          <w:p>
            <w:pPr>
              <w:jc w:val="right"/>
              <w:ind w:right="10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63</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400" w:type="dxa"/>
            <w:vAlign w:val="bottom"/>
            <w:tcBorders>
              <w:bottom w:val="single" w:sz="8" w:color="E4E4E4"/>
            </w:tcBorders>
            <w:shd w:val="clear" w:color="auto" w:fill="E4E4E4"/>
          </w:tcPr>
          <w:p>
            <w:pPr>
              <w:jc w:val="center"/>
              <w:ind w:right="159"/>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0"/>
        </w:trPr>
        <w:tc>
          <w:tcPr>
            <w:tcW w:w="44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right="140" w:hanging="252"/>
        <w:spacing w:after="0" w:line="266" w:lineRule="auto"/>
        <w:tabs>
          <w:tab w:leader="none" w:pos="2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items, net primarily consists of government grants, lease income, gains and losses related to derivatives, and licensing and royalty income for the three and nine months ended September 30, 2024, and change in tax indemnity, gains and losses related to derivatives, licensing and royalty income, and lease income for the three and nine months ended September 30,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RELATED PARTIES AND TRANSITION SERVICES AGREEMENT</w:t>
      </w: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connection with the Spin-Off, the Company entered into or adopted several agreements that provide a framework for the relationship between the Company and GE, including the Transition Services Agreement (“TSA”). These agreements were structured in anticipation of GE’s transaction to separate the GE Vernova business as described in Note 1, “Organization and Basis of Presentation.” Under these agreements, we incurred $40 million, net, and $94 million, net, for the three months ended September 30, 2024 and 2023, respectively, and $138 million, net, and $286 million, net, for the nine months ended September 30, 2024 and 2023, respectively. These amounts represent fees charged from GE and GE Vernova to the Company, the majority of which are related to information technology, and are net of fees charged from the Company to GE and GE Vernova for facilities and other shared services. For more information on these agreements, see Note 19, “Related Parties” in our Annual Report on Form 10-K for the fiscal year ended December 31, 2023.</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Current amounts due from and to GE under the various agreements are recognized within Due from related parties or Due to related parties, as applicable, in the Condensed Consolidated Statements of Financial Position. Non-current amounts due from GE were $70 million and $81 million, and due to GE were $41 million and $33 million, as of September 30, 2024 and December 31, 2023, respectively. These amounts were recognized within All other non-current assets and All other non-current liabilities, respectively, in the Condensed Consolidated Statements of Financial Position and primarily relate to tax and other indemnities. Following its separation from GE, GE Vernova does not meet the definition of a related party; accordingly, amounts as of September 30, 2024 due to and from GE Vernova in accordance with the TSA are excluded from the Due from related parties and Due to related parties financial statement line items and non-current balances disclosed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560" w:type="dxa"/>
            <w:vAlign w:val="bottom"/>
          </w:tcPr>
          <w:p>
            <w:pPr>
              <w:ind w:left="3780"/>
              <w:spacing w:after="0"/>
              <w:rPr>
                <w:sz w:val="20"/>
                <w:szCs w:val="20"/>
                <w:color w:val="auto"/>
              </w:rPr>
            </w:pPr>
            <w:r>
              <w:rPr>
                <w:rFonts w:ascii="Arial" w:cs="Arial" w:eastAsia="Arial" w:hAnsi="Arial"/>
                <w:sz w:val="16"/>
                <w:szCs w:val="16"/>
                <w:b w:val="1"/>
                <w:bCs w:val="1"/>
                <w:color w:val="auto"/>
              </w:rPr>
              <w:t>Part I. Financial Information</w:t>
            </w:r>
          </w:p>
        </w:tc>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560" w:type="dxa"/>
            <w:vAlign w:val="bottom"/>
          </w:tcPr>
          <w:p>
            <w:pPr>
              <w:ind w:left="4640"/>
              <w:spacing w:after="0"/>
              <w:rPr>
                <w:sz w:val="20"/>
                <w:szCs w:val="20"/>
                <w:color w:val="auto"/>
              </w:rPr>
            </w:pPr>
            <w:r>
              <w:rPr>
                <w:rFonts w:ascii="Arial" w:cs="Arial" w:eastAsia="Arial" w:hAnsi="Arial"/>
                <w:sz w:val="16"/>
                <w:szCs w:val="16"/>
                <w:b w:val="1"/>
                <w:bCs w:val="1"/>
                <w:color w:val="auto"/>
              </w:rPr>
              <w:t>Index</w:t>
            </w: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7"/>
        </w:trPr>
        <w:tc>
          <w:tcPr>
            <w:tcW w:w="9560" w:type="dxa"/>
            <w:vAlign w:val="bottom"/>
          </w:tcPr>
          <w:p>
            <w:pPr>
              <w:ind w:left="20"/>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 (“MD&amp;A”)</w:t>
            </w:r>
          </w:p>
        </w:tc>
        <w:tc>
          <w:tcPr>
            <w:tcW w:w="168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Page</w:t>
            </w:r>
          </w:p>
        </w:tc>
      </w:tr>
      <w:tr>
        <w:trPr>
          <w:trHeight w:val="21"/>
        </w:trPr>
        <w:tc>
          <w:tcPr>
            <w:tcW w:w="956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r>
      <w:tr>
        <w:trPr>
          <w:trHeight w:val="183"/>
        </w:trPr>
        <w:tc>
          <w:tcPr>
            <w:tcW w:w="9560" w:type="dxa"/>
            <w:vAlign w:val="bottom"/>
          </w:tcPr>
          <w:p>
            <w:pPr>
              <w:ind w:left="20"/>
              <w:spacing w:after="0" w:line="183" w:lineRule="exact"/>
              <w:rPr>
                <w:sz w:val="20"/>
                <w:szCs w:val="20"/>
                <w:color w:val="auto"/>
              </w:rPr>
            </w:pPr>
            <w:r>
              <w:rPr>
                <w:rFonts w:ascii="Arial" w:cs="Arial" w:eastAsia="Arial" w:hAnsi="Arial"/>
                <w:sz w:val="16"/>
                <w:szCs w:val="16"/>
                <w:color w:val="auto"/>
              </w:rPr>
              <w:t>Trends and Factors Impacting Our Performance</w:t>
            </w:r>
          </w:p>
        </w:tc>
        <w:tc>
          <w:tcPr>
            <w:tcW w:w="1480" w:type="dxa"/>
            <w:vAlign w:val="bottom"/>
          </w:tcPr>
          <w:p>
            <w:pPr>
              <w:spacing w:after="0"/>
              <w:rPr>
                <w:sz w:val="15"/>
                <w:szCs w:val="15"/>
                <w:color w:val="auto"/>
              </w:rPr>
            </w:pPr>
          </w:p>
        </w:tc>
        <w:tc>
          <w:tcPr>
            <w:tcW w:w="180" w:type="dxa"/>
            <w:vAlign w:val="bottom"/>
            <w:tcBorders>
              <w:bottom w:val="single" w:sz="8" w:color="0E32E1"/>
            </w:tcBorders>
          </w:tcPr>
          <w:p>
            <w:pPr>
              <w:jc w:val="right"/>
              <w:spacing w:after="0" w:line="183" w:lineRule="exact"/>
              <w:rPr>
                <w:sz w:val="20"/>
                <w:szCs w:val="20"/>
                <w:color w:val="auto"/>
              </w:rPr>
            </w:pPr>
            <w:r>
              <w:rPr>
                <w:rFonts w:ascii="Arial" w:cs="Arial" w:eastAsia="Arial" w:hAnsi="Arial"/>
                <w:sz w:val="16"/>
                <w:szCs w:val="16"/>
                <w:color w:val="0E32E1"/>
                <w:w w:val="89"/>
              </w:rPr>
              <w:t>31</w:t>
            </w:r>
          </w:p>
        </w:tc>
        <w:tc>
          <w:tcPr>
            <w:tcW w:w="20" w:type="dxa"/>
            <w:vAlign w:val="bottom"/>
          </w:tcPr>
          <w:p>
            <w:pPr>
              <w:spacing w:after="0"/>
              <w:rPr>
                <w:sz w:val="15"/>
                <w:szCs w:val="15"/>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Summary of Key Performance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32</w:t>
            </w:r>
          </w:p>
        </w:tc>
        <w:tc>
          <w:tcPr>
            <w:tcW w:w="20" w:type="dxa"/>
            <w:vAlign w:val="bottom"/>
          </w:tcPr>
          <w:p>
            <w:pPr>
              <w:spacing w:after="0"/>
              <w:rPr>
                <w:sz w:val="20"/>
                <w:szCs w:val="20"/>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33</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Results of Operations – Segments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36</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Non-GAAP Financial Measures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37</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Liquidity and Capital Resources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41</w:t>
            </w:r>
          </w:p>
        </w:tc>
        <w:tc>
          <w:tcPr>
            <w:tcW w:w="20" w:type="dxa"/>
            <w:vAlign w:val="bottom"/>
          </w:tcPr>
          <w:p>
            <w:pPr>
              <w:spacing w:after="0"/>
              <w:rPr>
                <w:sz w:val="20"/>
                <w:szCs w:val="20"/>
                <w:color w:val="auto"/>
              </w:rPr>
            </w:pPr>
          </w:p>
        </w:tc>
      </w:tr>
      <w:tr>
        <w:trPr>
          <w:trHeight w:val="236"/>
        </w:trPr>
        <w:tc>
          <w:tcPr>
            <w:tcW w:w="9560" w:type="dxa"/>
            <w:vAlign w:val="bottom"/>
          </w:tcPr>
          <w:p>
            <w:pPr>
              <w:ind w:left="20"/>
              <w:spacing w:after="0"/>
              <w:rPr>
                <w:sz w:val="20"/>
                <w:szCs w:val="20"/>
                <w:color w:val="auto"/>
              </w:rPr>
            </w:pPr>
            <w:r>
              <w:rPr>
                <w:rFonts w:ascii="Arial" w:cs="Arial" w:eastAsia="Arial" w:hAnsi="Arial"/>
                <w:sz w:val="16"/>
                <w:szCs w:val="16"/>
                <w:color w:val="auto"/>
              </w:rPr>
              <w:t>Recently Issued Accounting Pronouncements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43</w:t>
            </w:r>
          </w:p>
        </w:tc>
        <w:tc>
          <w:tcPr>
            <w:tcW w:w="20" w:type="dxa"/>
            <w:vAlign w:val="bottom"/>
          </w:tcPr>
          <w:p>
            <w:pPr>
              <w:spacing w:after="0"/>
              <w:rPr>
                <w:sz w:val="20"/>
                <w:szCs w:val="20"/>
                <w:color w:val="auto"/>
              </w:rPr>
            </w:pPr>
          </w:p>
        </w:tc>
      </w:tr>
      <w:tr>
        <w:trPr>
          <w:trHeight w:val="237"/>
        </w:trPr>
        <w:tc>
          <w:tcPr>
            <w:tcW w:w="9560" w:type="dxa"/>
            <w:vAlign w:val="bottom"/>
          </w:tcPr>
          <w:p>
            <w:pPr>
              <w:ind w:left="20"/>
              <w:spacing w:after="0"/>
              <w:rPr>
                <w:sz w:val="20"/>
                <w:szCs w:val="20"/>
                <w:color w:val="auto"/>
              </w:rPr>
            </w:pPr>
            <w:r>
              <w:rPr>
                <w:rFonts w:ascii="Arial" w:cs="Arial" w:eastAsia="Arial" w:hAnsi="Arial"/>
                <w:sz w:val="16"/>
                <w:szCs w:val="16"/>
                <w:color w:val="auto"/>
              </w:rPr>
              <w:t>Critical Accounting Estimates</w:t>
            </w:r>
          </w:p>
        </w:tc>
        <w:tc>
          <w:tcPr>
            <w:tcW w:w="1480" w:type="dxa"/>
            <w:vAlign w:val="bottom"/>
          </w:tcPr>
          <w:p>
            <w:pPr>
              <w:spacing w:after="0"/>
              <w:rPr>
                <w:sz w:val="20"/>
                <w:szCs w:val="20"/>
                <w:color w:val="auto"/>
              </w:rPr>
            </w:pPr>
          </w:p>
        </w:tc>
        <w:tc>
          <w:tcPr>
            <w:tcW w:w="180" w:type="dxa"/>
            <w:vAlign w:val="bottom"/>
            <w:tcBorders>
              <w:bottom w:val="single" w:sz="8" w:color="0E32E1"/>
            </w:tcBorders>
          </w:tcPr>
          <w:p>
            <w:pPr>
              <w:jc w:val="right"/>
              <w:spacing w:after="0"/>
              <w:rPr>
                <w:sz w:val="20"/>
                <w:szCs w:val="20"/>
                <w:color w:val="auto"/>
              </w:rPr>
            </w:pPr>
            <w:r>
              <w:rPr>
                <w:rFonts w:ascii="Arial" w:cs="Arial" w:eastAsia="Arial" w:hAnsi="Arial"/>
                <w:sz w:val="16"/>
                <w:szCs w:val="16"/>
                <w:color w:val="0E32E1"/>
                <w:w w:val="89"/>
              </w:rPr>
              <w:t>43</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6"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The following discussion and analysis of our financial condition and results of operations should be read in conjunction with the financial statements and corresponding notes included elsewhere in this Quarterly Report on Form 10-Q. The following discussion and analysis provide information management believes to be relevant to understanding the financial condition and results of operations of GE HealthCare Technologies Inc. and its subsidiaries (“GE HealthCare,” the “Company,” “our,” “us,” or “we”) for the three and nine months ended September 30, 2024 and 2023. For a full understanding of our financial condition and results of operations, the below discussion should be read alongside the Management’s Discussion and Analysis of Financial Condition and Results of Operations included in our Annual Report on Form 10-K for the fiscal year ended December 31, 2023.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Quarterly Report on Form 10-Q, and particularly in Item 1A, “Risk Factors” in our Annual Report on Form 10-K for the fiscal year ended December 31, 2023.</w:t>
      </w:r>
    </w:p>
    <w:p>
      <w:pPr>
        <w:spacing w:after="0" w:line="12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On January 3, 2023, the General Electric Company, which now operates as GE Aerospace (“GE”), completed the spin-off of GE HealthCare Technologies Inc. (the “Spin-Off”). For further information regarding the Spin-Off, refer to Note 1, “Organization and Basis of Presentation.”</w:t>
      </w:r>
    </w:p>
    <w:p>
      <w:pPr>
        <w:spacing w:after="0" w:line="115"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w:t>
      </w:r>
    </w:p>
    <w:p>
      <w:pPr>
        <w:spacing w:after="0" w:line="13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Effective July 1, 2024, Image Guided Therapies, previously part of the Imaging segment, was realigned to the Ultrasound segment to better match its clinical usage and realize stronger business and customer impact by providing the right image guidance in the right care setting. The Ultrasound segment was subsequently renamed Advanced Visualization Solutions (“AVS”). Following this realignment, the Company continues to have four reportable segments: Imaging, AVS, Patient Care Solutions (“PCS”), and Pharmaceutical Diagnostics (“PDx”). These segments have been identified based on the nature of the products sold and how the Company manages its operations. Historical segment financial information presented within this report has been recast to conform to the new reportable segments structure. See Note 3, “Segment Information”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00"/>
        <w:spacing w:after="0" w:line="284"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 in our Annual Report on Form 10-K for the fiscal year ended December 31, 2023.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19"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We had $152 million and $153 million of assets in, or directly related to, Russia and Ukraine as of September 30, 2024 and December 31, 2023, respectively, none of which are subject to sanctions that impact the carrying value of the assets. We generated revenues of $243 million and $228 million from customers in these two countries for the nine months ended September 30, 2024 and 2023, respectively. The potential inability to repatriate earnings from these two countries will not have a material impact on our ability to operate.</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In May 2023, the U.S. Department of Commerce implemented expanded measures that required us to obtain a license for the export, re-export, or transfer of specified medical equipment and spare parts to customers in Russia. As of April 29, 2024, this requirement has been modified to permit us to export, re-export, or transfer medical equipment and spare parts that meet stated criteria under a License Exception, which is expected to eliminate the need for us to obtain individual U.S. licenses in most cases.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first three quarters of 2024 and the last three quarters of 2023 and will continue to do so as we confirm applicability of the new U.S. License Exception to our transactions and continue to obtain licenses. There is no guarantee we will obtain all of the licenses for which we applied, that any approvals we obtain will be on a timely basis, or that our business in Russia will not be further disrupted due to evolving legal or operational considerations. The Board, together with management, will continue to assess whether developments related to the conflict have had, or are reasonably likely to have, a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color w:val="auto"/>
        </w:rPr>
        <w:t>China Market</w:t>
      </w:r>
    </w:p>
    <w:p>
      <w:pPr>
        <w:spacing w:after="0" w:line="19"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continue to monitor developments in the market in China. An anti-corruption campaign directed at the healthcare sector, launched last year, is still ongoing. In addition, in March 2024, the government in China announced a new stimulus program (“2024 stimulus”) that includes the healthcare sector and will be implemented through China’s provinces. Both of these factors have contributed to delayed orders and sales in our China business, through the third quarter of 2024. We expect the 2024 stimulus program will result in opportunities for our business in China in the longer term, but it has had a short-term impact as provinces develop and announce their plans and customers wait to understand the details of the 2024 stimulus before making purchasing decisions. We expect the effects of the anti-corruption campaign and the delay in China 2024 stimulus to continue to impact our orders and sales in the near term, although we are unable to predict the exact duration or magnitude of the impact. We expect both of these impacts to be temporary, and we believe the focus of government policy in China on expanding access to healthcare will benefit our business in China in the long term.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Tax Valuation Allowances</w:t>
      </w:r>
    </w:p>
    <w:p>
      <w:pPr>
        <w:spacing w:after="0" w:line="1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Deferred income tax assets represent amounts available to reduce income taxes payable on taxable income in future years. We evaluate the recoverability of these future tax deductions and credits by evaluating all available positive and negative evidence. We have a valuation allowance against certain U.S. and foreign deferred tax assets and will release the valuation allowance when there is sufficient positive evidence to support a conclusion that it is more likely than not the deferred tax assets will be realized. Depending on our operating results in the future, we may release the valuation allowance associated with our Brazil and French deferred tax assets within the next year. The timing and amount of the valuation allowance release could vary based on our assessment of all available evidence. Release of all, or a portion, of the valuation allowance in Brazil would result in the recognition of certain deferred tax assets in Brazil offset by recognition of certain deferred tax liabilities in the United States. Release of all, or a portion, of the valuation allowance in France would result in the recognition of certain deferred tax assets in France and is expected to result in a decrease to income tax expense for the period in which the release is recorded.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176"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Management reviews and analyzes several key performance measures including Total revenues, remaining performance obligations (“RPO”),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0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gridSpan w:val="5"/>
          </w:tcPr>
          <w:p>
            <w:pPr>
              <w:ind w:left="20"/>
              <w:spacing w:after="0"/>
              <w:rPr>
                <w:sz w:val="20"/>
                <w:szCs w:val="20"/>
                <w:color w:val="auto"/>
              </w:rPr>
            </w:pPr>
            <w:r>
              <w:rPr>
                <w:rFonts w:ascii="Arial" w:cs="Arial" w:eastAsia="Arial" w:hAnsi="Arial"/>
                <w:sz w:val="16"/>
                <w:szCs w:val="16"/>
                <w:b w:val="1"/>
                <w:bCs w:val="1"/>
                <w:color w:val="auto"/>
              </w:rPr>
              <w:t>Condensed Consolidated Statements of Income</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20" w:type="dxa"/>
            <w:vAlign w:val="bottom"/>
            <w:gridSpan w:val="5"/>
          </w:tcPr>
          <w:p>
            <w:pPr>
              <w:jc w:val="right"/>
              <w:ind w:right="259"/>
              <w:spacing w:after="0"/>
              <w:rPr>
                <w:sz w:val="20"/>
                <w:szCs w:val="20"/>
                <w:color w:val="auto"/>
              </w:rPr>
            </w:pPr>
            <w:r>
              <w:rPr>
                <w:rFonts w:ascii="Arial" w:cs="Arial" w:eastAsia="Arial" w:hAnsi="Arial"/>
                <w:sz w:val="16"/>
                <w:szCs w:val="16"/>
                <w:b w:val="1"/>
                <w:bCs w:val="1"/>
                <w:color w:val="454545"/>
              </w:rPr>
              <w:t>For the three months 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454545"/>
              </w:rPr>
              <w:t>For the nine months ended</w:t>
            </w:r>
          </w:p>
        </w:tc>
      </w:tr>
      <w:tr>
        <w:trPr>
          <w:trHeight w:val="223"/>
        </w:trPr>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454545"/>
              </w:rPr>
              <w:t>September 30</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19"/>
                <w:szCs w:val="19"/>
                <w:color w:val="auto"/>
              </w:rPr>
            </w:pPr>
          </w:p>
        </w:tc>
      </w:tr>
      <w:tr>
        <w:trPr>
          <w:trHeight w:val="21"/>
        </w:trPr>
        <w:tc>
          <w:tcPr>
            <w:tcW w:w="2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2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454545"/>
              </w:rPr>
              <w:t>2023</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2024</w:t>
            </w:r>
          </w:p>
        </w:tc>
        <w:tc>
          <w:tcPr>
            <w:tcW w:w="60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2023</w:t>
            </w:r>
          </w:p>
        </w:tc>
      </w:tr>
      <w:tr>
        <w:trPr>
          <w:trHeight w:val="21"/>
        </w:trPr>
        <w:tc>
          <w:tcPr>
            <w:tcW w:w="220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22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Sales of products</w:t>
            </w:r>
          </w:p>
        </w:tc>
        <w:tc>
          <w:tcPr>
            <w:tcW w:w="48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44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3,201</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3,186</w:t>
            </w:r>
          </w:p>
        </w:tc>
        <w:tc>
          <w:tcPr>
            <w:tcW w:w="520" w:type="dxa"/>
            <w:vAlign w:val="bottom"/>
            <w:tcBorders>
              <w:bottom w:val="single" w:sz="8" w:color="E4E4E4"/>
            </w:tcBorders>
            <w:gridSpan w:val="3"/>
            <w:shd w:val="clear" w:color="auto" w:fill="E4E4E4"/>
          </w:tcPr>
          <w:p>
            <w:pPr>
              <w:jc w:val="right"/>
              <w:ind w:right="2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9,454</w:t>
            </w:r>
          </w:p>
        </w:tc>
        <w:tc>
          <w:tcPr>
            <w:tcW w:w="60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9,530</w:t>
            </w:r>
          </w:p>
        </w:tc>
      </w:tr>
      <w:tr>
        <w:trPr>
          <w:trHeight w:val="227"/>
        </w:trPr>
        <w:tc>
          <w:tcPr>
            <w:tcW w:w="2200" w:type="dxa"/>
            <w:vAlign w:val="bottom"/>
          </w:tcPr>
          <w:p>
            <w:pPr>
              <w:ind w:left="100"/>
              <w:spacing w:after="0"/>
              <w:rPr>
                <w:sz w:val="20"/>
                <w:szCs w:val="20"/>
                <w:color w:val="auto"/>
              </w:rPr>
            </w:pPr>
            <w:r>
              <w:rPr>
                <w:rFonts w:ascii="Arial" w:cs="Arial" w:eastAsia="Arial" w:hAnsi="Arial"/>
                <w:sz w:val="16"/>
                <w:szCs w:val="16"/>
                <w:color w:val="auto"/>
              </w:rPr>
              <w:t>Sales of services</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1,662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1,636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4,899</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4,816</w:t>
            </w:r>
          </w:p>
        </w:tc>
      </w:tr>
      <w:tr>
        <w:trPr>
          <w:trHeight w:val="29"/>
        </w:trPr>
        <w:tc>
          <w:tcPr>
            <w:tcW w:w="2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22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revenues</w:t>
            </w:r>
          </w:p>
        </w:tc>
        <w:tc>
          <w:tcPr>
            <w:tcW w:w="480" w:type="dxa"/>
            <w:vAlign w:val="bottom"/>
            <w:tcBorders>
              <w:bottom w:val="single" w:sz="8" w:color="E4E4E4"/>
            </w:tcBorders>
            <w:shd w:val="clear" w:color="auto" w:fill="E4E4E4"/>
          </w:tcPr>
          <w:p>
            <w:pPr>
              <w:spacing w:after="0"/>
              <w:rPr>
                <w:sz w:val="21"/>
                <w:szCs w:val="21"/>
                <w:color w:val="auto"/>
              </w:rPr>
            </w:pPr>
          </w:p>
        </w:tc>
        <w:tc>
          <w:tcPr>
            <w:tcW w:w="50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b w:val="1"/>
                <w:bCs w:val="1"/>
                <w:color w:val="auto"/>
              </w:rPr>
              <w:t>4,863</w:t>
            </w:r>
          </w:p>
        </w:tc>
        <w:tc>
          <w:tcPr>
            <w:tcW w:w="240" w:type="dxa"/>
            <w:vAlign w:val="bottom"/>
            <w:tcBorders>
              <w:bottom w:val="single" w:sz="8" w:color="E4E4E4"/>
            </w:tcBorders>
            <w:shd w:val="clear" w:color="auto" w:fill="E4E4E4"/>
          </w:tcPr>
          <w:p>
            <w:pPr>
              <w:spacing w:after="0"/>
              <w:rPr>
                <w:sz w:val="21"/>
                <w:szCs w:val="21"/>
                <w:color w:val="auto"/>
              </w:rPr>
            </w:pPr>
          </w:p>
        </w:tc>
        <w:tc>
          <w:tcPr>
            <w:tcW w:w="74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4,822</w:t>
            </w:r>
          </w:p>
        </w:tc>
        <w:tc>
          <w:tcPr>
            <w:tcW w:w="4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14,353</w:t>
            </w:r>
          </w:p>
        </w:tc>
        <w:tc>
          <w:tcPr>
            <w:tcW w:w="60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14,346</w:t>
            </w:r>
          </w:p>
        </w:tc>
      </w:tr>
      <w:tr>
        <w:trPr>
          <w:trHeight w:val="221"/>
        </w:trPr>
        <w:tc>
          <w:tcPr>
            <w:tcW w:w="2200" w:type="dxa"/>
            <w:vAlign w:val="bottom"/>
            <w:tcBorders>
              <w:top w:val="single" w:sz="8" w:color="auto"/>
            </w:tcBorders>
          </w:tcPr>
          <w:p>
            <w:pPr>
              <w:ind w:left="100"/>
              <w:spacing w:after="0"/>
              <w:rPr>
                <w:sz w:val="20"/>
                <w:szCs w:val="20"/>
                <w:color w:val="auto"/>
              </w:rPr>
            </w:pPr>
            <w:r>
              <w:rPr>
                <w:rFonts w:ascii="Arial" w:cs="Arial" w:eastAsia="Arial" w:hAnsi="Arial"/>
                <w:sz w:val="16"/>
                <w:szCs w:val="16"/>
                <w:color w:val="auto"/>
              </w:rPr>
              <w:t>Cost of products</w:t>
            </w:r>
          </w:p>
        </w:tc>
        <w:tc>
          <w:tcPr>
            <w:tcW w:w="4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2,033</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2,076</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6,045</w:t>
            </w:r>
          </w:p>
        </w:tc>
        <w:tc>
          <w:tcPr>
            <w:tcW w:w="6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6,197</w:t>
            </w:r>
          </w:p>
        </w:tc>
      </w:tr>
      <w:tr>
        <w:trPr>
          <w:trHeight w:val="29"/>
        </w:trPr>
        <w:tc>
          <w:tcPr>
            <w:tcW w:w="2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22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color w:val="auto"/>
              </w:rPr>
              <w:t>Cost of services</w:t>
            </w:r>
          </w:p>
        </w:tc>
        <w:tc>
          <w:tcPr>
            <w:tcW w:w="480" w:type="dxa"/>
            <w:vAlign w:val="bottom"/>
            <w:tcBorders>
              <w:bottom w:val="single" w:sz="8" w:color="E4E4E4"/>
            </w:tcBorders>
            <w:shd w:val="clear" w:color="auto" w:fill="E4E4E4"/>
          </w:tcPr>
          <w:p>
            <w:pPr>
              <w:spacing w:after="0"/>
              <w:rPr>
                <w:sz w:val="22"/>
                <w:szCs w:val="22"/>
                <w:color w:val="auto"/>
              </w:rPr>
            </w:pPr>
          </w:p>
        </w:tc>
        <w:tc>
          <w:tcPr>
            <w:tcW w:w="50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805</w:t>
            </w:r>
          </w:p>
        </w:tc>
        <w:tc>
          <w:tcPr>
            <w:tcW w:w="24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811</w:t>
            </w:r>
          </w:p>
        </w:tc>
        <w:tc>
          <w:tcPr>
            <w:tcW w:w="4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2,378</w:t>
            </w:r>
          </w:p>
        </w:tc>
        <w:tc>
          <w:tcPr>
            <w:tcW w:w="60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2,383</w:t>
            </w:r>
          </w:p>
        </w:tc>
      </w:tr>
      <w:tr>
        <w:trPr>
          <w:trHeight w:val="229"/>
        </w:trPr>
        <w:tc>
          <w:tcPr>
            <w:tcW w:w="22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Gross profit</w:t>
            </w:r>
          </w:p>
        </w:tc>
        <w:tc>
          <w:tcPr>
            <w:tcW w:w="4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1,935</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5,930</w:t>
            </w:r>
          </w:p>
        </w:tc>
        <w:tc>
          <w:tcPr>
            <w:tcW w:w="6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5,766</w:t>
            </w:r>
          </w:p>
        </w:tc>
      </w:tr>
      <w:tr>
        <w:trPr>
          <w:trHeight w:val="21"/>
        </w:trPr>
        <w:tc>
          <w:tcPr>
            <w:tcW w:w="26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2680" w:type="dxa"/>
            <w:vAlign w:val="bottom"/>
            <w:tcBorders>
              <w:bottom w:val="single" w:sz="8" w:color="E4E4E4"/>
            </w:tcBorders>
            <w:gridSpan w:val="2"/>
            <w:shd w:val="clear" w:color="auto" w:fill="E4E4E4"/>
          </w:tcPr>
          <w:p>
            <w:pPr>
              <w:ind w:left="100"/>
              <w:spacing w:after="0"/>
              <w:rPr>
                <w:sz w:val="20"/>
                <w:szCs w:val="20"/>
                <w:color w:val="auto"/>
              </w:rPr>
            </w:pPr>
            <w:r>
              <w:rPr>
                <w:rFonts w:ascii="Arial" w:cs="Arial" w:eastAsia="Arial" w:hAnsi="Arial"/>
                <w:sz w:val="16"/>
                <w:szCs w:val="16"/>
                <w:color w:val="auto"/>
              </w:rPr>
              <w:t>Selling, general, and administrative</w:t>
            </w:r>
          </w:p>
        </w:tc>
        <w:tc>
          <w:tcPr>
            <w:tcW w:w="5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1,034</w:t>
            </w:r>
          </w:p>
        </w:tc>
        <w:tc>
          <w:tcPr>
            <w:tcW w:w="2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996</w:t>
            </w:r>
          </w:p>
        </w:tc>
        <w:tc>
          <w:tcPr>
            <w:tcW w:w="4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3,139</w:t>
            </w:r>
          </w:p>
        </w:tc>
        <w:tc>
          <w:tcPr>
            <w:tcW w:w="6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3,130</w:t>
            </w:r>
          </w:p>
        </w:tc>
      </w:tr>
      <w:tr>
        <w:trPr>
          <w:trHeight w:val="228"/>
        </w:trPr>
        <w:tc>
          <w:tcPr>
            <w:tcW w:w="2200" w:type="dxa"/>
            <w:vAlign w:val="bottom"/>
          </w:tcPr>
          <w:p>
            <w:pPr>
              <w:ind w:left="100"/>
              <w:spacing w:after="0"/>
              <w:rPr>
                <w:sz w:val="20"/>
                <w:szCs w:val="20"/>
                <w:color w:val="auto"/>
              </w:rPr>
            </w:pPr>
            <w:r>
              <w:rPr>
                <w:rFonts w:ascii="Arial" w:cs="Arial" w:eastAsia="Arial" w:hAnsi="Arial"/>
                <w:sz w:val="16"/>
                <w:szCs w:val="16"/>
                <w:color w:val="auto"/>
              </w:rPr>
              <w:t>Research and development</w:t>
            </w: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316</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322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967</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890</w:t>
            </w:r>
          </w:p>
        </w:tc>
      </w:tr>
      <w:tr>
        <w:trPr>
          <w:trHeight w:val="29"/>
        </w:trPr>
        <w:tc>
          <w:tcPr>
            <w:tcW w:w="2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2200" w:type="dxa"/>
            <w:vAlign w:val="bottom"/>
            <w:tcBorders>
              <w:bottom w:val="single" w:sz="8" w:color="E4E4E4"/>
            </w:tcBorders>
            <w:shd w:val="clear" w:color="auto" w:fill="E4E4E4"/>
          </w:tcPr>
          <w:p>
            <w:pPr>
              <w:ind w:left="100"/>
              <w:spacing w:after="0"/>
              <w:rPr>
                <w:sz w:val="20"/>
                <w:szCs w:val="20"/>
                <w:color w:val="auto"/>
              </w:rPr>
            </w:pPr>
            <w:r>
              <w:rPr>
                <w:rFonts w:ascii="Arial" w:cs="Arial" w:eastAsia="Arial" w:hAnsi="Arial"/>
                <w:sz w:val="16"/>
                <w:szCs w:val="16"/>
                <w:b w:val="1"/>
                <w:bCs w:val="1"/>
                <w:color w:val="auto"/>
              </w:rPr>
              <w:t>Total operating expenses</w:t>
            </w:r>
          </w:p>
        </w:tc>
        <w:tc>
          <w:tcPr>
            <w:tcW w:w="480" w:type="dxa"/>
            <w:vAlign w:val="bottom"/>
            <w:tcBorders>
              <w:bottom w:val="single" w:sz="8" w:color="E4E4E4"/>
            </w:tcBorders>
            <w:shd w:val="clear" w:color="auto" w:fill="E4E4E4"/>
          </w:tcPr>
          <w:p>
            <w:pPr>
              <w:spacing w:after="0"/>
              <w:rPr>
                <w:sz w:val="21"/>
                <w:szCs w:val="21"/>
                <w:color w:val="auto"/>
              </w:rPr>
            </w:pPr>
          </w:p>
        </w:tc>
        <w:tc>
          <w:tcPr>
            <w:tcW w:w="50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b w:val="1"/>
                <w:bCs w:val="1"/>
                <w:color w:val="auto"/>
              </w:rPr>
              <w:t>1,350</w:t>
            </w:r>
          </w:p>
        </w:tc>
        <w:tc>
          <w:tcPr>
            <w:tcW w:w="240" w:type="dxa"/>
            <w:vAlign w:val="bottom"/>
            <w:tcBorders>
              <w:bottom w:val="single" w:sz="8" w:color="E4E4E4"/>
            </w:tcBorders>
            <w:shd w:val="clear" w:color="auto" w:fill="E4E4E4"/>
          </w:tcPr>
          <w:p>
            <w:pPr>
              <w:spacing w:after="0"/>
              <w:rPr>
                <w:sz w:val="21"/>
                <w:szCs w:val="21"/>
                <w:color w:val="auto"/>
              </w:rPr>
            </w:pPr>
          </w:p>
        </w:tc>
        <w:tc>
          <w:tcPr>
            <w:tcW w:w="74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1,318</w:t>
            </w:r>
          </w:p>
        </w:tc>
        <w:tc>
          <w:tcPr>
            <w:tcW w:w="4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4,106</w:t>
            </w:r>
          </w:p>
        </w:tc>
        <w:tc>
          <w:tcPr>
            <w:tcW w:w="60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4,020</w:t>
            </w:r>
          </w:p>
        </w:tc>
      </w:tr>
      <w:tr>
        <w:trPr>
          <w:trHeight w:val="229"/>
        </w:trPr>
        <w:tc>
          <w:tcPr>
            <w:tcW w:w="22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Operating income</w:t>
            </w:r>
          </w:p>
        </w:tc>
        <w:tc>
          <w:tcPr>
            <w:tcW w:w="4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676</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617</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1,824</w:t>
            </w:r>
          </w:p>
        </w:tc>
        <w:tc>
          <w:tcPr>
            <w:tcW w:w="6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1,746</w:t>
            </w:r>
          </w:p>
        </w:tc>
      </w:tr>
      <w:tr>
        <w:trPr>
          <w:trHeight w:val="21"/>
        </w:trPr>
        <w:tc>
          <w:tcPr>
            <w:tcW w:w="31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7"/>
        </w:trPr>
        <w:tc>
          <w:tcPr>
            <w:tcW w:w="3180" w:type="dxa"/>
            <w:vAlign w:val="bottom"/>
            <w:tcBorders>
              <w:bottom w:val="single" w:sz="8" w:color="E4E4E4"/>
            </w:tcBorders>
            <w:gridSpan w:val="3"/>
            <w:shd w:val="clear" w:color="auto" w:fill="E4E4E4"/>
          </w:tcPr>
          <w:p>
            <w:pPr>
              <w:ind w:left="100"/>
              <w:spacing w:after="0"/>
              <w:rPr>
                <w:sz w:val="20"/>
                <w:szCs w:val="20"/>
                <w:color w:val="auto"/>
              </w:rPr>
            </w:pPr>
            <w:r>
              <w:rPr>
                <w:rFonts w:ascii="Arial" w:cs="Arial" w:eastAsia="Arial" w:hAnsi="Arial"/>
                <w:sz w:val="16"/>
                <w:szCs w:val="16"/>
                <w:color w:val="auto"/>
              </w:rPr>
              <w:t>Interest and other financial charges – net</w:t>
            </w: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130</w:t>
            </w:r>
          </w:p>
        </w:tc>
        <w:tc>
          <w:tcPr>
            <w:tcW w:w="2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138</w:t>
            </w:r>
          </w:p>
        </w:tc>
        <w:tc>
          <w:tcPr>
            <w:tcW w:w="4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383</w:t>
            </w:r>
          </w:p>
        </w:tc>
        <w:tc>
          <w:tcPr>
            <w:tcW w:w="6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411</w:t>
            </w:r>
          </w:p>
        </w:tc>
      </w:tr>
      <w:tr>
        <w:trPr>
          <w:trHeight w:val="227"/>
        </w:trPr>
        <w:tc>
          <w:tcPr>
            <w:tcW w:w="3180" w:type="dxa"/>
            <w:vAlign w:val="bottom"/>
            <w:gridSpan w:val="3"/>
          </w:tcPr>
          <w:p>
            <w:pPr>
              <w:ind w:left="100"/>
              <w:spacing w:after="0"/>
              <w:rPr>
                <w:sz w:val="20"/>
                <w:szCs w:val="20"/>
                <w:color w:val="auto"/>
              </w:rPr>
            </w:pPr>
            <w:r>
              <w:rPr>
                <w:rFonts w:ascii="Arial" w:cs="Arial" w:eastAsia="Arial" w:hAnsi="Arial"/>
                <w:sz w:val="16"/>
                <w:szCs w:val="16"/>
                <w:color w:val="auto"/>
              </w:rPr>
              <w:t>Non-operating benefit (income) costs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(332)</w:t>
            </w:r>
          </w:p>
        </w:tc>
      </w:tr>
      <w:tr>
        <w:trPr>
          <w:trHeight w:val="29"/>
        </w:trPr>
        <w:tc>
          <w:tcPr>
            <w:tcW w:w="26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2680" w:type="dxa"/>
            <w:vAlign w:val="bottom"/>
            <w:tcBorders>
              <w:bottom w:val="single" w:sz="8" w:color="E4E4E4"/>
            </w:tcBorders>
            <w:gridSpan w:val="2"/>
            <w:shd w:val="clear" w:color="auto" w:fill="E4E4E4"/>
          </w:tcPr>
          <w:p>
            <w:pPr>
              <w:ind w:left="100"/>
              <w:spacing w:after="0"/>
              <w:rPr>
                <w:sz w:val="20"/>
                <w:szCs w:val="20"/>
                <w:color w:val="auto"/>
              </w:rPr>
            </w:pPr>
            <w:r>
              <w:rPr>
                <w:rFonts w:ascii="Arial" w:cs="Arial" w:eastAsia="Arial" w:hAnsi="Arial"/>
                <w:sz w:val="16"/>
                <w:szCs w:val="16"/>
                <w:color w:val="auto"/>
              </w:rPr>
              <w:t>Other (income) expense – net</w:t>
            </w:r>
          </w:p>
        </w:tc>
        <w:tc>
          <w:tcPr>
            <w:tcW w:w="50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(9)</w:t>
            </w:r>
          </w:p>
        </w:tc>
        <w:tc>
          <w:tcPr>
            <w:tcW w:w="24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c>
          <w:tcPr>
            <w:tcW w:w="4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r>
      <w:tr>
        <w:trPr>
          <w:trHeight w:val="229"/>
        </w:trPr>
        <w:tc>
          <w:tcPr>
            <w:tcW w:w="5120" w:type="dxa"/>
            <w:vAlign w:val="bottom"/>
            <w:tcBorders>
              <w:top w:val="single" w:sz="8" w:color="auto"/>
            </w:tcBorders>
            <w:gridSpan w:val="6"/>
          </w:tcPr>
          <w:p>
            <w:pPr>
              <w:ind w:left="10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658</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636</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1,747</w:t>
            </w:r>
          </w:p>
        </w:tc>
        <w:tc>
          <w:tcPr>
            <w:tcW w:w="6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1,752</w:t>
            </w:r>
          </w:p>
        </w:tc>
      </w:tr>
      <w:tr>
        <w:trPr>
          <w:trHeight w:val="21"/>
        </w:trPr>
        <w:tc>
          <w:tcPr>
            <w:tcW w:w="2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2"/>
        </w:trPr>
        <w:tc>
          <w:tcPr>
            <w:tcW w:w="2680" w:type="dxa"/>
            <w:vAlign w:val="bottom"/>
            <w:tcBorders>
              <w:bottom w:val="single" w:sz="8" w:color="E4E4E4"/>
            </w:tcBorders>
            <w:gridSpan w:val="2"/>
            <w:shd w:val="clear" w:color="auto" w:fill="E4E4E4"/>
          </w:tcPr>
          <w:p>
            <w:pPr>
              <w:ind w:left="100"/>
              <w:spacing w:after="0"/>
              <w:rPr>
                <w:sz w:val="20"/>
                <w:szCs w:val="20"/>
                <w:color w:val="auto"/>
              </w:rPr>
            </w:pPr>
            <w:r>
              <w:rPr>
                <w:rFonts w:ascii="Arial" w:cs="Arial" w:eastAsia="Arial" w:hAnsi="Arial"/>
                <w:sz w:val="16"/>
                <w:szCs w:val="16"/>
                <w:color w:val="auto"/>
              </w:rPr>
              <w:t>Benefit (provision) for income taxes</w:t>
            </w:r>
          </w:p>
        </w:tc>
        <w:tc>
          <w:tcPr>
            <w:tcW w:w="50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80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(168)</w:t>
            </w:r>
          </w:p>
        </w:tc>
        <w:tc>
          <w:tcPr>
            <w:tcW w:w="24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w:t>
            </w:r>
          </w:p>
        </w:tc>
        <w:tc>
          <w:tcPr>
            <w:tcW w:w="40" w:type="dxa"/>
            <w:vAlign w:val="bottom"/>
            <w:tcBorders>
              <w:bottom w:val="single" w:sz="8" w:color="E4E4E4"/>
            </w:tcBorders>
            <w:shd w:val="clear" w:color="auto" w:fill="E4E4E4"/>
          </w:tcPr>
          <w:p>
            <w:pPr>
              <w:spacing w:after="0"/>
              <w:rPr>
                <w:sz w:val="22"/>
                <w:szCs w:val="22"/>
                <w:color w:val="auto"/>
              </w:rPr>
            </w:pPr>
          </w:p>
        </w:tc>
        <w:tc>
          <w:tcPr>
            <w:tcW w:w="100" w:type="dxa"/>
            <w:vAlign w:val="bottom"/>
            <w:tcBorders>
              <w:bottom w:val="single" w:sz="8" w:color="E4E4E4"/>
            </w:tcBorders>
            <w:shd w:val="clear" w:color="auto" w:fill="E4E4E4"/>
          </w:tcPr>
          <w:p>
            <w:pPr>
              <w:spacing w:after="0"/>
              <w:rPr>
                <w:sz w:val="22"/>
                <w:szCs w:val="22"/>
                <w:color w:val="auto"/>
              </w:rPr>
            </w:pPr>
          </w:p>
        </w:tc>
        <w:tc>
          <w:tcPr>
            <w:tcW w:w="3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(435)</w:t>
            </w:r>
          </w:p>
        </w:tc>
        <w:tc>
          <w:tcPr>
            <w:tcW w:w="60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(550)</w:t>
            </w:r>
          </w:p>
        </w:tc>
      </w:tr>
      <w:tr>
        <w:trPr>
          <w:trHeight w:val="229"/>
        </w:trPr>
        <w:tc>
          <w:tcPr>
            <w:tcW w:w="318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Net income from continuing operations</w:t>
            </w: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490</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386</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1,312</w:t>
            </w:r>
          </w:p>
        </w:tc>
        <w:tc>
          <w:tcPr>
            <w:tcW w:w="6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1,202</w:t>
            </w:r>
          </w:p>
        </w:tc>
      </w:tr>
      <w:tr>
        <w:trPr>
          <w:trHeight w:val="21"/>
        </w:trPr>
        <w:tc>
          <w:tcPr>
            <w:tcW w:w="420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5"/>
        </w:trPr>
        <w:tc>
          <w:tcPr>
            <w:tcW w:w="4200" w:type="dxa"/>
            <w:vAlign w:val="bottom"/>
            <w:tcBorders>
              <w:bottom w:val="single" w:sz="8" w:color="E4E4E4"/>
            </w:tcBorders>
            <w:gridSpan w:val="5"/>
            <w:shd w:val="clear" w:color="auto" w:fill="E4E4E4"/>
          </w:tcPr>
          <w:p>
            <w:pPr>
              <w:ind w:left="100"/>
              <w:spacing w:after="0"/>
              <w:rPr>
                <w:sz w:val="20"/>
                <w:szCs w:val="20"/>
                <w:color w:val="auto"/>
              </w:rPr>
            </w:pPr>
            <w:r>
              <w:rPr>
                <w:rFonts w:ascii="Arial" w:cs="Arial" w:eastAsia="Arial" w:hAnsi="Arial"/>
                <w:sz w:val="16"/>
                <w:szCs w:val="16"/>
                <w:color w:val="auto"/>
              </w:rPr>
              <w:t>Income (loss) from discontinued operations, net of taxes</w:t>
            </w:r>
          </w:p>
        </w:tc>
        <w:tc>
          <w:tcPr>
            <w:tcW w:w="92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1"/>
                <w:szCs w:val="21"/>
                <w:color w:val="auto"/>
              </w:rPr>
            </w:pPr>
          </w:p>
        </w:tc>
        <w:tc>
          <w:tcPr>
            <w:tcW w:w="74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220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Net income</w:t>
            </w:r>
          </w:p>
        </w:tc>
        <w:tc>
          <w:tcPr>
            <w:tcW w:w="4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490</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382</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1,312</w:t>
            </w:r>
          </w:p>
        </w:tc>
        <w:tc>
          <w:tcPr>
            <w:tcW w:w="6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1,198</w:t>
            </w:r>
          </w:p>
        </w:tc>
      </w:tr>
      <w:tr>
        <w:trPr>
          <w:trHeight w:val="21"/>
        </w:trPr>
        <w:tc>
          <w:tcPr>
            <w:tcW w:w="4200" w:type="dxa"/>
            <w:vAlign w:val="bottom"/>
            <w:tcBorders>
              <w:bottom w:val="single" w:sz="8" w:color="auto"/>
            </w:tcBorders>
            <w:gridSpan w:val="5"/>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5"/>
        </w:trPr>
        <w:tc>
          <w:tcPr>
            <w:tcW w:w="4200" w:type="dxa"/>
            <w:vAlign w:val="bottom"/>
            <w:tcBorders>
              <w:bottom w:val="single" w:sz="8" w:color="E4E4E4"/>
            </w:tcBorders>
            <w:gridSpan w:val="5"/>
            <w:shd w:val="clear" w:color="auto" w:fill="E4E4E4"/>
          </w:tcPr>
          <w:p>
            <w:pPr>
              <w:ind w:left="100"/>
              <w:spacing w:after="0"/>
              <w:rPr>
                <w:sz w:val="20"/>
                <w:szCs w:val="20"/>
                <w:color w:val="auto"/>
              </w:rPr>
            </w:pPr>
            <w:r>
              <w:rPr>
                <w:rFonts w:ascii="Arial" w:cs="Arial" w:eastAsia="Arial" w:hAnsi="Arial"/>
                <w:sz w:val="16"/>
                <w:szCs w:val="16"/>
                <w:color w:val="auto"/>
              </w:rPr>
              <w:t>Net (income) loss attributable to noncontrolling interests</w:t>
            </w:r>
          </w:p>
        </w:tc>
        <w:tc>
          <w:tcPr>
            <w:tcW w:w="92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spacing w:after="0"/>
              <w:rPr>
                <w:sz w:val="21"/>
                <w:szCs w:val="21"/>
                <w:color w:val="auto"/>
              </w:rPr>
            </w:pPr>
          </w:p>
        </w:tc>
        <w:tc>
          <w:tcPr>
            <w:tcW w:w="118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E4E4E4"/>
            </w:tcBorders>
            <w:shd w:val="clear" w:color="auto" w:fill="E4E4E4"/>
          </w:tcPr>
          <w:p>
            <w:pPr>
              <w:spacing w:after="0"/>
              <w:rPr>
                <w:sz w:val="21"/>
                <w:szCs w:val="21"/>
                <w:color w:val="auto"/>
              </w:rPr>
            </w:pPr>
          </w:p>
        </w:tc>
        <w:tc>
          <w:tcPr>
            <w:tcW w:w="74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E4E4E4"/>
            </w:tcBorders>
            <w:shd w:val="clear" w:color="auto" w:fill="E4E4E4"/>
          </w:tcPr>
          <w:p>
            <w:pPr>
              <w:spacing w:after="0"/>
              <w:rPr>
                <w:sz w:val="21"/>
                <w:szCs w:val="21"/>
                <w:color w:val="auto"/>
              </w:rPr>
            </w:pPr>
          </w:p>
        </w:tc>
        <w:tc>
          <w:tcPr>
            <w:tcW w:w="100" w:type="dxa"/>
            <w:vAlign w:val="bottom"/>
            <w:tcBorders>
              <w:bottom w:val="single" w:sz="8" w:color="E4E4E4"/>
            </w:tcBorders>
            <w:shd w:val="clear" w:color="auto" w:fill="E4E4E4"/>
          </w:tcPr>
          <w:p>
            <w:pPr>
              <w:spacing w:after="0"/>
              <w:rPr>
                <w:sz w:val="21"/>
                <w:szCs w:val="21"/>
                <w:color w:val="auto"/>
              </w:rPr>
            </w:pPr>
          </w:p>
        </w:tc>
        <w:tc>
          <w:tcPr>
            <w:tcW w:w="3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60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3400" w:type="dxa"/>
            <w:vAlign w:val="bottom"/>
            <w:tcBorders>
              <w:top w:val="single" w:sz="8" w:color="auto"/>
            </w:tcBorders>
            <w:gridSpan w:val="4"/>
          </w:tcPr>
          <w:p>
            <w:pPr>
              <w:ind w:left="100"/>
              <w:spacing w:after="0"/>
              <w:rPr>
                <w:sz w:val="20"/>
                <w:szCs w:val="20"/>
                <w:color w:val="auto"/>
              </w:rPr>
            </w:pPr>
            <w:r>
              <w:rPr>
                <w:rFonts w:ascii="Arial" w:cs="Arial" w:eastAsia="Arial" w:hAnsi="Arial"/>
                <w:sz w:val="16"/>
                <w:szCs w:val="16"/>
                <w:b w:val="1"/>
                <w:bCs w:val="1"/>
                <w:color w:val="231F20"/>
              </w:rPr>
              <w:t>Net income attributable to GE HealthCare</w:t>
            </w:r>
          </w:p>
        </w:tc>
        <w:tc>
          <w:tcPr>
            <w:tcW w:w="8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470</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375</w:t>
            </w:r>
          </w:p>
        </w:tc>
        <w:tc>
          <w:tcPr>
            <w:tcW w:w="52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1,272</w:t>
            </w:r>
          </w:p>
        </w:tc>
        <w:tc>
          <w:tcPr>
            <w:tcW w:w="6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1,165</w:t>
            </w:r>
          </w:p>
        </w:tc>
      </w:tr>
      <w:tr>
        <w:trPr>
          <w:trHeight w:val="21"/>
        </w:trPr>
        <w:tc>
          <w:tcPr>
            <w:tcW w:w="2680" w:type="dxa"/>
            <w:vAlign w:val="bottom"/>
            <w:tcBorders>
              <w:bottom w:val="single" w:sz="8" w:color="auto"/>
            </w:tcBorders>
            <w:gridSpan w:val="2"/>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13"/>
        </w:trPr>
        <w:tc>
          <w:tcPr>
            <w:tcW w:w="2680" w:type="dxa"/>
            <w:vAlign w:val="bottom"/>
            <w:gridSpan w:val="2"/>
          </w:tcPr>
          <w:p>
            <w:pPr>
              <w:spacing w:after="0"/>
              <w:rPr>
                <w:sz w:val="20"/>
                <w:szCs w:val="20"/>
                <w:color w:val="auto"/>
              </w:rPr>
            </w:pPr>
            <w:r>
              <w:rPr>
                <w:rFonts w:ascii="Arial" w:cs="Arial" w:eastAsia="Arial" w:hAnsi="Arial"/>
                <w:sz w:val="16"/>
                <w:szCs w:val="16"/>
                <w:b w:val="1"/>
                <w:bCs w:val="1"/>
                <w:color w:val="auto"/>
              </w:rPr>
              <w:t>TOTAL REVENUES AND RPO.</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526"/>
        </w:trPr>
        <w:tc>
          <w:tcPr>
            <w:tcW w:w="220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480" w:type="dxa"/>
            <w:vAlign w:val="bottom"/>
          </w:tcPr>
          <w:p>
            <w:pPr>
              <w:spacing w:after="0"/>
              <w:rPr>
                <w:sz w:val="24"/>
                <w:szCs w:val="24"/>
                <w:color w:val="auto"/>
              </w:rPr>
            </w:pPr>
          </w:p>
        </w:tc>
        <w:tc>
          <w:tcPr>
            <w:tcW w:w="4060" w:type="dxa"/>
            <w:vAlign w:val="bottom"/>
            <w:gridSpan w:val="8"/>
          </w:tcPr>
          <w:p>
            <w:pPr>
              <w:jc w:val="right"/>
              <w:ind w:right="680"/>
              <w:spacing w:after="0"/>
              <w:rPr>
                <w:sz w:val="20"/>
                <w:szCs w:val="20"/>
                <w:color w:val="auto"/>
              </w:rPr>
            </w:pPr>
            <w:r>
              <w:rPr>
                <w:rFonts w:ascii="Arial" w:cs="Arial" w:eastAsia="Arial" w:hAnsi="Arial"/>
                <w:sz w:val="16"/>
                <w:szCs w:val="16"/>
                <w:b w:val="1"/>
                <w:bCs w:val="1"/>
                <w:color w:val="454545"/>
              </w:rPr>
              <w:t>For the three months ended September 30</w:t>
            </w:r>
          </w:p>
        </w:tc>
        <w:tc>
          <w:tcPr>
            <w:tcW w:w="240" w:type="dxa"/>
            <w:vAlign w:val="bottom"/>
          </w:tcPr>
          <w:p>
            <w:pPr>
              <w:spacing w:after="0"/>
              <w:rPr>
                <w:sz w:val="24"/>
                <w:szCs w:val="24"/>
                <w:color w:val="auto"/>
              </w:rPr>
            </w:pPr>
          </w:p>
        </w:tc>
        <w:tc>
          <w:tcPr>
            <w:tcW w:w="4260" w:type="dxa"/>
            <w:vAlign w:val="bottom"/>
            <w:gridSpan w:val="8"/>
          </w:tcPr>
          <w:p>
            <w:pPr>
              <w:jc w:val="right"/>
              <w:ind w:right="57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48"/>
        </w:trPr>
        <w:tc>
          <w:tcPr>
            <w:tcW w:w="2200" w:type="dxa"/>
            <w:vAlign w:val="bottom"/>
          </w:tcPr>
          <w:p>
            <w:pPr>
              <w:spacing w:after="0"/>
              <w:rPr>
                <w:sz w:val="4"/>
                <w:szCs w:val="4"/>
                <w:color w:val="auto"/>
              </w:rPr>
            </w:pPr>
          </w:p>
        </w:tc>
        <w:tc>
          <w:tcPr>
            <w:tcW w:w="980" w:type="dxa"/>
            <w:vAlign w:val="bottom"/>
            <w:tcBorders>
              <w:bottom w:val="single" w:sz="8" w:color="454545"/>
            </w:tcBorders>
            <w:gridSpan w:val="2"/>
          </w:tcPr>
          <w:p>
            <w:pPr>
              <w:spacing w:after="0"/>
              <w:rPr>
                <w:sz w:val="4"/>
                <w:szCs w:val="4"/>
                <w:color w:val="auto"/>
              </w:rPr>
            </w:pPr>
          </w:p>
        </w:tc>
        <w:tc>
          <w:tcPr>
            <w:tcW w:w="220" w:type="dxa"/>
            <w:vAlign w:val="bottom"/>
            <w:tcBorders>
              <w:bottom w:val="single" w:sz="8" w:color="454545"/>
            </w:tcBorders>
          </w:tcPr>
          <w:p>
            <w:pPr>
              <w:spacing w:after="0"/>
              <w:rPr>
                <w:sz w:val="4"/>
                <w:szCs w:val="4"/>
                <w:color w:val="auto"/>
              </w:rPr>
            </w:pPr>
          </w:p>
        </w:tc>
        <w:tc>
          <w:tcPr>
            <w:tcW w:w="800" w:type="dxa"/>
            <w:vAlign w:val="bottom"/>
            <w:tcBorders>
              <w:bottom w:val="single" w:sz="8" w:color="454545"/>
            </w:tcBorders>
          </w:tcPr>
          <w:p>
            <w:pPr>
              <w:spacing w:after="0"/>
              <w:rPr>
                <w:sz w:val="4"/>
                <w:szCs w:val="4"/>
                <w:color w:val="auto"/>
              </w:rPr>
            </w:pPr>
          </w:p>
        </w:tc>
        <w:tc>
          <w:tcPr>
            <w:tcW w:w="920" w:type="dxa"/>
            <w:vAlign w:val="bottom"/>
            <w:tcBorders>
              <w:bottom w:val="single" w:sz="8" w:color="454545"/>
            </w:tcBorders>
          </w:tcPr>
          <w:p>
            <w:pPr>
              <w:spacing w:after="0"/>
              <w:rPr>
                <w:sz w:val="4"/>
                <w:szCs w:val="4"/>
                <w:color w:val="auto"/>
              </w:rPr>
            </w:pPr>
          </w:p>
        </w:tc>
        <w:tc>
          <w:tcPr>
            <w:tcW w:w="1540" w:type="dxa"/>
            <w:vAlign w:val="bottom"/>
            <w:tcBorders>
              <w:bottom w:val="single" w:sz="8" w:color="454545"/>
            </w:tcBorders>
            <w:gridSpan w:val="3"/>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454545"/>
            </w:tcBorders>
          </w:tcPr>
          <w:p>
            <w:pPr>
              <w:spacing w:after="0"/>
              <w:rPr>
                <w:sz w:val="4"/>
                <w:szCs w:val="4"/>
                <w:color w:val="auto"/>
              </w:rPr>
            </w:pPr>
          </w:p>
        </w:tc>
        <w:tc>
          <w:tcPr>
            <w:tcW w:w="740" w:type="dxa"/>
            <w:vAlign w:val="bottom"/>
            <w:tcBorders>
              <w:bottom w:val="single" w:sz="8" w:color="454545"/>
            </w:tcBorders>
          </w:tcPr>
          <w:p>
            <w:pPr>
              <w:spacing w:after="0"/>
              <w:rPr>
                <w:sz w:val="4"/>
                <w:szCs w:val="4"/>
                <w:color w:val="auto"/>
              </w:rPr>
            </w:pPr>
          </w:p>
        </w:tc>
        <w:tc>
          <w:tcPr>
            <w:tcW w:w="980" w:type="dxa"/>
            <w:vAlign w:val="bottom"/>
            <w:tcBorders>
              <w:bottom w:val="single" w:sz="8" w:color="454545"/>
            </w:tcBorders>
            <w:gridSpan w:val="4"/>
          </w:tcPr>
          <w:p>
            <w:pPr>
              <w:spacing w:after="0"/>
              <w:rPr>
                <w:sz w:val="4"/>
                <w:szCs w:val="4"/>
                <w:color w:val="auto"/>
              </w:rPr>
            </w:pPr>
          </w:p>
        </w:tc>
        <w:tc>
          <w:tcPr>
            <w:tcW w:w="1020" w:type="dxa"/>
            <w:vAlign w:val="bottom"/>
            <w:tcBorders>
              <w:bottom w:val="single" w:sz="8" w:color="454545"/>
            </w:tcBorders>
          </w:tcPr>
          <w:p>
            <w:pPr>
              <w:spacing w:after="0"/>
              <w:rPr>
                <w:sz w:val="4"/>
                <w:szCs w:val="4"/>
                <w:color w:val="auto"/>
              </w:rPr>
            </w:pPr>
          </w:p>
        </w:tc>
        <w:tc>
          <w:tcPr>
            <w:tcW w:w="1520" w:type="dxa"/>
            <w:vAlign w:val="bottom"/>
            <w:tcBorders>
              <w:bottom w:val="single" w:sz="8" w:color="454545"/>
            </w:tcBorders>
            <w:gridSpan w:val="2"/>
          </w:tcPr>
          <w:p>
            <w:pPr>
              <w:spacing w:after="0"/>
              <w:rPr>
                <w:sz w:val="4"/>
                <w:szCs w:val="4"/>
                <w:color w:val="auto"/>
              </w:rPr>
            </w:pPr>
          </w:p>
        </w:tc>
      </w:tr>
      <w:tr>
        <w:trPr>
          <w:trHeight w:val="229"/>
        </w:trPr>
        <w:tc>
          <w:tcPr>
            <w:tcW w:w="2200" w:type="dxa"/>
            <w:vAlign w:val="bottom"/>
          </w:tcPr>
          <w:p>
            <w:pPr>
              <w:spacing w:after="0"/>
              <w:rPr>
                <w:sz w:val="19"/>
                <w:szCs w:val="19"/>
                <w:color w:val="auto"/>
              </w:rPr>
            </w:pPr>
          </w:p>
        </w:tc>
        <w:tc>
          <w:tcPr>
            <w:tcW w:w="98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454545"/>
              </w:rPr>
              <w:t>2024</w:t>
            </w:r>
          </w:p>
        </w:tc>
        <w:tc>
          <w:tcPr>
            <w:tcW w:w="220" w:type="dxa"/>
            <w:vAlign w:val="bottom"/>
          </w:tcPr>
          <w:p>
            <w:pPr>
              <w:spacing w:after="0"/>
              <w:rPr>
                <w:sz w:val="19"/>
                <w:szCs w:val="19"/>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454545"/>
              </w:rPr>
              <w:t>2023</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 change</w:t>
            </w:r>
          </w:p>
        </w:tc>
        <w:tc>
          <w:tcPr>
            <w:tcW w:w="16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454545"/>
              </w:rPr>
              <w:t>% organic* change</w:t>
            </w:r>
          </w:p>
        </w:tc>
        <w:tc>
          <w:tcPr>
            <w:tcW w:w="240" w:type="dxa"/>
            <w:vAlign w:val="bottom"/>
          </w:tcPr>
          <w:p>
            <w:pPr>
              <w:spacing w:after="0"/>
              <w:rPr>
                <w:sz w:val="19"/>
                <w:szCs w:val="19"/>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2024</w:t>
            </w:r>
          </w:p>
        </w:tc>
        <w:tc>
          <w:tcPr>
            <w:tcW w:w="980" w:type="dxa"/>
            <w:vAlign w:val="bottom"/>
            <w:gridSpan w:val="4"/>
          </w:tcPr>
          <w:p>
            <w:pPr>
              <w:jc w:val="right"/>
              <w:ind w:right="280"/>
              <w:spacing w:after="0"/>
              <w:rPr>
                <w:sz w:val="20"/>
                <w:szCs w:val="20"/>
                <w:color w:val="auto"/>
              </w:rPr>
            </w:pPr>
            <w:r>
              <w:rPr>
                <w:rFonts w:ascii="Arial" w:cs="Arial" w:eastAsia="Arial" w:hAnsi="Arial"/>
                <w:sz w:val="16"/>
                <w:szCs w:val="16"/>
                <w:b w:val="1"/>
                <w:bCs w:val="1"/>
                <w:color w:val="454545"/>
              </w:rPr>
              <w:t>2023</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15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 organic* change</w:t>
            </w:r>
          </w:p>
        </w:tc>
      </w:tr>
      <w:tr>
        <w:trPr>
          <w:trHeight w:val="21"/>
        </w:trPr>
        <w:tc>
          <w:tcPr>
            <w:tcW w:w="220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2200" w:type="dxa"/>
            <w:vAlign w:val="bottom"/>
            <w:tcBorders>
              <w:bottom w:val="single" w:sz="8" w:color="E4E4E4"/>
            </w:tcBorders>
            <w:shd w:val="clear" w:color="auto" w:fill="E4E4E4"/>
          </w:tcPr>
          <w:p>
            <w:pPr>
              <w:ind w:left="60"/>
              <w:spacing w:after="0"/>
              <w:rPr>
                <w:sz w:val="20"/>
                <w:szCs w:val="20"/>
                <w:color w:val="auto"/>
              </w:rPr>
            </w:pPr>
            <w:r>
              <w:rPr>
                <w:rFonts w:ascii="Arial" w:cs="Arial" w:eastAsia="Arial" w:hAnsi="Arial"/>
                <w:sz w:val="16"/>
                <w:szCs w:val="16"/>
                <w:color w:val="auto"/>
              </w:rPr>
              <w:t>Segment revenues</w:t>
            </w:r>
          </w:p>
        </w:tc>
        <w:tc>
          <w:tcPr>
            <w:tcW w:w="48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0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r>
      <w:tr>
        <w:trPr>
          <w:trHeight w:val="268"/>
        </w:trPr>
        <w:tc>
          <w:tcPr>
            <w:tcW w:w="2200" w:type="dxa"/>
            <w:vAlign w:val="bottom"/>
          </w:tcPr>
          <w:p>
            <w:pPr>
              <w:ind w:left="300"/>
              <w:spacing w:after="0"/>
              <w:rPr>
                <w:sz w:val="20"/>
                <w:szCs w:val="20"/>
                <w:color w:val="auto"/>
              </w:rPr>
            </w:pPr>
            <w:r>
              <w:rPr>
                <w:rFonts w:ascii="Arial" w:cs="Arial" w:eastAsia="Arial" w:hAnsi="Arial"/>
                <w:sz w:val="16"/>
                <w:szCs w:val="16"/>
                <w:color w:val="auto"/>
              </w:rPr>
              <w:t>Imaging</w:t>
            </w: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2,229</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2,236</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6,462</w:t>
            </w:r>
          </w:p>
        </w:tc>
        <w:tc>
          <w:tcPr>
            <w:tcW w:w="46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6,552</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2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22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AVS</w:t>
            </w:r>
          </w:p>
        </w:tc>
        <w:tc>
          <w:tcPr>
            <w:tcW w:w="480" w:type="dxa"/>
            <w:vAlign w:val="bottom"/>
            <w:tcBorders>
              <w:bottom w:val="single" w:sz="8" w:color="E4E4E4"/>
            </w:tcBorders>
            <w:shd w:val="clear" w:color="auto" w:fill="E4E4E4"/>
          </w:tcPr>
          <w:p>
            <w:pPr>
              <w:spacing w:after="0"/>
              <w:rPr>
                <w:sz w:val="24"/>
                <w:szCs w:val="24"/>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1,216</w:t>
            </w: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1,214</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4"/>
                <w:szCs w:val="24"/>
                <w:color w:val="auto"/>
              </w:rPr>
            </w:pPr>
          </w:p>
        </w:tc>
        <w:tc>
          <w:tcPr>
            <w:tcW w:w="240" w:type="dxa"/>
            <w:vAlign w:val="bottom"/>
            <w:tcBorders>
              <w:bottom w:val="single" w:sz="8" w:color="E4E4E4"/>
            </w:tcBorders>
            <w:shd w:val="clear" w:color="auto" w:fill="E4E4E4"/>
          </w:tcPr>
          <w:p>
            <w:pPr>
              <w:spacing w:after="0"/>
              <w:rPr>
                <w:sz w:val="24"/>
                <w:szCs w:val="24"/>
                <w:color w:val="auto"/>
              </w:rPr>
            </w:pPr>
          </w:p>
        </w:tc>
        <w:tc>
          <w:tcPr>
            <w:tcW w:w="11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3,692</w:t>
            </w:r>
          </w:p>
        </w:tc>
        <w:tc>
          <w:tcPr>
            <w:tcW w:w="460" w:type="dxa"/>
            <w:vAlign w:val="bottom"/>
            <w:tcBorders>
              <w:bottom w:val="single" w:sz="8" w:color="E4E4E4"/>
            </w:tcBorders>
            <w:shd w:val="clear" w:color="auto" w:fill="E4E4E4"/>
          </w:tcPr>
          <w:p>
            <w:pPr>
              <w:spacing w:after="0"/>
              <w:rPr>
                <w:sz w:val="24"/>
                <w:szCs w:val="24"/>
                <w:color w:val="auto"/>
              </w:rPr>
            </w:pPr>
          </w:p>
        </w:tc>
        <w:tc>
          <w:tcPr>
            <w:tcW w:w="520" w:type="dxa"/>
            <w:vAlign w:val="bottom"/>
            <w:tcBorders>
              <w:bottom w:val="single" w:sz="8" w:color="E4E4E4"/>
            </w:tcBorders>
            <w:gridSpan w:val="3"/>
            <w:shd w:val="clear" w:color="auto" w:fill="E4E4E4"/>
          </w:tcPr>
          <w:p>
            <w:pPr>
              <w:jc w:val="right"/>
              <w:ind w:right="20"/>
              <w:spacing w:after="0"/>
              <w:rPr>
                <w:sz w:val="20"/>
                <w:szCs w:val="20"/>
                <w:color w:val="auto"/>
              </w:rPr>
            </w:pPr>
            <w:r>
              <w:rPr>
                <w:rFonts w:ascii="Arial" w:cs="Arial" w:eastAsia="Arial" w:hAnsi="Arial"/>
                <w:sz w:val="16"/>
                <w:szCs w:val="16"/>
                <w:color w:val="auto"/>
              </w:rPr>
              <w:t>3,712</w:t>
            </w: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w:t>
            </w:r>
          </w:p>
        </w:tc>
        <w:tc>
          <w:tcPr>
            <w:tcW w:w="600" w:type="dxa"/>
            <w:vAlign w:val="bottom"/>
            <w:tcBorders>
              <w:bottom w:val="single" w:sz="8" w:color="E4E4E4"/>
            </w:tcBorders>
            <w:shd w:val="clear" w:color="auto" w:fill="E4E4E4"/>
          </w:tcPr>
          <w:p>
            <w:pPr>
              <w:spacing w:after="0"/>
              <w:rPr>
                <w:sz w:val="24"/>
                <w:szCs w:val="24"/>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68"/>
        </w:trPr>
        <w:tc>
          <w:tcPr>
            <w:tcW w:w="2200" w:type="dxa"/>
            <w:vAlign w:val="bottom"/>
          </w:tcPr>
          <w:p>
            <w:pPr>
              <w:ind w:left="300"/>
              <w:spacing w:after="0"/>
              <w:rPr>
                <w:sz w:val="20"/>
                <w:szCs w:val="20"/>
                <w:color w:val="auto"/>
              </w:rPr>
            </w:pPr>
            <w:r>
              <w:rPr>
                <w:rFonts w:ascii="Arial" w:cs="Arial" w:eastAsia="Arial" w:hAnsi="Arial"/>
                <w:sz w:val="16"/>
                <w:szCs w:val="16"/>
                <w:color w:val="auto"/>
              </w:rPr>
              <w:t>PCS</w:t>
            </w:r>
          </w:p>
        </w:tc>
        <w:tc>
          <w:tcPr>
            <w:tcW w:w="48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779</w:t>
            </w: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764</w:t>
            </w: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2,298</w:t>
            </w:r>
          </w:p>
        </w:tc>
        <w:tc>
          <w:tcPr>
            <w:tcW w:w="460" w:type="dxa"/>
            <w:vAlign w:val="bottom"/>
          </w:tcPr>
          <w:p>
            <w:pPr>
              <w:spacing w:after="0"/>
              <w:rPr>
                <w:sz w:val="23"/>
                <w:szCs w:val="23"/>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rPr>
              <w:t>2,315</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6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2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gridSpan w:val="3"/>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7"/>
        </w:trPr>
        <w:tc>
          <w:tcPr>
            <w:tcW w:w="22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480" w:type="dxa"/>
            <w:vAlign w:val="bottom"/>
            <w:tcBorders>
              <w:bottom w:val="single" w:sz="8" w:color="E4E4E4"/>
            </w:tcBorders>
            <w:shd w:val="clear" w:color="auto" w:fill="E4E4E4"/>
          </w:tcPr>
          <w:p>
            <w:pPr>
              <w:spacing w:after="0"/>
              <w:rPr>
                <w:sz w:val="24"/>
                <w:szCs w:val="24"/>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625</w:t>
            </w:r>
          </w:p>
        </w:tc>
        <w:tc>
          <w:tcPr>
            <w:tcW w:w="220" w:type="dxa"/>
            <w:vAlign w:val="bottom"/>
            <w:tcBorders>
              <w:bottom w:val="single" w:sz="8" w:color="E4E4E4"/>
            </w:tcBorders>
            <w:shd w:val="clear" w:color="auto" w:fill="E4E4E4"/>
          </w:tcPr>
          <w:p>
            <w:pPr>
              <w:spacing w:after="0"/>
              <w:rPr>
                <w:sz w:val="24"/>
                <w:szCs w:val="24"/>
                <w:color w:val="auto"/>
              </w:rPr>
            </w:pP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589</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00" w:type="dxa"/>
            <w:vAlign w:val="bottom"/>
            <w:tcBorders>
              <w:bottom w:val="single" w:sz="8" w:color="E4E4E4"/>
            </w:tcBorders>
            <w:shd w:val="clear" w:color="auto" w:fill="E4E4E4"/>
          </w:tcPr>
          <w:p>
            <w:pPr>
              <w:spacing w:after="0"/>
              <w:rPr>
                <w:sz w:val="24"/>
                <w:szCs w:val="24"/>
                <w:color w:val="auto"/>
              </w:rPr>
            </w:pPr>
          </w:p>
        </w:tc>
        <w:tc>
          <w:tcPr>
            <w:tcW w:w="24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4"/>
                <w:szCs w:val="24"/>
                <w:color w:val="auto"/>
              </w:rPr>
            </w:pPr>
          </w:p>
        </w:tc>
        <w:tc>
          <w:tcPr>
            <w:tcW w:w="24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1,862</w:t>
            </w:r>
          </w:p>
        </w:tc>
        <w:tc>
          <w:tcPr>
            <w:tcW w:w="460" w:type="dxa"/>
            <w:vAlign w:val="bottom"/>
            <w:tcBorders>
              <w:bottom w:val="single" w:sz="8" w:color="E4E4E4"/>
            </w:tcBorders>
            <w:shd w:val="clear" w:color="auto" w:fill="E4E4E4"/>
          </w:tcPr>
          <w:p>
            <w:pPr>
              <w:spacing w:after="0"/>
              <w:rPr>
                <w:sz w:val="24"/>
                <w:szCs w:val="24"/>
                <w:color w:val="auto"/>
              </w:rPr>
            </w:pPr>
          </w:p>
        </w:tc>
        <w:tc>
          <w:tcPr>
            <w:tcW w:w="520" w:type="dxa"/>
            <w:vAlign w:val="bottom"/>
            <w:tcBorders>
              <w:bottom w:val="single" w:sz="8" w:color="E4E4E4"/>
            </w:tcBorders>
            <w:gridSpan w:val="3"/>
            <w:shd w:val="clear" w:color="auto" w:fill="E4E4E4"/>
          </w:tcPr>
          <w:p>
            <w:pPr>
              <w:jc w:val="right"/>
              <w:ind w:right="20"/>
              <w:spacing w:after="0"/>
              <w:rPr>
                <w:sz w:val="20"/>
                <w:szCs w:val="20"/>
                <w:color w:val="auto"/>
              </w:rPr>
            </w:pPr>
            <w:r>
              <w:rPr>
                <w:rFonts w:ascii="Arial" w:cs="Arial" w:eastAsia="Arial" w:hAnsi="Arial"/>
                <w:sz w:val="16"/>
                <w:szCs w:val="16"/>
                <w:color w:val="auto"/>
              </w:rPr>
              <w:t>1,715</w:t>
            </w: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9%</w:t>
            </w:r>
          </w:p>
        </w:tc>
        <w:tc>
          <w:tcPr>
            <w:tcW w:w="600" w:type="dxa"/>
            <w:vAlign w:val="bottom"/>
            <w:tcBorders>
              <w:bottom w:val="single" w:sz="8" w:color="E4E4E4"/>
            </w:tcBorders>
            <w:shd w:val="clear" w:color="auto" w:fill="E4E4E4"/>
          </w:tcPr>
          <w:p>
            <w:pPr>
              <w:spacing w:after="0"/>
              <w:rPr>
                <w:sz w:val="24"/>
                <w:szCs w:val="24"/>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r>
      <w:tr>
        <w:trPr>
          <w:trHeight w:val="291"/>
        </w:trPr>
        <w:tc>
          <w:tcPr>
            <w:tcW w:w="22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52</w:t>
            </w:r>
          </w:p>
        </w:tc>
        <w:tc>
          <w:tcPr>
            <w:tcW w:w="10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77"/>
        </w:trPr>
        <w:tc>
          <w:tcPr>
            <w:tcW w:w="22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480" w:type="dxa"/>
            <w:vAlign w:val="bottom"/>
            <w:tcBorders>
              <w:bottom w:val="single" w:sz="8" w:color="E4E4E4"/>
            </w:tcBorders>
            <w:shd w:val="clear" w:color="auto" w:fill="E4E4E4"/>
          </w:tcPr>
          <w:p>
            <w:pPr>
              <w:jc w:val="right"/>
              <w:ind w:right="2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4,863</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4,822</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Borders>
              <w:bottom w:val="single" w:sz="8" w:color="E4E4E4"/>
            </w:tcBorders>
            <w:shd w:val="clear" w:color="auto" w:fill="E4E4E4"/>
          </w:tcPr>
          <w:p>
            <w:pPr>
              <w:spacing w:after="0"/>
              <w:rPr>
                <w:sz w:val="24"/>
                <w:szCs w:val="24"/>
                <w:color w:val="auto"/>
              </w:rPr>
            </w:pPr>
          </w:p>
        </w:tc>
        <w:tc>
          <w:tcPr>
            <w:tcW w:w="240" w:type="dxa"/>
            <w:vAlign w:val="bottom"/>
            <w:tcBorders>
              <w:bottom w:val="single" w:sz="8" w:color="E4E4E4"/>
            </w:tcBorders>
            <w:shd w:val="clear" w:color="auto" w:fill="E4E4E4"/>
          </w:tcPr>
          <w:p>
            <w:pPr>
              <w:spacing w:after="0"/>
              <w:rPr>
                <w:sz w:val="24"/>
                <w:szCs w:val="24"/>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4E4E4"/>
            </w:tcBorders>
            <w:shd w:val="clear" w:color="auto" w:fill="E4E4E4"/>
          </w:tcPr>
          <w:p>
            <w:pPr>
              <w:spacing w:after="0"/>
              <w:rPr>
                <w:sz w:val="24"/>
                <w:szCs w:val="24"/>
                <w:color w:val="auto"/>
              </w:rPr>
            </w:pP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14,353</w:t>
            </w:r>
          </w:p>
        </w:tc>
        <w:tc>
          <w:tcPr>
            <w:tcW w:w="46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E4E4E4"/>
            </w:tcBorders>
            <w:gridSpan w:val="3"/>
            <w:shd w:val="clear" w:color="auto" w:fill="E4E4E4"/>
          </w:tcPr>
          <w:p>
            <w:pPr>
              <w:jc w:val="right"/>
              <w:ind w:right="20"/>
              <w:spacing w:after="0"/>
              <w:rPr>
                <w:sz w:val="20"/>
                <w:szCs w:val="20"/>
                <w:color w:val="auto"/>
              </w:rPr>
            </w:pPr>
            <w:r>
              <w:rPr>
                <w:rFonts w:ascii="Arial" w:cs="Arial" w:eastAsia="Arial" w:hAnsi="Arial"/>
                <w:sz w:val="16"/>
                <w:szCs w:val="16"/>
                <w:b w:val="1"/>
                <w:bCs w:val="1"/>
                <w:color w:val="auto"/>
                <w:w w:val="98"/>
              </w:rPr>
              <w:t>14,346</w:t>
            </w:r>
          </w:p>
        </w:tc>
        <w:tc>
          <w:tcPr>
            <w:tcW w:w="10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spacing w:after="0"/>
              <w:rPr>
                <w:sz w:val="24"/>
                <w:szCs w:val="24"/>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2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80" w:hanging="252"/>
        <w:spacing w:after="0" w:line="304" w:lineRule="auto"/>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6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260" w:type="dxa"/>
            <w:vAlign w:val="bottom"/>
          </w:tcPr>
          <w:p>
            <w:pPr>
              <w:spacing w:after="0"/>
              <w:rPr>
                <w:sz w:val="21"/>
                <w:szCs w:val="21"/>
                <w:color w:val="auto"/>
              </w:rPr>
            </w:pPr>
          </w:p>
        </w:tc>
        <w:tc>
          <w:tcPr>
            <w:tcW w:w="3900" w:type="dxa"/>
            <w:vAlign w:val="bottom"/>
            <w:gridSpan w:val="5"/>
          </w:tcPr>
          <w:p>
            <w:pPr>
              <w:ind w:left="160"/>
              <w:spacing w:after="0"/>
              <w:rPr>
                <w:sz w:val="20"/>
                <w:szCs w:val="20"/>
                <w:color w:val="auto"/>
              </w:rPr>
            </w:pPr>
            <w:r>
              <w:rPr>
                <w:rFonts w:ascii="Arial" w:cs="Arial" w:eastAsia="Arial" w:hAnsi="Arial"/>
                <w:sz w:val="16"/>
                <w:szCs w:val="16"/>
                <w:b w:val="1"/>
                <w:bCs w:val="1"/>
                <w:color w:val="454545"/>
              </w:rPr>
              <w:t>For the three months ended September 30</w:t>
            </w:r>
          </w:p>
        </w:tc>
        <w:tc>
          <w:tcPr>
            <w:tcW w:w="280" w:type="dxa"/>
            <w:vAlign w:val="bottom"/>
          </w:tcPr>
          <w:p>
            <w:pPr>
              <w:spacing w:after="0"/>
              <w:rPr>
                <w:sz w:val="21"/>
                <w:szCs w:val="21"/>
                <w:color w:val="auto"/>
              </w:rPr>
            </w:pPr>
          </w:p>
        </w:tc>
        <w:tc>
          <w:tcPr>
            <w:tcW w:w="384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2023</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454545"/>
              </w:rPr>
              <w:t>% change</w:t>
            </w:r>
          </w:p>
        </w:tc>
        <w:tc>
          <w:tcPr>
            <w:tcW w:w="280" w:type="dxa"/>
            <w:vAlign w:val="bottom"/>
          </w:tcPr>
          <w:p>
            <w:pPr>
              <w:spacing w:after="0"/>
              <w:rPr>
                <w:sz w:val="19"/>
                <w:szCs w:val="19"/>
                <w:color w:val="auto"/>
              </w:rPr>
            </w:pPr>
          </w:p>
        </w:tc>
        <w:tc>
          <w:tcPr>
            <w:tcW w:w="112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2024</w:t>
            </w:r>
          </w:p>
        </w:tc>
        <w:tc>
          <w:tcPr>
            <w:tcW w:w="360" w:type="dxa"/>
            <w:vAlign w:val="bottom"/>
          </w:tcPr>
          <w:p>
            <w:pPr>
              <w:spacing w:after="0"/>
              <w:rPr>
                <w:sz w:val="19"/>
                <w:szCs w:val="19"/>
                <w:color w:val="auto"/>
              </w:rPr>
            </w:pPr>
          </w:p>
        </w:tc>
        <w:tc>
          <w:tcPr>
            <w:tcW w:w="120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2023</w:t>
            </w:r>
          </w:p>
        </w:tc>
        <w:tc>
          <w:tcPr>
            <w:tcW w:w="1160" w:type="dxa"/>
            <w:vAlign w:val="bottom"/>
          </w:tcPr>
          <w:p>
            <w:pPr>
              <w:jc w:val="right"/>
              <w:ind w:right="15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29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E4E4E4"/>
          </w:tcPr>
          <w:p>
            <w:pPr>
              <w:ind w:left="80"/>
              <w:spacing w:after="0"/>
              <w:rPr>
                <w:sz w:val="20"/>
                <w:szCs w:val="20"/>
                <w:color w:val="auto"/>
              </w:rPr>
            </w:pPr>
            <w:r>
              <w:rPr>
                <w:rFonts w:ascii="Arial" w:cs="Arial" w:eastAsia="Arial" w:hAnsi="Arial"/>
                <w:sz w:val="16"/>
                <w:szCs w:val="16"/>
                <w:color w:val="auto"/>
              </w:rPr>
              <w:t>United States and Canada</w:t>
            </w:r>
          </w:p>
        </w:tc>
        <w:tc>
          <w:tcPr>
            <w:tcW w:w="260" w:type="dxa"/>
            <w:vAlign w:val="bottom"/>
            <w:vMerge w:val="restart"/>
            <w:shd w:val="clear" w:color="auto" w:fill="E4E4E4"/>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2,246</w:t>
            </w:r>
          </w:p>
        </w:tc>
        <w:tc>
          <w:tcPr>
            <w:tcW w:w="340" w:type="dxa"/>
            <w:vAlign w:val="bottom"/>
            <w:vMerge w:val="restart"/>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4E4E4"/>
          </w:tcPr>
          <w:p>
            <w:pPr>
              <w:jc w:val="right"/>
              <w:ind w:right="79"/>
              <w:spacing w:after="0"/>
              <w:rPr>
                <w:sz w:val="20"/>
                <w:szCs w:val="20"/>
                <w:color w:val="auto"/>
              </w:rPr>
            </w:pPr>
            <w:r>
              <w:rPr>
                <w:rFonts w:ascii="Arial" w:cs="Arial" w:eastAsia="Arial" w:hAnsi="Arial"/>
                <w:sz w:val="16"/>
                <w:szCs w:val="16"/>
                <w:color w:val="auto"/>
              </w:rPr>
              <w:t>2,075</w:t>
            </w:r>
          </w:p>
        </w:tc>
        <w:tc>
          <w:tcPr>
            <w:tcW w:w="116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80" w:type="dxa"/>
            <w:vAlign w:val="bottom"/>
            <w:shd w:val="clear" w:color="auto" w:fill="E4E4E4"/>
          </w:tcPr>
          <w:p>
            <w:pPr>
              <w:spacing w:after="0"/>
              <w:rPr>
                <w:sz w:val="18"/>
                <w:szCs w:val="18"/>
                <w:color w:val="auto"/>
              </w:rPr>
            </w:pPr>
          </w:p>
        </w:tc>
        <w:tc>
          <w:tcPr>
            <w:tcW w:w="280" w:type="dxa"/>
            <w:vAlign w:val="bottom"/>
            <w:vMerge w:val="restart"/>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6,582</w:t>
            </w:r>
          </w:p>
        </w:tc>
        <w:tc>
          <w:tcPr>
            <w:tcW w:w="360" w:type="dxa"/>
            <w:vAlign w:val="bottom"/>
            <w:vMerge w:val="restart"/>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E4E4E4"/>
          </w:tcPr>
          <w:p>
            <w:pPr>
              <w:jc w:val="right"/>
              <w:ind w:right="79"/>
              <w:spacing w:after="0"/>
              <w:rPr>
                <w:sz w:val="20"/>
                <w:szCs w:val="20"/>
                <w:color w:val="auto"/>
              </w:rPr>
            </w:pPr>
            <w:r>
              <w:rPr>
                <w:rFonts w:ascii="Arial" w:cs="Arial" w:eastAsia="Arial" w:hAnsi="Arial"/>
                <w:sz w:val="16"/>
                <w:szCs w:val="16"/>
                <w:color w:val="auto"/>
              </w:rPr>
              <w:t>6,297</w:t>
            </w:r>
          </w:p>
        </w:tc>
        <w:tc>
          <w:tcPr>
            <w:tcW w:w="116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20"/>
        </w:trPr>
        <w:tc>
          <w:tcPr>
            <w:tcW w:w="2960" w:type="dxa"/>
            <w:vAlign w:val="bottom"/>
            <w:vMerge w:val="restart"/>
            <w:shd w:val="clear" w:color="auto" w:fill="E4E4E4"/>
          </w:tcPr>
          <w:p>
            <w:pPr>
              <w:ind w:left="260"/>
              <w:spacing w:after="0"/>
              <w:rPr>
                <w:sz w:val="20"/>
                <w:szCs w:val="20"/>
                <w:color w:val="auto"/>
              </w:rPr>
            </w:pPr>
            <w:r>
              <w:rPr>
                <w:rFonts w:ascii="Arial" w:cs="Arial" w:eastAsia="Arial" w:hAnsi="Arial"/>
                <w:sz w:val="16"/>
                <w:szCs w:val="16"/>
                <w:color w:val="auto"/>
              </w:rPr>
              <w:t>(“USCAN”)</w:t>
            </w:r>
          </w:p>
        </w:tc>
        <w:tc>
          <w:tcPr>
            <w:tcW w:w="260" w:type="dxa"/>
            <w:vAlign w:val="bottom"/>
            <w:vMerge w:val="continue"/>
            <w:shd w:val="clear" w:color="auto" w:fill="E4E4E4"/>
          </w:tcPr>
          <w:p>
            <w:pPr>
              <w:spacing w:after="0"/>
              <w:rPr>
                <w:sz w:val="10"/>
                <w:szCs w:val="10"/>
                <w:color w:val="auto"/>
              </w:rPr>
            </w:pPr>
          </w:p>
        </w:tc>
        <w:tc>
          <w:tcPr>
            <w:tcW w:w="1120" w:type="dxa"/>
            <w:vAlign w:val="bottom"/>
            <w:vMerge w:val="continue"/>
            <w:shd w:val="clear" w:color="auto" w:fill="E4E4E4"/>
          </w:tcPr>
          <w:p>
            <w:pPr>
              <w:spacing w:after="0"/>
              <w:rPr>
                <w:sz w:val="10"/>
                <w:szCs w:val="10"/>
                <w:color w:val="auto"/>
              </w:rPr>
            </w:pPr>
          </w:p>
        </w:tc>
        <w:tc>
          <w:tcPr>
            <w:tcW w:w="340" w:type="dxa"/>
            <w:vAlign w:val="bottom"/>
            <w:vMerge w:val="continue"/>
            <w:shd w:val="clear" w:color="auto" w:fill="E4E4E4"/>
          </w:tcPr>
          <w:p>
            <w:pPr>
              <w:spacing w:after="0"/>
              <w:rPr>
                <w:sz w:val="10"/>
                <w:szCs w:val="10"/>
                <w:color w:val="auto"/>
              </w:rPr>
            </w:pPr>
          </w:p>
        </w:tc>
        <w:tc>
          <w:tcPr>
            <w:tcW w:w="1200" w:type="dxa"/>
            <w:vAlign w:val="bottom"/>
            <w:vMerge w:val="continue"/>
            <w:shd w:val="clear" w:color="auto" w:fill="E4E4E4"/>
          </w:tcPr>
          <w:p>
            <w:pPr>
              <w:spacing w:after="0"/>
              <w:rPr>
                <w:sz w:val="10"/>
                <w:szCs w:val="10"/>
                <w:color w:val="auto"/>
              </w:rPr>
            </w:pPr>
          </w:p>
        </w:tc>
        <w:tc>
          <w:tcPr>
            <w:tcW w:w="1160" w:type="dxa"/>
            <w:vAlign w:val="bottom"/>
            <w:vMerge w:val="continue"/>
            <w:shd w:val="clear" w:color="auto" w:fill="E4E4E4"/>
          </w:tcPr>
          <w:p>
            <w:pPr>
              <w:spacing w:after="0"/>
              <w:rPr>
                <w:sz w:val="10"/>
                <w:szCs w:val="10"/>
                <w:color w:val="auto"/>
              </w:rPr>
            </w:pPr>
          </w:p>
        </w:tc>
        <w:tc>
          <w:tcPr>
            <w:tcW w:w="80" w:type="dxa"/>
            <w:vAlign w:val="bottom"/>
            <w:shd w:val="clear" w:color="auto" w:fill="E4E4E4"/>
          </w:tcPr>
          <w:p>
            <w:pPr>
              <w:spacing w:after="0"/>
              <w:rPr>
                <w:sz w:val="10"/>
                <w:szCs w:val="10"/>
                <w:color w:val="auto"/>
              </w:rPr>
            </w:pPr>
          </w:p>
        </w:tc>
        <w:tc>
          <w:tcPr>
            <w:tcW w:w="280" w:type="dxa"/>
            <w:vAlign w:val="bottom"/>
            <w:vMerge w:val="continue"/>
            <w:shd w:val="clear" w:color="auto" w:fill="E4E4E4"/>
          </w:tcPr>
          <w:p>
            <w:pPr>
              <w:spacing w:after="0"/>
              <w:rPr>
                <w:sz w:val="10"/>
                <w:szCs w:val="10"/>
                <w:color w:val="auto"/>
              </w:rPr>
            </w:pPr>
          </w:p>
        </w:tc>
        <w:tc>
          <w:tcPr>
            <w:tcW w:w="1120" w:type="dxa"/>
            <w:vAlign w:val="bottom"/>
            <w:vMerge w:val="continue"/>
            <w:shd w:val="clear" w:color="auto" w:fill="E4E4E4"/>
          </w:tcPr>
          <w:p>
            <w:pPr>
              <w:spacing w:after="0"/>
              <w:rPr>
                <w:sz w:val="10"/>
                <w:szCs w:val="10"/>
                <w:color w:val="auto"/>
              </w:rPr>
            </w:pPr>
          </w:p>
        </w:tc>
        <w:tc>
          <w:tcPr>
            <w:tcW w:w="360" w:type="dxa"/>
            <w:vAlign w:val="bottom"/>
            <w:vMerge w:val="continue"/>
            <w:shd w:val="clear" w:color="auto" w:fill="E4E4E4"/>
          </w:tcPr>
          <w:p>
            <w:pPr>
              <w:spacing w:after="0"/>
              <w:rPr>
                <w:sz w:val="10"/>
                <w:szCs w:val="10"/>
                <w:color w:val="auto"/>
              </w:rPr>
            </w:pPr>
          </w:p>
        </w:tc>
        <w:tc>
          <w:tcPr>
            <w:tcW w:w="1200" w:type="dxa"/>
            <w:vAlign w:val="bottom"/>
            <w:vMerge w:val="continue"/>
            <w:shd w:val="clear" w:color="auto" w:fill="E4E4E4"/>
          </w:tcPr>
          <w:p>
            <w:pPr>
              <w:spacing w:after="0"/>
              <w:rPr>
                <w:sz w:val="10"/>
                <w:szCs w:val="10"/>
                <w:color w:val="auto"/>
              </w:rPr>
            </w:pPr>
          </w:p>
        </w:tc>
        <w:tc>
          <w:tcPr>
            <w:tcW w:w="1160" w:type="dxa"/>
            <w:vAlign w:val="bottom"/>
            <w:vMerge w:val="continue"/>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960" w:type="dxa"/>
            <w:vAlign w:val="bottom"/>
            <w:tcBorders>
              <w:bottom w:val="single" w:sz="8" w:color="E4E4E4"/>
            </w:tcBorders>
            <w:vMerge w:val="continue"/>
            <w:shd w:val="clear" w:color="auto" w:fill="E4E4E4"/>
          </w:tcPr>
          <w:p>
            <w:pPr>
              <w:spacing w:after="0"/>
              <w:rPr>
                <w:sz w:val="11"/>
                <w:szCs w:val="11"/>
                <w:color w:val="auto"/>
              </w:rPr>
            </w:pPr>
          </w:p>
        </w:tc>
        <w:tc>
          <w:tcPr>
            <w:tcW w:w="260" w:type="dxa"/>
            <w:vAlign w:val="bottom"/>
            <w:tcBorders>
              <w:bottom w:val="single" w:sz="8" w:color="E4E4E4"/>
            </w:tcBorders>
            <w:shd w:val="clear" w:color="auto" w:fill="E4E4E4"/>
          </w:tcPr>
          <w:p>
            <w:pPr>
              <w:spacing w:after="0"/>
              <w:rPr>
                <w:sz w:val="11"/>
                <w:szCs w:val="11"/>
                <w:color w:val="auto"/>
              </w:rPr>
            </w:pPr>
          </w:p>
        </w:tc>
        <w:tc>
          <w:tcPr>
            <w:tcW w:w="1120" w:type="dxa"/>
            <w:vAlign w:val="bottom"/>
            <w:tcBorders>
              <w:bottom w:val="single" w:sz="8" w:color="E4E4E4"/>
            </w:tcBorders>
            <w:shd w:val="clear" w:color="auto" w:fill="E4E4E4"/>
          </w:tcPr>
          <w:p>
            <w:pPr>
              <w:spacing w:after="0"/>
              <w:rPr>
                <w:sz w:val="11"/>
                <w:szCs w:val="11"/>
                <w:color w:val="auto"/>
              </w:rPr>
            </w:pPr>
          </w:p>
        </w:tc>
        <w:tc>
          <w:tcPr>
            <w:tcW w:w="340" w:type="dxa"/>
            <w:vAlign w:val="bottom"/>
            <w:tcBorders>
              <w:bottom w:val="single" w:sz="8" w:color="E4E4E4"/>
            </w:tcBorders>
            <w:shd w:val="clear" w:color="auto" w:fill="E4E4E4"/>
          </w:tcPr>
          <w:p>
            <w:pPr>
              <w:spacing w:after="0"/>
              <w:rPr>
                <w:sz w:val="11"/>
                <w:szCs w:val="11"/>
                <w:color w:val="auto"/>
              </w:rPr>
            </w:pPr>
          </w:p>
        </w:tc>
        <w:tc>
          <w:tcPr>
            <w:tcW w:w="1200" w:type="dxa"/>
            <w:vAlign w:val="bottom"/>
            <w:tcBorders>
              <w:bottom w:val="single" w:sz="8" w:color="E4E4E4"/>
            </w:tcBorders>
            <w:shd w:val="clear" w:color="auto" w:fill="E4E4E4"/>
          </w:tcPr>
          <w:p>
            <w:pPr>
              <w:spacing w:after="0"/>
              <w:rPr>
                <w:sz w:val="11"/>
                <w:szCs w:val="11"/>
                <w:color w:val="auto"/>
              </w:rPr>
            </w:pPr>
          </w:p>
        </w:tc>
        <w:tc>
          <w:tcPr>
            <w:tcW w:w="1160" w:type="dxa"/>
            <w:vAlign w:val="bottom"/>
            <w:tcBorders>
              <w:bottom w:val="single" w:sz="8" w:color="E4E4E4"/>
            </w:tcBorders>
            <w:shd w:val="clear" w:color="auto" w:fill="E4E4E4"/>
          </w:tcPr>
          <w:p>
            <w:pPr>
              <w:spacing w:after="0"/>
              <w:rPr>
                <w:sz w:val="11"/>
                <w:szCs w:val="11"/>
                <w:color w:val="auto"/>
              </w:rPr>
            </w:pPr>
          </w:p>
        </w:tc>
        <w:tc>
          <w:tcPr>
            <w:tcW w:w="80" w:type="dxa"/>
            <w:vAlign w:val="bottom"/>
            <w:tcBorders>
              <w:bottom w:val="single" w:sz="8" w:color="E4E4E4"/>
            </w:tcBorders>
            <w:shd w:val="clear" w:color="auto" w:fill="E4E4E4"/>
          </w:tcPr>
          <w:p>
            <w:pPr>
              <w:spacing w:after="0"/>
              <w:rPr>
                <w:sz w:val="11"/>
                <w:szCs w:val="11"/>
                <w:color w:val="auto"/>
              </w:rPr>
            </w:pPr>
          </w:p>
        </w:tc>
        <w:tc>
          <w:tcPr>
            <w:tcW w:w="280" w:type="dxa"/>
            <w:vAlign w:val="bottom"/>
            <w:tcBorders>
              <w:bottom w:val="single" w:sz="8" w:color="E4E4E4"/>
            </w:tcBorders>
            <w:shd w:val="clear" w:color="auto" w:fill="E4E4E4"/>
          </w:tcPr>
          <w:p>
            <w:pPr>
              <w:spacing w:after="0"/>
              <w:rPr>
                <w:sz w:val="11"/>
                <w:szCs w:val="11"/>
                <w:color w:val="auto"/>
              </w:rPr>
            </w:pPr>
          </w:p>
        </w:tc>
        <w:tc>
          <w:tcPr>
            <w:tcW w:w="1120" w:type="dxa"/>
            <w:vAlign w:val="bottom"/>
            <w:tcBorders>
              <w:bottom w:val="single" w:sz="8" w:color="E4E4E4"/>
            </w:tcBorders>
            <w:shd w:val="clear" w:color="auto" w:fill="E4E4E4"/>
          </w:tcPr>
          <w:p>
            <w:pPr>
              <w:spacing w:after="0"/>
              <w:rPr>
                <w:sz w:val="11"/>
                <w:szCs w:val="11"/>
                <w:color w:val="auto"/>
              </w:rPr>
            </w:pPr>
          </w:p>
        </w:tc>
        <w:tc>
          <w:tcPr>
            <w:tcW w:w="360" w:type="dxa"/>
            <w:vAlign w:val="bottom"/>
            <w:tcBorders>
              <w:bottom w:val="single" w:sz="8" w:color="E4E4E4"/>
            </w:tcBorders>
            <w:shd w:val="clear" w:color="auto" w:fill="E4E4E4"/>
          </w:tcPr>
          <w:p>
            <w:pPr>
              <w:spacing w:after="0"/>
              <w:rPr>
                <w:sz w:val="11"/>
                <w:szCs w:val="11"/>
                <w:color w:val="auto"/>
              </w:rPr>
            </w:pPr>
          </w:p>
        </w:tc>
        <w:tc>
          <w:tcPr>
            <w:tcW w:w="1200" w:type="dxa"/>
            <w:vAlign w:val="bottom"/>
            <w:tcBorders>
              <w:bottom w:val="single" w:sz="8" w:color="E4E4E4"/>
            </w:tcBorders>
            <w:shd w:val="clear" w:color="auto" w:fill="E4E4E4"/>
          </w:tcPr>
          <w:p>
            <w:pPr>
              <w:spacing w:after="0"/>
              <w:rPr>
                <w:sz w:val="11"/>
                <w:szCs w:val="11"/>
                <w:color w:val="auto"/>
              </w:rPr>
            </w:pPr>
          </w:p>
        </w:tc>
        <w:tc>
          <w:tcPr>
            <w:tcW w:w="1160" w:type="dxa"/>
            <w:vAlign w:val="bottom"/>
            <w:tcBorders>
              <w:bottom w:val="single" w:sz="8" w:color="E4E4E4"/>
            </w:tcBorders>
            <w:shd w:val="clear" w:color="auto" w:fill="E4E4E4"/>
          </w:tcPr>
          <w:p>
            <w:pPr>
              <w:spacing w:after="0"/>
              <w:rPr>
                <w:sz w:val="11"/>
                <w:szCs w:val="11"/>
                <w:color w:val="auto"/>
              </w:rPr>
            </w:pPr>
          </w:p>
        </w:tc>
        <w:tc>
          <w:tcPr>
            <w:tcW w:w="0" w:type="dxa"/>
            <w:vAlign w:val="bottom"/>
          </w:tcPr>
          <w:p>
            <w:pPr>
              <w:spacing w:after="0"/>
              <w:rPr>
                <w:sz w:val="1"/>
                <w:szCs w:val="1"/>
                <w:color w:val="auto"/>
              </w:rPr>
            </w:pPr>
          </w:p>
        </w:tc>
      </w:tr>
      <w:tr>
        <w:trPr>
          <w:trHeight w:val="215"/>
        </w:trPr>
        <w:tc>
          <w:tcPr>
            <w:tcW w:w="2960" w:type="dxa"/>
            <w:vAlign w:val="bottom"/>
          </w:tcPr>
          <w:p>
            <w:pPr>
              <w:ind w:left="80"/>
              <w:spacing w:after="0"/>
              <w:rPr>
                <w:sz w:val="20"/>
                <w:szCs w:val="20"/>
                <w:color w:val="auto"/>
              </w:rPr>
            </w:pPr>
            <w:r>
              <w:rPr>
                <w:rFonts w:ascii="Arial" w:cs="Arial" w:eastAsia="Arial" w:hAnsi="Arial"/>
                <w:sz w:val="16"/>
                <w:szCs w:val="16"/>
                <w:color w:val="auto"/>
              </w:rPr>
              <w:t>Europe, the Middle East, and Africa</w:t>
            </w:r>
          </w:p>
        </w:tc>
        <w:tc>
          <w:tcPr>
            <w:tcW w:w="26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1,237</w:t>
            </w:r>
          </w:p>
        </w:tc>
        <w:tc>
          <w:tcPr>
            <w:tcW w:w="340" w:type="dxa"/>
            <w:vAlign w:val="bottom"/>
          </w:tcPr>
          <w:p>
            <w:pPr>
              <w:spacing w:after="0"/>
              <w:rPr>
                <w:sz w:val="18"/>
                <w:szCs w:val="18"/>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color w:val="auto"/>
              </w:rPr>
              <w:t>1,249</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3,617</w:t>
            </w:r>
          </w:p>
        </w:tc>
        <w:tc>
          <w:tcPr>
            <w:tcW w:w="360" w:type="dxa"/>
            <w:vAlign w:val="bottom"/>
          </w:tcPr>
          <w:p>
            <w:pPr>
              <w:spacing w:after="0"/>
              <w:rPr>
                <w:sz w:val="18"/>
                <w:szCs w:val="18"/>
                <w:color w:val="auto"/>
              </w:rPr>
            </w:pPr>
          </w:p>
        </w:tc>
        <w:tc>
          <w:tcPr>
            <w:tcW w:w="1200" w:type="dxa"/>
            <w:vAlign w:val="bottom"/>
            <w:vMerge w:val="restart"/>
          </w:tcPr>
          <w:p>
            <w:pPr>
              <w:jc w:val="right"/>
              <w:ind w:right="79"/>
              <w:spacing w:after="0"/>
              <w:rPr>
                <w:sz w:val="20"/>
                <w:szCs w:val="20"/>
                <w:color w:val="auto"/>
              </w:rPr>
            </w:pPr>
            <w:r>
              <w:rPr>
                <w:rFonts w:ascii="Arial" w:cs="Arial" w:eastAsia="Arial" w:hAnsi="Arial"/>
                <w:sz w:val="16"/>
                <w:szCs w:val="16"/>
                <w:color w:val="auto"/>
              </w:rPr>
              <w:t>3,633</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20"/>
        </w:trPr>
        <w:tc>
          <w:tcPr>
            <w:tcW w:w="2960" w:type="dxa"/>
            <w:vAlign w:val="bottom"/>
            <w:vMerge w:val="restart"/>
          </w:tcPr>
          <w:p>
            <w:pPr>
              <w:ind w:left="260"/>
              <w:spacing w:after="0"/>
              <w:rPr>
                <w:sz w:val="20"/>
                <w:szCs w:val="20"/>
                <w:color w:val="auto"/>
              </w:rPr>
            </w:pPr>
            <w:r>
              <w:rPr>
                <w:rFonts w:ascii="Arial" w:cs="Arial" w:eastAsia="Arial" w:hAnsi="Arial"/>
                <w:sz w:val="16"/>
                <w:szCs w:val="16"/>
                <w:color w:val="auto"/>
              </w:rPr>
              <w:t>(“EMEA”)</w:t>
            </w:r>
          </w:p>
        </w:tc>
        <w:tc>
          <w:tcPr>
            <w:tcW w:w="2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9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9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China region</w:t>
            </w:r>
          </w:p>
        </w:tc>
        <w:tc>
          <w:tcPr>
            <w:tcW w:w="26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564</w:t>
            </w:r>
          </w:p>
        </w:tc>
        <w:tc>
          <w:tcPr>
            <w:tcW w:w="34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719</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spacing w:after="0"/>
              <w:rPr>
                <w:sz w:val="22"/>
                <w:szCs w:val="22"/>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1,745</w:t>
            </w:r>
          </w:p>
        </w:tc>
        <w:tc>
          <w:tcPr>
            <w:tcW w:w="36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2,105</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41"/>
        </w:trPr>
        <w:tc>
          <w:tcPr>
            <w:tcW w:w="2960" w:type="dxa"/>
            <w:vAlign w:val="bottom"/>
          </w:tcPr>
          <w:p>
            <w:pPr>
              <w:ind w:left="80"/>
              <w:spacing w:after="0"/>
              <w:rPr>
                <w:sz w:val="20"/>
                <w:szCs w:val="20"/>
                <w:color w:val="auto"/>
              </w:rPr>
            </w:pPr>
            <w:r>
              <w:rPr>
                <w:rFonts w:ascii="Arial" w:cs="Arial" w:eastAsia="Arial" w:hAnsi="Arial"/>
                <w:sz w:val="16"/>
                <w:szCs w:val="16"/>
                <w:color w:val="auto"/>
              </w:rPr>
              <w:t>Rest of World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816</w:t>
            </w:r>
          </w:p>
        </w:tc>
        <w:tc>
          <w:tcPr>
            <w:tcW w:w="3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779</w:t>
            </w:r>
          </w:p>
        </w:tc>
        <w:tc>
          <w:tcPr>
            <w:tcW w:w="116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2,408</w:t>
            </w:r>
          </w:p>
        </w:tc>
        <w:tc>
          <w:tcPr>
            <w:tcW w:w="36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2,311</w:t>
            </w: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3"/>
        </w:trPr>
        <w:tc>
          <w:tcPr>
            <w:tcW w:w="2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revenues</w:t>
            </w:r>
          </w:p>
        </w:tc>
        <w:tc>
          <w:tcPr>
            <w:tcW w:w="2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4,863</w:t>
            </w:r>
          </w:p>
        </w:tc>
        <w:tc>
          <w:tcPr>
            <w:tcW w:w="34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4,822</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80" w:type="dxa"/>
            <w:vAlign w:val="bottom"/>
            <w:tcBorders>
              <w:bottom w:val="single" w:sz="8" w:color="E4E4E4"/>
            </w:tcBorders>
            <w:shd w:val="clear" w:color="auto" w:fill="E4E4E4"/>
          </w:tcPr>
          <w:p>
            <w:pPr>
              <w:spacing w:after="0"/>
              <w:rPr>
                <w:sz w:val="22"/>
                <w:szCs w:val="22"/>
                <w:color w:val="auto"/>
              </w:rPr>
            </w:pP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14,353</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14,346</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9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2024</w:t>
      </w:r>
    </w:p>
    <w:p>
      <w:pPr>
        <w:spacing w:after="0" w:line="165"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Total revenues were $4,863 million</w:t>
      </w:r>
      <w:r>
        <w:rPr>
          <w:rFonts w:ascii="Arial" w:cs="Arial" w:eastAsia="Arial" w:hAnsi="Arial"/>
          <w:sz w:val="16"/>
          <w:szCs w:val="16"/>
          <w:color w:val="231F20"/>
        </w:rPr>
        <w:t>,</w:t>
      </w:r>
      <w:r>
        <w:rPr>
          <w:rFonts w:ascii="Arial" w:cs="Arial" w:eastAsia="Arial" w:hAnsi="Arial"/>
          <w:sz w:val="16"/>
          <w:szCs w:val="16"/>
          <w:color w:val="auto"/>
        </w:rPr>
        <w:t xml:space="preserve"> growing 1% as reported and organically*</w:t>
      </w:r>
      <w:r>
        <w:rPr>
          <w:rFonts w:ascii="Arial" w:cs="Arial" w:eastAsia="Arial" w:hAnsi="Arial"/>
          <w:sz w:val="16"/>
          <w:szCs w:val="16"/>
          <w:color w:val="231F20"/>
        </w:rPr>
        <w:t>. Sales of services</w:t>
      </w:r>
      <w:r>
        <w:rPr>
          <w:rFonts w:ascii="Arial" w:cs="Arial" w:eastAsia="Arial" w:hAnsi="Arial"/>
          <w:sz w:val="16"/>
          <w:szCs w:val="16"/>
          <w:color w:val="auto"/>
        </w:rPr>
        <w:t xml:space="preserve"> increased 2% or $26 million primarily due to increased pricing, and Sales of products increased </w:t>
      </w:r>
      <w:r>
        <w:rPr>
          <w:rFonts w:ascii="Arial" w:cs="Arial" w:eastAsia="Arial" w:hAnsi="Arial"/>
          <w:sz w:val="16"/>
          <w:szCs w:val="16"/>
          <w:color w:val="231F20"/>
        </w:rPr>
        <w:t>$</w:t>
      </w:r>
      <w:r>
        <w:rPr>
          <w:rFonts w:ascii="Arial" w:cs="Arial" w:eastAsia="Arial" w:hAnsi="Arial"/>
          <w:sz w:val="16"/>
          <w:szCs w:val="16"/>
          <w:color w:val="auto"/>
        </w:rPr>
        <w:t xml:space="preserve">15 </w:t>
      </w:r>
      <w:r>
        <w:rPr>
          <w:rFonts w:ascii="Arial" w:cs="Arial" w:eastAsia="Arial" w:hAnsi="Arial"/>
          <w:sz w:val="16"/>
          <w:szCs w:val="16"/>
          <w:color w:val="231F20"/>
        </w:rPr>
        <w:t>million with strong growth in USCAN and PDx segment revenues largely offset by lower sales volume in China.</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340" w:hanging="328"/>
        <w:spacing w:after="0" w:line="286"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Imaging segment revenues were $2,229 million, flat to the prior year and decreasing 1% organically* with lower sales volume in China, partially offset by an increase in USCAN sales volume;</w:t>
      </w:r>
    </w:p>
    <w:p>
      <w:pPr>
        <w:spacing w:after="0" w:line="34" w:lineRule="exact"/>
        <w:rPr>
          <w:rFonts w:ascii="Arial" w:cs="Arial" w:eastAsia="Arial" w:hAnsi="Arial"/>
          <w:sz w:val="16"/>
          <w:szCs w:val="16"/>
          <w:color w:val="231F20"/>
        </w:rPr>
      </w:pPr>
    </w:p>
    <w:p>
      <w:pPr>
        <w:ind w:left="640" w:hanging="308"/>
        <w:spacing w:after="0"/>
        <w:tabs>
          <w:tab w:leader="none" w:pos="640"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AVS segment revenues were $1,216 million, flat to the prior year, with an increase in sales volume in USCAN offset by lower sales volume in China;</w:t>
      </w:r>
    </w:p>
    <w:p>
      <w:pPr>
        <w:spacing w:after="0" w:line="99" w:lineRule="exact"/>
        <w:rPr>
          <w:rFonts w:ascii="Arial" w:cs="Arial" w:eastAsia="Arial" w:hAnsi="Arial"/>
          <w:sz w:val="16"/>
          <w:szCs w:val="16"/>
          <w:color w:val="231F20"/>
        </w:rPr>
      </w:pPr>
    </w:p>
    <w:p>
      <w:pPr>
        <w:ind w:left="640" w:hanging="308"/>
        <w:spacing w:after="0"/>
        <w:tabs>
          <w:tab w:leader="none" w:pos="640"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PCS segment revenues were $779 million, growing 2% or $15 million driven by backlog execution; and</w:t>
      </w:r>
    </w:p>
    <w:p>
      <w:pPr>
        <w:spacing w:after="0" w:line="99" w:lineRule="exact"/>
        <w:rPr>
          <w:rFonts w:ascii="Arial" w:cs="Arial" w:eastAsia="Arial" w:hAnsi="Arial"/>
          <w:sz w:val="16"/>
          <w:szCs w:val="16"/>
          <w:color w:val="231F20"/>
        </w:rPr>
      </w:pPr>
    </w:p>
    <w:p>
      <w:pPr>
        <w:ind w:left="660" w:right="80" w:hanging="328"/>
        <w:spacing w:after="0" w:line="304" w:lineRule="auto"/>
        <w:tabs>
          <w:tab w:leader="none" w:pos="649" w:val="left"/>
        </w:tabs>
        <w:numPr>
          <w:ilvl w:val="0"/>
          <w:numId w:val="20"/>
        </w:numPr>
        <w:rPr>
          <w:rFonts w:ascii="Arial" w:cs="Arial" w:eastAsia="Arial" w:hAnsi="Arial"/>
          <w:sz w:val="16"/>
          <w:szCs w:val="16"/>
          <w:color w:val="231F20"/>
        </w:rPr>
      </w:pPr>
      <w:r>
        <w:rPr>
          <w:rFonts w:ascii="Arial" w:cs="Arial" w:eastAsia="Arial" w:hAnsi="Arial"/>
          <w:sz w:val="16"/>
          <w:szCs w:val="16"/>
          <w:color w:val="auto"/>
        </w:rPr>
        <w:t>PDx segment revenues were $625 million, growing 6% or $36 million with growth in the USCAN and EMEA regions driven by growth in volume, an increase in price, and new product introductions.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60" w:right="46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USCAN revenues were $2,246 million, growing 8% or $171 million with growth across all segment revenues, led by strong growth in PDx and Imaging revenues;</w:t>
      </w:r>
    </w:p>
    <w:p>
      <w:pPr>
        <w:spacing w:after="0" w:line="34" w:lineRule="exact"/>
        <w:rPr>
          <w:rFonts w:ascii="Arial" w:cs="Arial" w:eastAsia="Arial" w:hAnsi="Arial"/>
          <w:sz w:val="16"/>
          <w:szCs w:val="16"/>
          <w:color w:val="231F20"/>
        </w:rPr>
      </w:pPr>
    </w:p>
    <w:p>
      <w:pPr>
        <w:ind w:left="660" w:right="34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EMEA revenues were $1,237 million, decreasing 1% or $12 million, following high single digit growth in the prior year, with declines in PCS and AVS revenues largely offset by increases in PDx revenues;</w:t>
      </w:r>
    </w:p>
    <w:p>
      <w:pPr>
        <w:spacing w:after="0" w:line="47" w:lineRule="exact"/>
        <w:rPr>
          <w:rFonts w:ascii="Arial" w:cs="Arial" w:eastAsia="Arial" w:hAnsi="Arial"/>
          <w:sz w:val="16"/>
          <w:szCs w:val="16"/>
          <w:color w:val="231F20"/>
        </w:rPr>
      </w:pPr>
    </w:p>
    <w:p>
      <w:pPr>
        <w:ind w:left="660" w:right="20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China region revenues were $564 million, decreasing 22% or $155 million with current year sales impacted by the delayed 2024 stimulus and the ongoing anti-corruption campaign; and</w:t>
      </w:r>
    </w:p>
    <w:p>
      <w:pPr>
        <w:spacing w:after="0" w:line="34" w:lineRule="exact"/>
        <w:rPr>
          <w:rFonts w:ascii="Arial" w:cs="Arial" w:eastAsia="Arial" w:hAnsi="Arial"/>
          <w:sz w:val="16"/>
          <w:szCs w:val="16"/>
          <w:color w:val="231F20"/>
        </w:rPr>
      </w:pPr>
    </w:p>
    <w:p>
      <w:pPr>
        <w:ind w:left="660" w:right="280" w:hanging="328"/>
        <w:spacing w:after="0" w:line="304"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Rest of World revenues were $816 million, growing 5% or $37 million with growth in all segment revenues, partially offset by unfavorable foreign currency impacts.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2024</w:t>
      </w:r>
    </w:p>
    <w:p>
      <w:pPr>
        <w:spacing w:after="0" w:line="179"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Total revenues were $14,353 million</w:t>
      </w:r>
      <w:r>
        <w:rPr>
          <w:rFonts w:ascii="Arial" w:cs="Arial" w:eastAsia="Arial" w:hAnsi="Arial"/>
          <w:sz w:val="16"/>
          <w:szCs w:val="16"/>
          <w:color w:val="231F20"/>
        </w:rPr>
        <w:t>, flat to the prior year as reported and</w:t>
      </w:r>
      <w:r>
        <w:rPr>
          <w:rFonts w:ascii="Arial" w:cs="Arial" w:eastAsia="Arial" w:hAnsi="Arial"/>
          <w:sz w:val="16"/>
          <w:szCs w:val="16"/>
          <w:color w:val="auto"/>
        </w:rPr>
        <w:t xml:space="preserve"> growing 1% </w:t>
      </w:r>
      <w:r>
        <w:rPr>
          <w:rFonts w:ascii="Arial" w:cs="Arial" w:eastAsia="Arial" w:hAnsi="Arial"/>
          <w:sz w:val="16"/>
          <w:szCs w:val="16"/>
          <w:color w:val="231F20"/>
        </w:rPr>
        <w:t>organically*. The flat result was due to Sales of products decreasing</w:t>
      </w:r>
      <w:r>
        <w:rPr>
          <w:rFonts w:ascii="Arial" w:cs="Arial" w:eastAsia="Arial" w:hAnsi="Arial"/>
          <w:sz w:val="16"/>
          <w:szCs w:val="16"/>
          <w:color w:val="auto"/>
        </w:rPr>
        <w:t xml:space="preserve"> </w:t>
      </w:r>
      <w:r>
        <w:rPr>
          <w:rFonts w:ascii="Arial" w:cs="Arial" w:eastAsia="Arial" w:hAnsi="Arial"/>
          <w:sz w:val="16"/>
          <w:szCs w:val="16"/>
          <w:color w:val="231F20"/>
        </w:rPr>
        <w:t xml:space="preserve">1% or $76 million, primarily due to decreased volume following double digit reported product revenue growth in the prior year, offset by Sales of services increasing </w:t>
      </w:r>
      <w:r>
        <w:rPr>
          <w:rFonts w:ascii="Arial" w:cs="Arial" w:eastAsia="Arial" w:hAnsi="Arial"/>
          <w:sz w:val="16"/>
          <w:szCs w:val="16"/>
          <w:color w:val="000000"/>
        </w:rPr>
        <w:t>2%</w:t>
      </w:r>
      <w:r>
        <w:rPr>
          <w:rFonts w:ascii="Arial" w:cs="Arial" w:eastAsia="Arial" w:hAnsi="Arial"/>
          <w:sz w:val="16"/>
          <w:szCs w:val="16"/>
          <w:color w:val="231F20"/>
        </w:rPr>
        <w:t xml:space="preserve"> or $</w:t>
      </w:r>
      <w:r>
        <w:rPr>
          <w:rFonts w:ascii="Arial" w:cs="Arial" w:eastAsia="Arial" w:hAnsi="Arial"/>
          <w:sz w:val="16"/>
          <w:szCs w:val="16"/>
          <w:color w:val="000000"/>
        </w:rPr>
        <w:t>83</w:t>
      </w:r>
      <w:r>
        <w:rPr>
          <w:rFonts w:ascii="Arial" w:cs="Arial" w:eastAsia="Arial" w:hAnsi="Arial"/>
          <w:sz w:val="16"/>
          <w:szCs w:val="16"/>
          <w:color w:val="231F20"/>
        </w:rPr>
        <w:t xml:space="preserve"> million driven by increased pricing.</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42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Imaging segment revenues were $6,462 million, decreasing 1% or $90 million, following high single digit revenue growth in the prior year, with current year impacts from lower sales volume in China and unfavorable foreign currency headwinds;</w:t>
      </w:r>
    </w:p>
    <w:p>
      <w:pPr>
        <w:spacing w:after="0" w:line="34" w:lineRule="exact"/>
        <w:rPr>
          <w:rFonts w:ascii="Arial" w:cs="Arial" w:eastAsia="Arial" w:hAnsi="Arial"/>
          <w:sz w:val="16"/>
          <w:szCs w:val="16"/>
          <w:color w:val="231F20"/>
        </w:rPr>
      </w:pPr>
    </w:p>
    <w:p>
      <w:pPr>
        <w:ind w:left="660" w:right="46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AVS segment revenues were $3,692 million, decreasing 1% or $20 million with lower sales volume in China and unfavorable foreign currency impacts, partially offset by an increase in sales volume in USCAN;</w:t>
      </w:r>
    </w:p>
    <w:p>
      <w:pPr>
        <w:spacing w:after="0" w:line="19" w:lineRule="exact"/>
        <w:rPr>
          <w:rFonts w:ascii="Arial" w:cs="Arial" w:eastAsia="Arial" w:hAnsi="Arial"/>
          <w:sz w:val="16"/>
          <w:szCs w:val="16"/>
          <w:color w:val="231F20"/>
        </w:rPr>
      </w:pPr>
    </w:p>
    <w:p>
      <w:pPr>
        <w:ind w:left="660" w:right="26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PCS segment revenues were $2,298 million, decreasing 1% or $17 million primarily due to decreased volume following high single digit revenue growth in the prior year; and</w:t>
      </w:r>
    </w:p>
    <w:p>
      <w:pPr>
        <w:spacing w:after="0" w:line="34" w:lineRule="exact"/>
        <w:rPr>
          <w:rFonts w:ascii="Arial" w:cs="Arial" w:eastAsia="Arial" w:hAnsi="Arial"/>
          <w:sz w:val="16"/>
          <w:szCs w:val="16"/>
          <w:color w:val="231F20"/>
        </w:rPr>
      </w:pPr>
    </w:p>
    <w:p>
      <w:pPr>
        <w:ind w:left="660" w:right="8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PDx segment revenues were $1,862 million, growing 9% or $147 million with growth in the USCAN and EMEA regions driven by growth in volume, an increase in price, and new product introductions.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USCAN revenues were $6,582 million, growing 5% or $285 million with growth across all segment revenues;</w:t>
      </w:r>
    </w:p>
    <w:p>
      <w:pPr>
        <w:spacing w:after="0" w:line="99" w:lineRule="exact"/>
        <w:rPr>
          <w:rFonts w:ascii="Arial" w:cs="Arial" w:eastAsia="Arial" w:hAnsi="Arial"/>
          <w:sz w:val="16"/>
          <w:szCs w:val="16"/>
          <w:color w:val="231F20"/>
        </w:rPr>
      </w:pPr>
    </w:p>
    <w:p>
      <w:pPr>
        <w:ind w:left="660" w:right="240" w:hanging="328"/>
        <w:spacing w:after="0" w:line="286"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EMEA revenues were $3,617 million, flat to the prior year, following high single digit growth in the prior year, with growth in PDx revenues largely offset by decreases in Imaging and PCS revenues;</w:t>
      </w:r>
    </w:p>
    <w:p>
      <w:pPr>
        <w:spacing w:after="0" w:line="34" w:lineRule="exact"/>
        <w:rPr>
          <w:rFonts w:ascii="Arial" w:cs="Arial" w:eastAsia="Arial" w:hAnsi="Arial"/>
          <w:sz w:val="16"/>
          <w:szCs w:val="16"/>
          <w:color w:val="231F20"/>
        </w:rPr>
      </w:pPr>
    </w:p>
    <w:p>
      <w:pPr>
        <w:jc w:val="both"/>
        <w:ind w:left="660" w:right="180" w:hanging="328"/>
        <w:spacing w:after="0" w:line="275"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China region revenues were $1,745 million, decreasing 17% or $360 million with declines in all segment revenues following double digit growth in the prior year due to the impact from the 2022 COVID stimulus programs, and current year sales impacted by the delayed 2024 stimulus and the ongoing anti-corruption campaign; and</w:t>
      </w:r>
    </w:p>
    <w:p>
      <w:pPr>
        <w:spacing w:after="0" w:line="42" w:lineRule="exact"/>
        <w:rPr>
          <w:rFonts w:ascii="Arial" w:cs="Arial" w:eastAsia="Arial" w:hAnsi="Arial"/>
          <w:sz w:val="16"/>
          <w:szCs w:val="16"/>
          <w:color w:val="231F20"/>
        </w:rPr>
      </w:pPr>
    </w:p>
    <w:p>
      <w:pPr>
        <w:ind w:left="660" w:right="140" w:hanging="328"/>
        <w:spacing w:after="0" w:line="304"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Rest of World revenues were $2,408 million, growing 4% or $97 million with growth in all segment revenues, partially offset by unfavorable foreign currency impacts.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0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9" w:right="35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23"/>
        </w:trPr>
        <w:tc>
          <w:tcPr>
            <w:tcW w:w="532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tcPr>
          <w:p>
            <w:pPr>
              <w:jc w:val="right"/>
              <w:ind w:right="1199"/>
              <w:spacing w:after="0"/>
              <w:rPr>
                <w:sz w:val="20"/>
                <w:szCs w:val="20"/>
                <w:color w:val="auto"/>
              </w:rPr>
            </w:pPr>
            <w:r>
              <w:rPr>
                <w:rFonts w:ascii="Arial" w:cs="Arial" w:eastAsia="Arial" w:hAnsi="Arial"/>
                <w:sz w:val="16"/>
                <w:szCs w:val="16"/>
                <w:b w:val="1"/>
                <w:bCs w:val="1"/>
                <w:color w:val="454545"/>
              </w:rPr>
              <w:t>As of</w:t>
            </w:r>
          </w:p>
        </w:tc>
        <w:tc>
          <w:tcPr>
            <w:tcW w:w="1480" w:type="dxa"/>
            <w:vAlign w:val="bottom"/>
          </w:tcPr>
          <w:p>
            <w:pPr>
              <w:spacing w:after="0"/>
              <w:rPr>
                <w:sz w:val="19"/>
                <w:szCs w:val="19"/>
                <w:color w:val="auto"/>
              </w:rPr>
            </w:pPr>
          </w:p>
        </w:tc>
      </w:tr>
      <w:tr>
        <w:trPr>
          <w:trHeight w:val="21"/>
        </w:trPr>
        <w:tc>
          <w:tcPr>
            <w:tcW w:w="532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210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199"/>
              <w:spacing w:after="0"/>
              <w:rPr>
                <w:sz w:val="20"/>
                <w:szCs w:val="20"/>
                <w:color w:val="auto"/>
              </w:rPr>
            </w:pPr>
            <w:r>
              <w:rPr>
                <w:rFonts w:ascii="Arial" w:cs="Arial" w:eastAsia="Arial" w:hAnsi="Arial"/>
                <w:sz w:val="16"/>
                <w:szCs w:val="16"/>
                <w:b w:val="1"/>
                <w:bCs w:val="1"/>
                <w:color w:val="454545"/>
              </w:rPr>
              <w:t>September 30, 2024</w:t>
            </w:r>
          </w:p>
        </w:tc>
        <w:tc>
          <w:tcPr>
            <w:tcW w:w="240" w:type="dxa"/>
            <w:vAlign w:val="bottom"/>
          </w:tcPr>
          <w:p>
            <w:pPr>
              <w:spacing w:after="0"/>
              <w:rPr>
                <w:sz w:val="19"/>
                <w:szCs w:val="19"/>
                <w:color w:val="auto"/>
              </w:rPr>
            </w:pPr>
          </w:p>
        </w:tc>
        <w:tc>
          <w:tcPr>
            <w:tcW w:w="2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December 31, 2023</w:t>
            </w:r>
          </w:p>
        </w:tc>
        <w:tc>
          <w:tcPr>
            <w:tcW w:w="1480" w:type="dxa"/>
            <w:vAlign w:val="bottom"/>
          </w:tcPr>
          <w:p>
            <w:pPr>
              <w:jc w:val="right"/>
              <w:ind w:right="3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32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10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r>
      <w:tr>
        <w:trPr>
          <w:trHeight w:val="27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4,808</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4,930</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68"/>
        </w:trPr>
        <w:tc>
          <w:tcPr>
            <w:tcW w:w="5320" w:type="dxa"/>
            <w:vAlign w:val="bottom"/>
          </w:tcPr>
          <w:p>
            <w:pPr>
              <w:ind w:left="80"/>
              <w:spacing w:after="0"/>
              <w:rPr>
                <w:sz w:val="20"/>
                <w:szCs w:val="20"/>
                <w:color w:val="auto"/>
              </w:rPr>
            </w:pPr>
            <w:r>
              <w:rPr>
                <w:rFonts w:ascii="Arial" w:cs="Arial" w:eastAsia="Arial" w:hAnsi="Arial"/>
                <w:sz w:val="16"/>
                <w:szCs w:val="16"/>
                <w:color w:val="auto"/>
              </w:rPr>
              <w:t>Services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9,756</w:t>
            </w:r>
          </w:p>
        </w:tc>
        <w:tc>
          <w:tcPr>
            <w:tcW w:w="240" w:type="dxa"/>
            <w:vAlign w:val="bottom"/>
          </w:tcPr>
          <w:p>
            <w:pPr>
              <w:spacing w:after="0"/>
              <w:rPr>
                <w:sz w:val="23"/>
                <w:szCs w:val="23"/>
                <w:color w:val="auto"/>
              </w:rPr>
            </w:pPr>
          </w:p>
        </w:tc>
        <w:tc>
          <w:tcPr>
            <w:tcW w:w="2100" w:type="dxa"/>
            <w:vAlign w:val="bottom"/>
          </w:tcPr>
          <w:p>
            <w:pPr>
              <w:jc w:val="right"/>
              <w:ind w:right="179"/>
              <w:spacing w:after="0"/>
              <w:rPr>
                <w:sz w:val="20"/>
                <w:szCs w:val="20"/>
                <w:color w:val="auto"/>
              </w:rPr>
            </w:pPr>
            <w:r>
              <w:rPr>
                <w:rFonts w:ascii="Arial" w:cs="Arial" w:eastAsia="Arial" w:hAnsi="Arial"/>
                <w:sz w:val="16"/>
                <w:szCs w:val="16"/>
                <w:color w:val="auto"/>
              </w:rPr>
              <w:t>9,725</w:t>
            </w: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5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0"/>
        </w:trPr>
        <w:tc>
          <w:tcPr>
            <w:tcW w:w="53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Total RPO</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14,563</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21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14,655</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0"/>
        </w:trPr>
        <w:tc>
          <w:tcPr>
            <w:tcW w:w="5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RPO as of September 30, 2024 decreased 1% from December 31, 2023, primarily due to product fulfillment and cancellations outpacing new contracts, partially offset by the timing of multi-year service contract renewals.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100" w:type="dxa"/>
            <w:vAlign w:val="bottom"/>
            <w:gridSpan w:val="7"/>
          </w:tcPr>
          <w:p>
            <w:pPr>
              <w:ind w:left="280"/>
              <w:spacing w:after="0"/>
              <w:rPr>
                <w:sz w:val="20"/>
                <w:szCs w:val="20"/>
                <w:color w:val="auto"/>
              </w:rPr>
            </w:pPr>
            <w:r>
              <w:rPr>
                <w:rFonts w:ascii="Arial" w:cs="Arial" w:eastAsia="Arial" w:hAnsi="Arial"/>
                <w:sz w:val="16"/>
                <w:szCs w:val="16"/>
                <w:b w:val="1"/>
                <w:bCs w:val="1"/>
                <w:color w:val="454545"/>
              </w:rPr>
              <w:t>For the three months ended September 30</w:t>
            </w:r>
          </w:p>
        </w:tc>
        <w:tc>
          <w:tcPr>
            <w:tcW w:w="180" w:type="dxa"/>
            <w:vAlign w:val="bottom"/>
          </w:tcPr>
          <w:p>
            <w:pPr>
              <w:spacing w:after="0"/>
              <w:rPr>
                <w:sz w:val="19"/>
                <w:szCs w:val="19"/>
                <w:color w:val="auto"/>
              </w:rPr>
            </w:pPr>
          </w:p>
        </w:tc>
        <w:tc>
          <w:tcPr>
            <w:tcW w:w="4040" w:type="dxa"/>
            <w:vAlign w:val="bottom"/>
            <w:gridSpan w:val="6"/>
          </w:tcPr>
          <w:p>
            <w:pPr>
              <w:jc w:val="right"/>
              <w:ind w:right="439"/>
              <w:spacing w:after="0"/>
              <w:rPr>
                <w:sz w:val="20"/>
                <w:szCs w:val="20"/>
                <w:color w:val="auto"/>
              </w:rPr>
            </w:pPr>
            <w:r>
              <w:rPr>
                <w:rFonts w:ascii="Arial" w:cs="Arial" w:eastAsia="Arial" w:hAnsi="Arial"/>
                <w:sz w:val="16"/>
                <w:szCs w:val="16"/>
                <w:b w:val="1"/>
                <w:bCs w:val="1"/>
                <w:color w:val="454545"/>
              </w:rPr>
              <w:t>For the nine months ended September 30</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454545"/>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454545"/>
              </w:rPr>
              <w:t>%</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780" w:type="dxa"/>
            <w:vAlign w:val="bottom"/>
            <w:gridSpan w:val="2"/>
          </w:tcPr>
          <w:p>
            <w:pPr>
              <w:ind w:left="60"/>
              <w:spacing w:after="0"/>
              <w:rPr>
                <w:sz w:val="20"/>
                <w:szCs w:val="20"/>
                <w:color w:val="auto"/>
              </w:rPr>
            </w:pPr>
            <w:r>
              <w:rPr>
                <w:rFonts w:ascii="Arial" w:cs="Arial" w:eastAsia="Arial" w:hAnsi="Arial"/>
                <w:sz w:val="16"/>
                <w:szCs w:val="16"/>
                <w:b w:val="1"/>
                <w:bCs w:val="1"/>
                <w:color w:val="454545"/>
              </w:rPr>
              <w:t>change</w:t>
            </w: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rPr>
              <w:t>revenues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27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Operating income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676</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617</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12.8%</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1,824</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1,746</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12.2%</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2"/>
        </w:trPr>
        <w:tc>
          <w:tcPr>
            <w:tcW w:w="2740" w:type="dxa"/>
            <w:vAlign w:val="bottom"/>
          </w:tcPr>
          <w:p>
            <w:pPr>
              <w:ind w:left="80"/>
              <w:spacing w:after="0"/>
              <w:rPr>
                <w:sz w:val="20"/>
                <w:szCs w:val="20"/>
                <w:color w:val="auto"/>
              </w:rPr>
            </w:pPr>
            <w:r>
              <w:rPr>
                <w:rFonts w:ascii="Arial" w:cs="Arial" w:eastAsia="Arial" w:hAnsi="Arial"/>
                <w:sz w:val="16"/>
                <w:szCs w:val="16"/>
                <w:color w:val="auto"/>
              </w:rPr>
              <w:t>Net income attributable to GE</w:t>
            </w:r>
          </w:p>
        </w:tc>
        <w:tc>
          <w:tcPr>
            <w:tcW w:w="18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470</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375</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7.8%</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1,272</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8.9%</w:t>
            </w:r>
          </w:p>
        </w:tc>
        <w:tc>
          <w:tcPr>
            <w:tcW w:w="200" w:type="dxa"/>
            <w:vAlign w:val="bottom"/>
          </w:tcPr>
          <w:p>
            <w:pPr>
              <w:spacing w:after="0"/>
              <w:rPr>
                <w:sz w:val="17"/>
                <w:szCs w:val="17"/>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1,165</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8.1%</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20"/>
        </w:trPr>
        <w:tc>
          <w:tcPr>
            <w:tcW w:w="2740" w:type="dxa"/>
            <w:vAlign w:val="bottom"/>
            <w:vMerge w:val="restart"/>
          </w:tcPr>
          <w:p>
            <w:pPr>
              <w:ind w:left="260"/>
              <w:spacing w:after="0"/>
              <w:rPr>
                <w:sz w:val="20"/>
                <w:szCs w:val="20"/>
                <w:color w:val="auto"/>
              </w:rPr>
            </w:pPr>
            <w:r>
              <w:rPr>
                <w:rFonts w:ascii="Arial" w:cs="Arial" w:eastAsia="Arial" w:hAnsi="Arial"/>
                <w:sz w:val="16"/>
                <w:szCs w:val="16"/>
                <w:color w:val="auto"/>
              </w:rPr>
              <w:t>HealthCare</w:t>
            </w:r>
          </w:p>
        </w:tc>
        <w:tc>
          <w:tcPr>
            <w:tcW w:w="1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7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7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Adjusted EBIT*</w:t>
            </w:r>
          </w:p>
        </w:tc>
        <w:tc>
          <w:tcPr>
            <w:tcW w:w="18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795</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c>
          <w:tcPr>
            <w:tcW w:w="20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15.4%</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2,217</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15.4%</w:t>
            </w:r>
          </w:p>
        </w:tc>
        <w:tc>
          <w:tcPr>
            <w:tcW w:w="2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2,119</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54"/>
        </w:trPr>
        <w:tc>
          <w:tcPr>
            <w:tcW w:w="2740" w:type="dxa"/>
            <w:vAlign w:val="bottom"/>
          </w:tcPr>
          <w:p>
            <w:pPr>
              <w:ind w:left="80"/>
              <w:spacing w:after="0"/>
              <w:rPr>
                <w:sz w:val="20"/>
                <w:szCs w:val="20"/>
                <w:color w:val="auto"/>
              </w:rPr>
            </w:pPr>
            <w:r>
              <w:rPr>
                <w:rFonts w:ascii="Arial" w:cs="Arial" w:eastAsia="Arial" w:hAnsi="Arial"/>
                <w:sz w:val="16"/>
                <w:szCs w:val="16"/>
                <w:color w:val="auto"/>
              </w:rPr>
              <w:t>Adjusted net income*</w:t>
            </w:r>
          </w:p>
        </w:tc>
        <w:tc>
          <w:tcPr>
            <w:tcW w:w="1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521</w:t>
            </w:r>
          </w:p>
        </w:tc>
        <w:tc>
          <w:tcPr>
            <w:tcW w:w="880" w:type="dxa"/>
            <w:vAlign w:val="bottom"/>
          </w:tcPr>
          <w:p>
            <w:pPr>
              <w:jc w:val="right"/>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451</w:t>
            </w:r>
          </w:p>
        </w:tc>
        <w:tc>
          <w:tcPr>
            <w:tcW w:w="880" w:type="dxa"/>
            <w:vAlign w:val="bottom"/>
          </w:tcPr>
          <w:p>
            <w:pPr>
              <w:jc w:val="right"/>
              <w:spacing w:after="0"/>
              <w:rPr>
                <w:sz w:val="20"/>
                <w:szCs w:val="20"/>
                <w:color w:val="auto"/>
              </w:rPr>
            </w:pPr>
            <w:r>
              <w:rPr>
                <w:rFonts w:ascii="Arial" w:cs="Arial" w:eastAsia="Arial" w:hAnsi="Arial"/>
                <w:sz w:val="16"/>
                <w:szCs w:val="16"/>
                <w:color w:val="auto"/>
              </w:rPr>
              <w:t>9.4%</w:t>
            </w:r>
          </w:p>
        </w:tc>
        <w:tc>
          <w:tcPr>
            <w:tcW w:w="700" w:type="dxa"/>
            <w:vAlign w:val="bottom"/>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1,393</w:t>
            </w:r>
          </w:p>
        </w:tc>
        <w:tc>
          <w:tcPr>
            <w:tcW w:w="86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1,258</w:t>
            </w: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c>
          <w:tcPr>
            <w:tcW w:w="680" w:type="dxa"/>
            <w:vAlign w:val="bottom"/>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9"/>
        </w:trPr>
        <w:tc>
          <w:tcPr>
            <w:tcW w:w="2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2024</w:t>
      </w:r>
    </w:p>
    <w:p>
      <w:pPr>
        <w:spacing w:after="0" w:line="27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Operating income was $676 million, an increase of $59 million and 110 basis points as a percent of Total revenues. The increase was due to the following factors:</w:t>
      </w:r>
    </w:p>
    <w:p>
      <w:pPr>
        <w:spacing w:after="0" w:line="196" w:lineRule="exact"/>
        <w:rPr>
          <w:sz w:val="20"/>
          <w:szCs w:val="20"/>
          <w:color w:val="auto"/>
        </w:rPr>
      </w:pPr>
    </w:p>
    <w:p>
      <w:pPr>
        <w:ind w:left="660" w:right="20" w:hanging="328"/>
        <w:spacing w:after="0" w:line="259" w:lineRule="auto"/>
        <w:tabs>
          <w:tab w:leader="none" w:pos="649" w:val="left"/>
        </w:tabs>
        <w:numPr>
          <w:ilvl w:val="0"/>
          <w:numId w:val="24"/>
        </w:numPr>
        <w:rPr>
          <w:rFonts w:ascii="Arial" w:cs="Arial" w:eastAsia="Arial" w:hAnsi="Arial"/>
          <w:sz w:val="16"/>
          <w:szCs w:val="16"/>
          <w:color w:val="231F20"/>
        </w:rPr>
      </w:pPr>
      <w:r>
        <w:rPr>
          <w:rFonts w:ascii="Arial" w:cs="Arial" w:eastAsia="Arial" w:hAnsi="Arial"/>
          <w:sz w:val="16"/>
          <w:szCs w:val="16"/>
          <w:color w:val="auto"/>
        </w:rPr>
        <w:t xml:space="preserve">Gross profit increased $91 million or 150 basis points as a percent of Total revenues primarily due to a reduction in Cost of products sold. Cost of products sold decreased $43 million or 170 basis points as a percent of Sales of products. The decrease as a percent of sales was driven primarily by cost productivity, partially offset by cost inflation. Cost of services sold decreased $6 million or 120 basis points as a percent of Sales of services. The decrease as a percent of sales was driven by cost productivity and an increase in pricing of our service offerings, partially offset by cost inflation. Included in our total cost of revenue as part of our product investment was $102 million in engineering costs for design follow-through on new product introductions and product lifecycle maintenance subsequent to the initial product launch, compared to $101 million for the </w:t>
      </w:r>
      <w:r>
        <w:rPr>
          <w:rFonts w:ascii="Arial" w:cs="Arial" w:eastAsia="Arial" w:hAnsi="Arial"/>
          <w:sz w:val="16"/>
          <w:szCs w:val="16"/>
          <w:color w:val="231F20"/>
        </w:rPr>
        <w:t>prior year</w:t>
      </w:r>
      <w:r>
        <w:rPr>
          <w:rFonts w:ascii="Arial" w:cs="Arial" w:eastAsia="Arial" w:hAnsi="Arial"/>
          <w:sz w:val="16"/>
          <w:szCs w:val="16"/>
          <w:color w:val="auto"/>
        </w:rPr>
        <w:t xml:space="preserve"> </w:t>
      </w:r>
      <w:r>
        <w:rPr>
          <w:rFonts w:ascii="Arial" w:cs="Arial" w:eastAsia="Arial" w:hAnsi="Arial"/>
          <w:sz w:val="16"/>
          <w:szCs w:val="16"/>
          <w:color w:val="231F20"/>
        </w:rPr>
        <w:t>comparable period</w:t>
      </w:r>
      <w:r>
        <w:rPr>
          <w:rFonts w:ascii="Arial" w:cs="Arial" w:eastAsia="Arial" w:hAnsi="Arial"/>
          <w:sz w:val="16"/>
          <w:szCs w:val="16"/>
          <w:color w:val="000000"/>
        </w:rPr>
        <w:t>; and</w:t>
      </w:r>
    </w:p>
    <w:p>
      <w:pPr>
        <w:spacing w:after="0" w:line="54" w:lineRule="exact"/>
        <w:rPr>
          <w:rFonts w:ascii="Arial" w:cs="Arial" w:eastAsia="Arial" w:hAnsi="Arial"/>
          <w:sz w:val="16"/>
          <w:szCs w:val="16"/>
          <w:color w:val="231F20"/>
        </w:rPr>
      </w:pPr>
    </w:p>
    <w:p>
      <w:pPr>
        <w:ind w:left="660" w:right="80" w:hanging="328"/>
        <w:spacing w:after="0" w:line="26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Total operating expenses increased $32 million primarily due to an increase in Selling, general, and administrative (“SG&amp;A”) expense of $38 million primarily driven by timing of certain costs and the favorable impact of a change in fair value of contingent consideration in the prior year, partially offset by a decrease in Research and Development (“R&amp;D”) investments of $6 million. As a result, SG&amp;A as a percentage of Total revenues increased by 60 basis points and R&amp;D as a percentage of Total revenues decreased by 20 basis points.</w:t>
      </w:r>
    </w:p>
    <w:p>
      <w:pPr>
        <w:spacing w:after="0" w:line="21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Net income attributable to GE HealthCare and Net income margin were $470 million and 9.7%, an increase of $95 million and 190 basis points, respectively, primarily due to the following factors:</w:t>
      </w:r>
    </w:p>
    <w:p>
      <w:pPr>
        <w:spacing w:after="0" w:line="196" w:lineRule="exact"/>
        <w:rPr>
          <w:sz w:val="20"/>
          <w:szCs w:val="20"/>
          <w:color w:val="auto"/>
        </w:rPr>
      </w:pPr>
    </w:p>
    <w:p>
      <w:pPr>
        <w:ind w:left="640" w:hanging="308"/>
        <w:spacing w:after="0"/>
        <w:tabs>
          <w:tab w:leader="none" w:pos="640"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Operating income increased $59 million, as discussed above;</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$8 million primarily driven by repayments made on the Term Loan Facility;</w:t>
      </w:r>
    </w:p>
    <w:p>
      <w:pPr>
        <w:spacing w:after="0" w:line="99" w:lineRule="exact"/>
        <w:rPr>
          <w:rFonts w:ascii="Arial" w:cs="Arial" w:eastAsia="Arial" w:hAnsi="Arial"/>
          <w:sz w:val="16"/>
          <w:szCs w:val="16"/>
          <w:color w:val="auto"/>
        </w:rPr>
      </w:pPr>
    </w:p>
    <w:p>
      <w:pPr>
        <w:ind w:left="660" w:right="420" w:hanging="328"/>
        <w:spacing w:after="0" w:line="28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Non-operating benefit income increased $8 million primarily due to the impact of the prior year curtailment loss for the GE HealthCare Pension Plan;</w:t>
      </w:r>
    </w:p>
    <w:p>
      <w:pPr>
        <w:spacing w:after="0" w:line="34" w:lineRule="exact"/>
        <w:rPr>
          <w:rFonts w:ascii="Arial" w:cs="Arial" w:eastAsia="Arial" w:hAnsi="Arial"/>
          <w:sz w:val="16"/>
          <w:szCs w:val="16"/>
          <w:color w:val="auto"/>
        </w:rPr>
      </w:pPr>
    </w:p>
    <w:p>
      <w:pPr>
        <w:ind w:left="660" w:right="920" w:hanging="328"/>
        <w:spacing w:after="0" w:line="304"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Other income – net decreased $54 million primarily driven by favorable impacts in the prior year from both derivatives gains and the tax indemnification benefit received from GE; and</w:t>
      </w:r>
    </w:p>
    <w:p>
      <w:pPr>
        <w:spacing w:after="0" w:line="33" w:lineRule="exact"/>
        <w:rPr>
          <w:rFonts w:ascii="Arial" w:cs="Arial" w:eastAsia="Arial" w:hAnsi="Arial"/>
          <w:sz w:val="16"/>
          <w:szCs w:val="16"/>
          <w:color w:val="auto"/>
        </w:rPr>
      </w:pPr>
    </w:p>
    <w:p>
      <w:pPr>
        <w:ind w:left="660" w:right="140" w:hanging="328"/>
        <w:spacing w:after="0" w:line="286"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Provision for income taxes decreased $82 million primarily due to incremental R&amp;D benefits in the current year as well as non-recurring impacts of the Tax Matters Agreement (“TMA”) with GE in the prior year. For additional detail regarding our income taxes, see Note 10, “Income Taxes.”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6" w:name="page37"/>
    <w:bookmarkEnd w:id="36"/>
    <w:p>
      <w:pPr>
        <w:ind w:right="280"/>
        <w:spacing w:after="0" w:line="304" w:lineRule="auto"/>
        <w:rPr>
          <w:sz w:val="20"/>
          <w:szCs w:val="20"/>
          <w:color w:val="auto"/>
        </w:rPr>
      </w:pPr>
      <w:r>
        <w:rPr>
          <w:rFonts w:ascii="Arial" w:cs="Arial" w:eastAsia="Arial" w:hAnsi="Arial"/>
          <w:sz w:val="16"/>
          <w:szCs w:val="16"/>
          <w:color w:val="auto"/>
        </w:rPr>
        <w:t>Adjusted EBIT* and Adjusted EBIT margin* were $795 million and 16.3%, an increase of $51 million and 90 basis points, respectively, primarily due to an increase in Gross profit, partially offset by an increase in operating expenses.</w:t>
      </w:r>
    </w:p>
    <w:p>
      <w:pPr>
        <w:spacing w:after="0" w:line="182"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Adjusted net income* was $521 million, an increase of $70 million primarily due to the increase in Gross profit and lower provision for income taxes, partially offset by an increase in operating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2024</w:t>
      </w:r>
    </w:p>
    <w:p>
      <w:pPr>
        <w:spacing w:after="0" w:line="26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Operating income was $1,824 million, an increase of $78 million and 50 basis points as a percent of Total revenues. The increase was due to the following factors:</w:t>
      </w:r>
    </w:p>
    <w:p>
      <w:pPr>
        <w:spacing w:after="0" w:line="168" w:lineRule="exact"/>
        <w:rPr>
          <w:sz w:val="20"/>
          <w:szCs w:val="20"/>
          <w:color w:val="auto"/>
        </w:rPr>
      </w:pPr>
    </w:p>
    <w:p>
      <w:pPr>
        <w:ind w:left="660" w:right="60" w:hanging="328"/>
        <w:spacing w:after="0" w:line="262" w:lineRule="auto"/>
        <w:tabs>
          <w:tab w:leader="none" w:pos="649" w:val="left"/>
        </w:tabs>
        <w:numPr>
          <w:ilvl w:val="0"/>
          <w:numId w:val="26"/>
        </w:numPr>
        <w:rPr>
          <w:rFonts w:ascii="Arial" w:cs="Arial" w:eastAsia="Arial" w:hAnsi="Arial"/>
          <w:sz w:val="16"/>
          <w:szCs w:val="16"/>
          <w:color w:val="231F20"/>
        </w:rPr>
      </w:pPr>
      <w:r>
        <w:rPr>
          <w:rFonts w:ascii="Arial" w:cs="Arial" w:eastAsia="Arial" w:hAnsi="Arial"/>
          <w:sz w:val="16"/>
          <w:szCs w:val="16"/>
          <w:color w:val="auto"/>
        </w:rPr>
        <w:t xml:space="preserve">Gross profit increased $164 million or 110 basis points as a percent of Total revenues primarily due to a reduction in Cost of products sold. Cost of products sold decreased $152 million or 110 basis points as a percent of Sales of products. The decrease as a percent of sales was driven by cost productivity and an increase in pricing of our products, partially offset by cost inflation. Cost of services sold decreased $5 million or 90 basis points as a percent of Sales of services. The decrease as a percent of sales was driven by cost productivity and an increase in pricing of our service offerings, partially offset by cost inflation. Included in our total cost of revenue as part of our product investment was $305 million in engineering costs for design follow-through on new product introductions and product lifecycle maintenance subsequent to the initial product launch, compared to $321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2" w:lineRule="exact"/>
        <w:rPr>
          <w:rFonts w:ascii="Arial" w:cs="Arial" w:eastAsia="Arial" w:hAnsi="Arial"/>
          <w:sz w:val="16"/>
          <w:szCs w:val="16"/>
          <w:color w:val="231F20"/>
        </w:rPr>
      </w:pPr>
    </w:p>
    <w:p>
      <w:pPr>
        <w:ind w:left="660" w:right="280" w:hanging="328"/>
        <w:spacing w:after="0" w:line="26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Total operating expenses increased $86 million due to an increase in R&amp;D investments of $77 million and an increase in SG&amp;A expense of $9 million primarily driven by timing of certain costs and increased restructuring spend, partially offset by lower Spin-Off and separation costs. As a result, R&amp;D as a percentage of Total revenues increased by 50 basis points and SG&amp;A as a percentage of Total revenues increased by 10 basis points.</w:t>
      </w:r>
    </w:p>
    <w:p>
      <w:pPr>
        <w:spacing w:after="0" w:line="200" w:lineRule="exact"/>
        <w:rPr>
          <w:sz w:val="20"/>
          <w:szCs w:val="20"/>
          <w:color w:val="auto"/>
        </w:rPr>
      </w:pPr>
    </w:p>
    <w:p>
      <w:pPr>
        <w:ind w:right="860"/>
        <w:spacing w:after="0" w:line="304" w:lineRule="auto"/>
        <w:rPr>
          <w:sz w:val="20"/>
          <w:szCs w:val="20"/>
          <w:color w:val="auto"/>
        </w:rPr>
      </w:pPr>
      <w:r>
        <w:rPr>
          <w:rFonts w:ascii="Arial" w:cs="Arial" w:eastAsia="Arial" w:hAnsi="Arial"/>
          <w:sz w:val="16"/>
          <w:szCs w:val="16"/>
          <w:color w:val="auto"/>
        </w:rPr>
        <w:t>Net income attributable to GE HealthCare and Net income margin were $1,272 million and 8.9%, an increase of $107 million and 70 basis points, respectively, primarily due to the following factors:</w:t>
      </w:r>
    </w:p>
    <w:p>
      <w:pPr>
        <w:spacing w:after="0" w:line="195"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i w:val="1"/>
          <w:iCs w:val="1"/>
          <w:color w:val="231F20"/>
        </w:rPr>
      </w:pPr>
      <w:r>
        <w:rPr>
          <w:rFonts w:ascii="Arial" w:cs="Arial" w:eastAsia="Arial" w:hAnsi="Arial"/>
          <w:sz w:val="16"/>
          <w:szCs w:val="16"/>
          <w:color w:val="auto"/>
        </w:rPr>
        <w:t>Operating income increased $78 million, as discussed above;</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$28 million primarily driven by repayments made on the Term Loan Facility;</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Non-operating benefit income decreased $26 million primarily related to lower amortization of net gains on our pension plans;</w:t>
      </w:r>
    </w:p>
    <w:p>
      <w:pPr>
        <w:spacing w:after="0" w:line="99" w:lineRule="exact"/>
        <w:rPr>
          <w:rFonts w:ascii="Arial" w:cs="Arial" w:eastAsia="Arial" w:hAnsi="Arial"/>
          <w:sz w:val="16"/>
          <w:szCs w:val="16"/>
          <w:color w:val="auto"/>
        </w:rPr>
      </w:pPr>
    </w:p>
    <w:p>
      <w:pPr>
        <w:ind w:left="660" w:right="920" w:hanging="328"/>
        <w:spacing w:after="0" w:line="304"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Other income – net decreased $84 million primarily driven by favorable impacts in the prior year from both derivatives gains and the tax indemnification benefit received from GE; and</w:t>
      </w:r>
    </w:p>
    <w:p>
      <w:pPr>
        <w:spacing w:after="0" w:line="19" w:lineRule="exact"/>
        <w:rPr>
          <w:rFonts w:ascii="Arial" w:cs="Arial" w:eastAsia="Arial" w:hAnsi="Arial"/>
          <w:sz w:val="16"/>
          <w:szCs w:val="16"/>
          <w:color w:val="auto"/>
        </w:rPr>
      </w:pPr>
    </w:p>
    <w:p>
      <w:pPr>
        <w:ind w:left="660" w:right="180" w:hanging="328"/>
        <w:spacing w:after="0" w:line="27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Provision for income taxes decreased $115 million primarily due to non-recurring impacts of the TMA with GE in the prior year and an incremental charge for the accrual of withholding and other foreign taxes due upon future distribution of earnings. For additional detail regarding our income taxes, see Note 10, “Income Taxes.”</w:t>
      </w:r>
    </w:p>
    <w:p>
      <w:pPr>
        <w:spacing w:after="0" w:line="205"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Adjusted EBIT* and Adjusted EBIT margin* were $2,217 million and 15.4%, an increase of $98 million and 70 basis points, respectively, primarily due to an increase in Gross profit, partially offset by investment in R&amp;D.</w:t>
      </w:r>
    </w:p>
    <w:p>
      <w:pPr>
        <w:spacing w:after="0" w:line="19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Adjusted net income* was $1,393 million, an increase of $135 million primarily due to an increase in Gross profit and lower provision for income taxes, partially offset by investment in R&amp;D.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Calibri" w:cs="Calibri" w:eastAsia="Calibri" w:hAnsi="Calibri"/>
          <w:sz w:val="19"/>
          <w:szCs w:val="19"/>
          <w:color w:val="auto"/>
        </w:rPr>
        <w:t>–</w:t>
      </w:r>
      <w:r>
        <w:rPr>
          <w:rFonts w:ascii="Arial" w:cs="Arial" w:eastAsia="Arial" w:hAnsi="Arial"/>
          <w:sz w:val="18"/>
          <w:szCs w:val="18"/>
          <w:b w:val="1"/>
          <w:bCs w:val="1"/>
          <w:color w:val="auto"/>
        </w:rPr>
        <w:t xml:space="preserve"> SEGMENTS</w:t>
      </w:r>
    </w:p>
    <w:p>
      <w:pPr>
        <w:spacing w:after="0" w:line="25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“Results of Operations” section above for discussion on segment revenue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23"/>
        </w:trPr>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60" w:type="dxa"/>
            <w:vAlign w:val="bottom"/>
            <w:gridSpan w:val="6"/>
          </w:tcPr>
          <w:p>
            <w:pPr>
              <w:ind w:left="20"/>
              <w:spacing w:after="0"/>
              <w:rPr>
                <w:sz w:val="20"/>
                <w:szCs w:val="20"/>
                <w:color w:val="auto"/>
              </w:rPr>
            </w:pPr>
            <w:r>
              <w:rPr>
                <w:rFonts w:ascii="Arial" w:cs="Arial" w:eastAsia="Arial" w:hAnsi="Arial"/>
                <w:sz w:val="16"/>
                <w:szCs w:val="16"/>
                <w:b w:val="1"/>
                <w:bCs w:val="1"/>
                <w:color w:val="454545"/>
              </w:rPr>
              <w:t>For the three months ended September 30</w:t>
            </w:r>
          </w:p>
        </w:tc>
        <w:tc>
          <w:tcPr>
            <w:tcW w:w="620" w:type="dxa"/>
            <w:vAlign w:val="bottom"/>
          </w:tcPr>
          <w:p>
            <w:pPr>
              <w:spacing w:after="0"/>
              <w:rPr>
                <w:sz w:val="19"/>
                <w:szCs w:val="19"/>
                <w:color w:val="auto"/>
              </w:rPr>
            </w:pPr>
          </w:p>
        </w:tc>
        <w:tc>
          <w:tcPr>
            <w:tcW w:w="322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nine months ended September 30</w:t>
            </w:r>
          </w:p>
        </w:tc>
        <w:tc>
          <w:tcPr>
            <w:tcW w:w="800" w:type="dxa"/>
            <w:vAlign w:val="bottom"/>
          </w:tcPr>
          <w:p>
            <w:pPr>
              <w:spacing w:after="0"/>
              <w:rPr>
                <w:sz w:val="19"/>
                <w:szCs w:val="19"/>
                <w:color w:val="auto"/>
              </w:rPr>
            </w:pPr>
          </w:p>
        </w:tc>
      </w:tr>
      <w:tr>
        <w:trPr>
          <w:trHeight w:val="48"/>
        </w:trPr>
        <w:tc>
          <w:tcPr>
            <w:tcW w:w="1600" w:type="dxa"/>
            <w:vAlign w:val="bottom"/>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580" w:type="dxa"/>
            <w:vAlign w:val="bottom"/>
            <w:tcBorders>
              <w:bottom w:val="single" w:sz="8" w:color="454545"/>
            </w:tcBorders>
          </w:tcPr>
          <w:p>
            <w:pPr>
              <w:spacing w:after="0"/>
              <w:rPr>
                <w:sz w:val="4"/>
                <w:szCs w:val="4"/>
                <w:color w:val="auto"/>
              </w:rPr>
            </w:pPr>
          </w:p>
        </w:tc>
        <w:tc>
          <w:tcPr>
            <w:tcW w:w="1360" w:type="dxa"/>
            <w:vAlign w:val="bottom"/>
            <w:tcBorders>
              <w:bottom w:val="single" w:sz="8" w:color="454545"/>
            </w:tcBorders>
          </w:tcPr>
          <w:p>
            <w:pPr>
              <w:spacing w:after="0"/>
              <w:rPr>
                <w:sz w:val="4"/>
                <w:szCs w:val="4"/>
                <w:color w:val="auto"/>
              </w:rPr>
            </w:pPr>
          </w:p>
        </w:tc>
        <w:tc>
          <w:tcPr>
            <w:tcW w:w="640" w:type="dxa"/>
            <w:vAlign w:val="bottom"/>
            <w:tcBorders>
              <w:bottom w:val="single" w:sz="8" w:color="454545"/>
            </w:tcBorders>
          </w:tcPr>
          <w:p>
            <w:pPr>
              <w:spacing w:after="0"/>
              <w:rPr>
                <w:sz w:val="4"/>
                <w:szCs w:val="4"/>
                <w:color w:val="auto"/>
              </w:rPr>
            </w:pPr>
          </w:p>
        </w:tc>
        <w:tc>
          <w:tcPr>
            <w:tcW w:w="1180" w:type="dxa"/>
            <w:vAlign w:val="bottom"/>
            <w:tcBorders>
              <w:bottom w:val="single" w:sz="8" w:color="454545"/>
            </w:tcBorders>
          </w:tcPr>
          <w:p>
            <w:pPr>
              <w:spacing w:after="0"/>
              <w:rPr>
                <w:sz w:val="4"/>
                <w:szCs w:val="4"/>
                <w:color w:val="auto"/>
              </w:rPr>
            </w:pPr>
          </w:p>
        </w:tc>
        <w:tc>
          <w:tcPr>
            <w:tcW w:w="840" w:type="dxa"/>
            <w:vAlign w:val="bottom"/>
            <w:tcBorders>
              <w:bottom w:val="single" w:sz="8" w:color="454545"/>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454545"/>
            </w:tcBorders>
          </w:tcPr>
          <w:p>
            <w:pPr>
              <w:spacing w:after="0"/>
              <w:rPr>
                <w:sz w:val="4"/>
                <w:szCs w:val="4"/>
                <w:color w:val="auto"/>
              </w:rPr>
            </w:pPr>
          </w:p>
        </w:tc>
        <w:tc>
          <w:tcPr>
            <w:tcW w:w="620" w:type="dxa"/>
            <w:vAlign w:val="bottom"/>
            <w:tcBorders>
              <w:bottom w:val="single" w:sz="8" w:color="454545"/>
            </w:tcBorders>
          </w:tcPr>
          <w:p>
            <w:pPr>
              <w:spacing w:after="0"/>
              <w:rPr>
                <w:sz w:val="4"/>
                <w:szCs w:val="4"/>
                <w:color w:val="auto"/>
              </w:rPr>
            </w:pPr>
          </w:p>
        </w:tc>
        <w:tc>
          <w:tcPr>
            <w:tcW w:w="1360" w:type="dxa"/>
            <w:vAlign w:val="bottom"/>
            <w:tcBorders>
              <w:bottom w:val="single" w:sz="8" w:color="454545"/>
            </w:tcBorders>
          </w:tcPr>
          <w:p>
            <w:pPr>
              <w:spacing w:after="0"/>
              <w:rPr>
                <w:sz w:val="4"/>
                <w:szCs w:val="4"/>
                <w:color w:val="auto"/>
              </w:rPr>
            </w:pPr>
          </w:p>
        </w:tc>
        <w:tc>
          <w:tcPr>
            <w:tcW w:w="620" w:type="dxa"/>
            <w:vAlign w:val="bottom"/>
            <w:tcBorders>
              <w:bottom w:val="single" w:sz="8" w:color="454545"/>
            </w:tcBorders>
          </w:tcPr>
          <w:p>
            <w:pPr>
              <w:spacing w:after="0"/>
              <w:rPr>
                <w:sz w:val="4"/>
                <w:szCs w:val="4"/>
                <w:color w:val="auto"/>
              </w:rPr>
            </w:pPr>
          </w:p>
        </w:tc>
        <w:tc>
          <w:tcPr>
            <w:tcW w:w="1240" w:type="dxa"/>
            <w:vAlign w:val="bottom"/>
            <w:tcBorders>
              <w:bottom w:val="single" w:sz="8" w:color="454545"/>
            </w:tcBorders>
          </w:tcPr>
          <w:p>
            <w:pPr>
              <w:spacing w:after="0"/>
              <w:rPr>
                <w:sz w:val="4"/>
                <w:szCs w:val="4"/>
                <w:color w:val="auto"/>
              </w:rPr>
            </w:pPr>
          </w:p>
        </w:tc>
        <w:tc>
          <w:tcPr>
            <w:tcW w:w="800" w:type="dxa"/>
            <w:vAlign w:val="bottom"/>
            <w:tcBorders>
              <w:bottom w:val="single" w:sz="8" w:color="454545"/>
            </w:tcBorders>
          </w:tcPr>
          <w:p>
            <w:pPr>
              <w:spacing w:after="0"/>
              <w:rPr>
                <w:sz w:val="4"/>
                <w:szCs w:val="4"/>
                <w:color w:val="auto"/>
              </w:rPr>
            </w:pPr>
          </w:p>
        </w:tc>
      </w:tr>
      <w:tr>
        <w:trPr>
          <w:trHeight w:val="209"/>
        </w:trPr>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6"/>
                <w:szCs w:val="16"/>
                <w:b w:val="1"/>
                <w:bCs w:val="1"/>
                <w:color w:val="454545"/>
              </w:rPr>
              <w:t>% of segment</w:t>
            </w:r>
          </w:p>
        </w:tc>
        <w:tc>
          <w:tcPr>
            <w:tcW w:w="6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454545"/>
              </w:rPr>
              <w:t>% of segment</w:t>
            </w: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60" w:type="dxa"/>
            <w:vAlign w:val="bottom"/>
          </w:tcPr>
          <w:p>
            <w:pPr>
              <w:ind w:left="80"/>
              <w:spacing w:after="0"/>
              <w:rPr>
                <w:sz w:val="20"/>
                <w:szCs w:val="20"/>
                <w:color w:val="auto"/>
              </w:rPr>
            </w:pPr>
            <w:r>
              <w:rPr>
                <w:rFonts w:ascii="Arial" w:cs="Arial" w:eastAsia="Arial" w:hAnsi="Arial"/>
                <w:sz w:val="16"/>
                <w:szCs w:val="16"/>
                <w:b w:val="1"/>
                <w:bCs w:val="1"/>
                <w:color w:val="454545"/>
              </w:rPr>
              <w:t>% of segment</w:t>
            </w:r>
          </w:p>
        </w:tc>
        <w:tc>
          <w:tcPr>
            <w:tcW w:w="6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b w:val="1"/>
                <w:bCs w:val="1"/>
                <w:color w:val="454545"/>
              </w:rPr>
              <w:t>% of segment</w:t>
            </w:r>
          </w:p>
        </w:tc>
        <w:tc>
          <w:tcPr>
            <w:tcW w:w="800" w:type="dxa"/>
            <w:vAlign w:val="bottom"/>
          </w:tcPr>
          <w:p>
            <w:pPr>
              <w:spacing w:after="0"/>
              <w:rPr>
                <w:sz w:val="18"/>
                <w:szCs w:val="18"/>
                <w:color w:val="auto"/>
              </w:rPr>
            </w:pPr>
          </w:p>
        </w:tc>
      </w:tr>
      <w:tr>
        <w:trPr>
          <w:trHeight w:val="223"/>
        </w:trPr>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2024</w:t>
            </w:r>
          </w:p>
        </w:tc>
        <w:tc>
          <w:tcPr>
            <w:tcW w:w="1360" w:type="dxa"/>
            <w:vAlign w:val="bottom"/>
          </w:tcPr>
          <w:p>
            <w:pPr>
              <w:ind w:left="260"/>
              <w:spacing w:after="0"/>
              <w:rPr>
                <w:sz w:val="20"/>
                <w:szCs w:val="20"/>
                <w:color w:val="auto"/>
              </w:rPr>
            </w:pPr>
            <w:r>
              <w:rPr>
                <w:rFonts w:ascii="Arial" w:cs="Arial" w:eastAsia="Arial" w:hAnsi="Arial"/>
                <w:sz w:val="16"/>
                <w:szCs w:val="16"/>
                <w:b w:val="1"/>
                <w:bCs w:val="1"/>
                <w:color w:val="454545"/>
              </w:rPr>
              <w:t>revenues</w:t>
            </w:r>
          </w:p>
        </w:tc>
        <w:tc>
          <w:tcPr>
            <w:tcW w:w="640" w:type="dxa"/>
            <w:vAlign w:val="bottom"/>
          </w:tcPr>
          <w:p>
            <w:pPr>
              <w:jc w:val="right"/>
              <w:ind w:right="139"/>
              <w:spacing w:after="0"/>
              <w:rPr>
                <w:sz w:val="20"/>
                <w:szCs w:val="20"/>
                <w:color w:val="auto"/>
              </w:rPr>
            </w:pPr>
            <w:r>
              <w:rPr>
                <w:rFonts w:ascii="Arial" w:cs="Arial" w:eastAsia="Arial" w:hAnsi="Arial"/>
                <w:sz w:val="16"/>
                <w:szCs w:val="16"/>
                <w:b w:val="1"/>
                <w:bCs w:val="1"/>
                <w:color w:val="454545"/>
              </w:rPr>
              <w:t>2023</w:t>
            </w:r>
          </w:p>
        </w:tc>
        <w:tc>
          <w:tcPr>
            <w:tcW w:w="1180" w:type="dxa"/>
            <w:vAlign w:val="bottom"/>
          </w:tcPr>
          <w:p>
            <w:pPr>
              <w:jc w:val="right"/>
              <w:ind w:right="159"/>
              <w:spacing w:after="0"/>
              <w:rPr>
                <w:sz w:val="20"/>
                <w:szCs w:val="20"/>
                <w:color w:val="auto"/>
              </w:rPr>
            </w:pPr>
            <w:r>
              <w:rPr>
                <w:rFonts w:ascii="Arial" w:cs="Arial" w:eastAsia="Arial" w:hAnsi="Arial"/>
                <w:sz w:val="16"/>
                <w:szCs w:val="16"/>
                <w:b w:val="1"/>
                <w:bCs w:val="1"/>
                <w:color w:val="454545"/>
              </w:rPr>
              <w:t>revenues</w:t>
            </w:r>
          </w:p>
        </w:tc>
        <w:tc>
          <w:tcPr>
            <w:tcW w:w="108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454545"/>
              </w:rPr>
              <w:t>% change</w:t>
            </w: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2024</w:t>
            </w:r>
          </w:p>
        </w:tc>
        <w:tc>
          <w:tcPr>
            <w:tcW w:w="1360" w:type="dxa"/>
            <w:vAlign w:val="bottom"/>
          </w:tcPr>
          <w:p>
            <w:pPr>
              <w:ind w:left="240"/>
              <w:spacing w:after="0"/>
              <w:rPr>
                <w:sz w:val="20"/>
                <w:szCs w:val="20"/>
                <w:color w:val="auto"/>
              </w:rPr>
            </w:pPr>
            <w:r>
              <w:rPr>
                <w:rFonts w:ascii="Arial" w:cs="Arial" w:eastAsia="Arial" w:hAnsi="Arial"/>
                <w:sz w:val="16"/>
                <w:szCs w:val="16"/>
                <w:b w:val="1"/>
                <w:bCs w:val="1"/>
                <w:color w:val="454545"/>
              </w:rPr>
              <w:t>revenues</w:t>
            </w: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2023</w:t>
            </w:r>
          </w:p>
        </w:tc>
        <w:tc>
          <w:tcPr>
            <w:tcW w:w="1240" w:type="dxa"/>
            <w:vAlign w:val="bottom"/>
          </w:tcPr>
          <w:p>
            <w:pPr>
              <w:jc w:val="right"/>
              <w:ind w:right="199"/>
              <w:spacing w:after="0"/>
              <w:rPr>
                <w:sz w:val="20"/>
                <w:szCs w:val="20"/>
                <w:color w:val="auto"/>
              </w:rPr>
            </w:pPr>
            <w:r>
              <w:rPr>
                <w:rFonts w:ascii="Arial" w:cs="Arial" w:eastAsia="Arial" w:hAnsi="Arial"/>
                <w:sz w:val="16"/>
                <w:szCs w:val="16"/>
                <w:b w:val="1"/>
                <w:bCs w:val="1"/>
                <w:color w:val="454545"/>
              </w:rPr>
              <w:t>revenues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454545"/>
                <w:w w:val="96"/>
              </w:rPr>
              <w:t>% change</w:t>
            </w:r>
          </w:p>
        </w:tc>
      </w:tr>
      <w:tr>
        <w:trPr>
          <w:trHeight w:val="21"/>
        </w:trPr>
        <w:tc>
          <w:tcPr>
            <w:tcW w:w="16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800" w:type="dxa"/>
            <w:vAlign w:val="bottom"/>
            <w:tcBorders>
              <w:bottom w:val="single" w:sz="8" w:color="6022A6"/>
            </w:tcBorders>
          </w:tcPr>
          <w:p>
            <w:pPr>
              <w:spacing w:after="0" w:line="20" w:lineRule="exact"/>
              <w:rPr>
                <w:sz w:val="1"/>
                <w:szCs w:val="1"/>
                <w:color w:val="auto"/>
              </w:rPr>
            </w:pPr>
          </w:p>
        </w:tc>
      </w:tr>
      <w:tr>
        <w:trPr>
          <w:trHeight w:val="250"/>
        </w:trPr>
        <w:tc>
          <w:tcPr>
            <w:tcW w:w="1600" w:type="dxa"/>
            <w:vAlign w:val="bottom"/>
            <w:shd w:val="clear" w:color="auto" w:fill="E4E4E4"/>
          </w:tcPr>
          <w:p>
            <w:pPr>
              <w:ind w:left="80"/>
              <w:spacing w:after="0"/>
              <w:rPr>
                <w:sz w:val="20"/>
                <w:szCs w:val="20"/>
                <w:color w:val="auto"/>
              </w:rPr>
            </w:pPr>
            <w:r>
              <w:rPr>
                <w:rFonts w:ascii="Arial" w:cs="Arial" w:eastAsia="Arial" w:hAnsi="Arial"/>
                <w:sz w:val="16"/>
                <w:szCs w:val="16"/>
                <w:color w:val="auto"/>
              </w:rPr>
              <w:t>Segment EBIT</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580" w:type="dxa"/>
            <w:vAlign w:val="bottom"/>
            <w:shd w:val="clear" w:color="auto" w:fill="E4E4E4"/>
          </w:tcPr>
          <w:p>
            <w:pPr>
              <w:spacing w:after="0"/>
              <w:rPr>
                <w:sz w:val="21"/>
                <w:szCs w:val="21"/>
                <w:color w:val="auto"/>
              </w:rPr>
            </w:pPr>
          </w:p>
        </w:tc>
        <w:tc>
          <w:tcPr>
            <w:tcW w:w="1360" w:type="dxa"/>
            <w:vAlign w:val="bottom"/>
            <w:shd w:val="clear" w:color="auto" w:fill="E4E4E4"/>
          </w:tcPr>
          <w:p>
            <w:pPr>
              <w:spacing w:after="0"/>
              <w:rPr>
                <w:sz w:val="21"/>
                <w:szCs w:val="21"/>
                <w:color w:val="auto"/>
              </w:rPr>
            </w:pPr>
          </w:p>
        </w:tc>
        <w:tc>
          <w:tcPr>
            <w:tcW w:w="640" w:type="dxa"/>
            <w:vAlign w:val="bottom"/>
            <w:shd w:val="clear" w:color="auto" w:fill="E4E4E4"/>
          </w:tcPr>
          <w:p>
            <w:pPr>
              <w:spacing w:after="0"/>
              <w:rPr>
                <w:sz w:val="21"/>
                <w:szCs w:val="21"/>
                <w:color w:val="auto"/>
              </w:rPr>
            </w:pPr>
          </w:p>
        </w:tc>
        <w:tc>
          <w:tcPr>
            <w:tcW w:w="1180" w:type="dxa"/>
            <w:vAlign w:val="bottom"/>
            <w:shd w:val="clear" w:color="auto" w:fill="E4E4E4"/>
          </w:tcPr>
          <w:p>
            <w:pPr>
              <w:spacing w:after="0"/>
              <w:rPr>
                <w:sz w:val="21"/>
                <w:szCs w:val="21"/>
                <w:color w:val="auto"/>
              </w:rPr>
            </w:pPr>
          </w:p>
        </w:tc>
        <w:tc>
          <w:tcPr>
            <w:tcW w:w="840" w:type="dxa"/>
            <w:vAlign w:val="bottom"/>
            <w:shd w:val="clear" w:color="auto" w:fill="E4E4E4"/>
          </w:tcPr>
          <w:p>
            <w:pPr>
              <w:spacing w:after="0"/>
              <w:rPr>
                <w:sz w:val="21"/>
                <w:szCs w:val="21"/>
                <w:color w:val="auto"/>
              </w:rPr>
            </w:pP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620" w:type="dxa"/>
            <w:vAlign w:val="bottom"/>
            <w:shd w:val="clear" w:color="auto" w:fill="E4E4E4"/>
          </w:tcPr>
          <w:p>
            <w:pPr>
              <w:spacing w:after="0"/>
              <w:rPr>
                <w:sz w:val="21"/>
                <w:szCs w:val="21"/>
                <w:color w:val="auto"/>
              </w:rPr>
            </w:pPr>
          </w:p>
        </w:tc>
        <w:tc>
          <w:tcPr>
            <w:tcW w:w="1360" w:type="dxa"/>
            <w:vAlign w:val="bottom"/>
            <w:shd w:val="clear" w:color="auto" w:fill="E4E4E4"/>
          </w:tcPr>
          <w:p>
            <w:pPr>
              <w:spacing w:after="0"/>
              <w:rPr>
                <w:sz w:val="21"/>
                <w:szCs w:val="21"/>
                <w:color w:val="auto"/>
              </w:rPr>
            </w:pPr>
          </w:p>
        </w:tc>
        <w:tc>
          <w:tcPr>
            <w:tcW w:w="620" w:type="dxa"/>
            <w:vAlign w:val="bottom"/>
            <w:shd w:val="clear" w:color="auto" w:fill="E4E4E4"/>
          </w:tcPr>
          <w:p>
            <w:pPr>
              <w:spacing w:after="0"/>
              <w:rPr>
                <w:sz w:val="21"/>
                <w:szCs w:val="21"/>
                <w:color w:val="auto"/>
              </w:rPr>
            </w:pPr>
          </w:p>
        </w:tc>
        <w:tc>
          <w:tcPr>
            <w:tcW w:w="1240" w:type="dxa"/>
            <w:vAlign w:val="bottom"/>
            <w:shd w:val="clear" w:color="auto" w:fill="E4E4E4"/>
          </w:tcPr>
          <w:p>
            <w:pPr>
              <w:spacing w:after="0"/>
              <w:rPr>
                <w:sz w:val="21"/>
                <w:szCs w:val="21"/>
                <w:color w:val="auto"/>
              </w:rPr>
            </w:pPr>
          </w:p>
        </w:tc>
        <w:tc>
          <w:tcPr>
            <w:tcW w:w="800" w:type="dxa"/>
            <w:vAlign w:val="bottom"/>
            <w:shd w:val="clear" w:color="auto" w:fill="E4E4E4"/>
          </w:tcPr>
          <w:p>
            <w:pPr>
              <w:spacing w:after="0"/>
              <w:rPr>
                <w:sz w:val="21"/>
                <w:szCs w:val="21"/>
                <w:color w:val="auto"/>
              </w:rPr>
            </w:pPr>
          </w:p>
        </w:tc>
      </w:tr>
      <w:tr>
        <w:trPr>
          <w:trHeight w:val="254"/>
        </w:trPr>
        <w:tc>
          <w:tcPr>
            <w:tcW w:w="1600" w:type="dxa"/>
            <w:vAlign w:val="bottom"/>
          </w:tcPr>
          <w:p>
            <w:pPr>
              <w:ind w:left="300"/>
              <w:spacing w:after="0"/>
              <w:rPr>
                <w:sz w:val="20"/>
                <w:szCs w:val="20"/>
                <w:color w:val="auto"/>
              </w:rPr>
            </w:pPr>
            <w:r>
              <w:rPr>
                <w:rFonts w:ascii="Arial" w:cs="Arial" w:eastAsia="Arial" w:hAnsi="Arial"/>
                <w:sz w:val="16"/>
                <w:szCs w:val="16"/>
                <w:color w:val="auto"/>
              </w:rPr>
              <w:t>Imaging</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287</w:t>
            </w:r>
          </w:p>
        </w:tc>
        <w:tc>
          <w:tcPr>
            <w:tcW w:w="1360" w:type="dxa"/>
            <w:vAlign w:val="bottom"/>
          </w:tcPr>
          <w:p>
            <w:pPr>
              <w:ind w:left="680"/>
              <w:spacing w:after="0"/>
              <w:rPr>
                <w:sz w:val="20"/>
                <w:szCs w:val="20"/>
                <w:color w:val="auto"/>
              </w:rPr>
            </w:pPr>
            <w:r>
              <w:rPr>
                <w:rFonts w:ascii="Arial" w:cs="Arial" w:eastAsia="Arial" w:hAnsi="Arial"/>
                <w:sz w:val="16"/>
                <w:szCs w:val="16"/>
                <w:color w:val="auto"/>
              </w:rPr>
              <w:t>12.9 % $</w:t>
            </w:r>
          </w:p>
        </w:tc>
        <w:tc>
          <w:tcPr>
            <w:tcW w:w="640" w:type="dxa"/>
            <w:vAlign w:val="bottom"/>
          </w:tcPr>
          <w:p>
            <w:pPr>
              <w:jc w:val="right"/>
              <w:spacing w:after="0"/>
              <w:rPr>
                <w:sz w:val="20"/>
                <w:szCs w:val="20"/>
                <w:color w:val="auto"/>
              </w:rPr>
            </w:pPr>
            <w:r>
              <w:rPr>
                <w:rFonts w:ascii="Arial" w:cs="Arial" w:eastAsia="Arial" w:hAnsi="Arial"/>
                <w:sz w:val="16"/>
                <w:szCs w:val="16"/>
                <w:color w:val="auto"/>
              </w:rPr>
              <w:t>243</w:t>
            </w:r>
          </w:p>
        </w:tc>
        <w:tc>
          <w:tcPr>
            <w:tcW w:w="1180" w:type="dxa"/>
            <w:vAlign w:val="bottom"/>
          </w:tcPr>
          <w:p>
            <w:pPr>
              <w:jc w:val="right"/>
              <w:spacing w:after="0"/>
              <w:rPr>
                <w:sz w:val="20"/>
                <w:szCs w:val="20"/>
                <w:color w:val="auto"/>
              </w:rPr>
            </w:pPr>
            <w:r>
              <w:rPr>
                <w:rFonts w:ascii="Arial" w:cs="Arial" w:eastAsia="Arial" w:hAnsi="Arial"/>
                <w:sz w:val="16"/>
                <w:szCs w:val="16"/>
                <w:color w:val="auto"/>
              </w:rPr>
              <w:t>10.9 %</w:t>
            </w:r>
          </w:p>
        </w:tc>
        <w:tc>
          <w:tcPr>
            <w:tcW w:w="1080" w:type="dxa"/>
            <w:vAlign w:val="bottom"/>
            <w:gridSpan w:val="3"/>
          </w:tcPr>
          <w:p>
            <w:pPr>
              <w:jc w:val="right"/>
              <w:ind w:right="60"/>
              <w:spacing w:after="0"/>
              <w:rPr>
                <w:sz w:val="20"/>
                <w:szCs w:val="20"/>
                <w:color w:val="auto"/>
              </w:rPr>
            </w:pPr>
            <w:r>
              <w:rPr>
                <w:rFonts w:ascii="Arial" w:cs="Arial" w:eastAsia="Arial" w:hAnsi="Arial"/>
                <w:sz w:val="16"/>
                <w:szCs w:val="16"/>
                <w:color w:val="auto"/>
              </w:rPr>
              <w:t>18 %  $</w:t>
            </w:r>
          </w:p>
        </w:tc>
        <w:tc>
          <w:tcPr>
            <w:tcW w:w="620" w:type="dxa"/>
            <w:vAlign w:val="bottom"/>
          </w:tcPr>
          <w:p>
            <w:pPr>
              <w:jc w:val="right"/>
              <w:spacing w:after="0"/>
              <w:rPr>
                <w:sz w:val="20"/>
                <w:szCs w:val="20"/>
                <w:color w:val="auto"/>
              </w:rPr>
            </w:pPr>
            <w:r>
              <w:rPr>
                <w:rFonts w:ascii="Arial" w:cs="Arial" w:eastAsia="Arial" w:hAnsi="Arial"/>
                <w:sz w:val="16"/>
                <w:szCs w:val="16"/>
                <w:color w:val="auto"/>
              </w:rPr>
              <w:t>660</w:t>
            </w:r>
          </w:p>
        </w:tc>
        <w:tc>
          <w:tcPr>
            <w:tcW w:w="1360" w:type="dxa"/>
            <w:vAlign w:val="bottom"/>
          </w:tcPr>
          <w:p>
            <w:pPr>
              <w:ind w:left="660"/>
              <w:spacing w:after="0"/>
              <w:rPr>
                <w:sz w:val="20"/>
                <w:szCs w:val="20"/>
                <w:color w:val="auto"/>
              </w:rPr>
            </w:pPr>
            <w:r>
              <w:rPr>
                <w:rFonts w:ascii="Arial" w:cs="Arial" w:eastAsia="Arial" w:hAnsi="Arial"/>
                <w:sz w:val="16"/>
                <w:szCs w:val="16"/>
                <w:color w:val="auto"/>
              </w:rPr>
              <w:t>10.2 % $</w:t>
            </w:r>
          </w:p>
        </w:tc>
        <w:tc>
          <w:tcPr>
            <w:tcW w:w="620" w:type="dxa"/>
            <w:vAlign w:val="bottom"/>
          </w:tcPr>
          <w:p>
            <w:pPr>
              <w:jc w:val="right"/>
              <w:spacing w:after="0"/>
              <w:rPr>
                <w:sz w:val="20"/>
                <w:szCs w:val="20"/>
                <w:color w:val="auto"/>
              </w:rPr>
            </w:pPr>
            <w:r>
              <w:rPr>
                <w:rFonts w:ascii="Arial" w:cs="Arial" w:eastAsia="Arial" w:hAnsi="Arial"/>
                <w:sz w:val="16"/>
                <w:szCs w:val="16"/>
                <w:color w:val="auto"/>
              </w:rPr>
              <w:t>566</w:t>
            </w:r>
          </w:p>
        </w:tc>
        <w:tc>
          <w:tcPr>
            <w:tcW w:w="1240" w:type="dxa"/>
            <w:vAlign w:val="bottom"/>
          </w:tcPr>
          <w:p>
            <w:pPr>
              <w:jc w:val="right"/>
              <w:spacing w:after="0"/>
              <w:rPr>
                <w:sz w:val="20"/>
                <w:szCs w:val="20"/>
                <w:color w:val="auto"/>
              </w:rPr>
            </w:pPr>
            <w:r>
              <w:rPr>
                <w:rFonts w:ascii="Arial" w:cs="Arial" w:eastAsia="Arial" w:hAnsi="Arial"/>
                <w:sz w:val="16"/>
                <w:szCs w:val="16"/>
                <w:color w:val="auto"/>
              </w:rPr>
              <w:t>8.6 %</w:t>
            </w:r>
          </w:p>
        </w:tc>
        <w:tc>
          <w:tcPr>
            <w:tcW w:w="80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9"/>
        </w:trPr>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3"/>
        </w:trPr>
        <w:tc>
          <w:tcPr>
            <w:tcW w:w="16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AVS</w:t>
            </w:r>
          </w:p>
        </w:tc>
        <w:tc>
          <w:tcPr>
            <w:tcW w:w="16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232</w:t>
            </w:r>
          </w:p>
        </w:tc>
        <w:tc>
          <w:tcPr>
            <w:tcW w:w="1360" w:type="dxa"/>
            <w:vAlign w:val="bottom"/>
            <w:tcBorders>
              <w:bottom w:val="single" w:sz="8" w:color="E4E4E4"/>
            </w:tcBorders>
            <w:shd w:val="clear" w:color="auto" w:fill="E4E4E4"/>
          </w:tcPr>
          <w:p>
            <w:pPr>
              <w:ind w:left="680"/>
              <w:spacing w:after="0"/>
              <w:rPr>
                <w:sz w:val="20"/>
                <w:szCs w:val="20"/>
                <w:color w:val="auto"/>
              </w:rPr>
            </w:pPr>
            <w:r>
              <w:rPr>
                <w:rFonts w:ascii="Arial" w:cs="Arial" w:eastAsia="Arial" w:hAnsi="Arial"/>
                <w:sz w:val="16"/>
                <w:szCs w:val="16"/>
                <w:color w:val="auto"/>
              </w:rPr>
              <w:t>19.0 %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254</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w:t>
            </w:r>
          </w:p>
        </w:tc>
        <w:tc>
          <w:tcPr>
            <w:tcW w:w="1360" w:type="dxa"/>
            <w:vAlign w:val="bottom"/>
            <w:tcBorders>
              <w:bottom w:val="single" w:sz="8" w:color="E4E4E4"/>
            </w:tcBorders>
            <w:shd w:val="clear" w:color="auto" w:fill="E4E4E4"/>
          </w:tcPr>
          <w:p>
            <w:pPr>
              <w:ind w:left="660"/>
              <w:spacing w:after="0"/>
              <w:rPr>
                <w:sz w:val="20"/>
                <w:szCs w:val="20"/>
                <w:color w:val="auto"/>
              </w:rPr>
            </w:pPr>
            <w:r>
              <w:rPr>
                <w:rFonts w:ascii="Arial" w:cs="Arial" w:eastAsia="Arial" w:hAnsi="Arial"/>
                <w:sz w:val="16"/>
                <w:szCs w:val="16"/>
                <w:color w:val="auto"/>
              </w:rPr>
              <w:t>20.2 %</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798</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21.5 %</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54"/>
        </w:trPr>
        <w:tc>
          <w:tcPr>
            <w:tcW w:w="1600" w:type="dxa"/>
            <w:vAlign w:val="bottom"/>
          </w:tcPr>
          <w:p>
            <w:pPr>
              <w:ind w:left="300"/>
              <w:spacing w:after="0"/>
              <w:rPr>
                <w:sz w:val="20"/>
                <w:szCs w:val="20"/>
                <w:color w:val="auto"/>
              </w:rPr>
            </w:pPr>
            <w:r>
              <w:rPr>
                <w:rFonts w:ascii="Arial" w:cs="Arial" w:eastAsia="Arial" w:hAnsi="Arial"/>
                <w:sz w:val="16"/>
                <w:szCs w:val="16"/>
                <w:color w:val="auto"/>
              </w:rPr>
              <w:t>PCS</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1360" w:type="dxa"/>
            <w:vAlign w:val="bottom"/>
          </w:tcPr>
          <w:p>
            <w:pPr>
              <w:ind w:left="680"/>
              <w:spacing w:after="0"/>
              <w:rPr>
                <w:sz w:val="20"/>
                <w:szCs w:val="20"/>
                <w:color w:val="auto"/>
              </w:rPr>
            </w:pPr>
            <w:r>
              <w:rPr>
                <w:rFonts w:ascii="Arial" w:cs="Arial" w:eastAsia="Arial" w:hAnsi="Arial"/>
                <w:sz w:val="16"/>
                <w:szCs w:val="16"/>
                <w:color w:val="auto"/>
              </w:rPr>
              <w:t>10.6 %</w:t>
            </w:r>
          </w:p>
        </w:tc>
        <w:tc>
          <w:tcPr>
            <w:tcW w:w="640" w:type="dxa"/>
            <w:vAlign w:val="bottom"/>
          </w:tcPr>
          <w:p>
            <w:pPr>
              <w:jc w:val="right"/>
              <w:spacing w:after="0"/>
              <w:rPr>
                <w:sz w:val="20"/>
                <w:szCs w:val="20"/>
                <w:color w:val="auto"/>
              </w:rPr>
            </w:pPr>
            <w:r>
              <w:rPr>
                <w:rFonts w:ascii="Arial" w:cs="Arial" w:eastAsia="Arial" w:hAnsi="Arial"/>
                <w:sz w:val="16"/>
                <w:szCs w:val="16"/>
                <w:color w:val="auto"/>
              </w:rPr>
              <w:t>80</w:t>
            </w:r>
          </w:p>
        </w:tc>
        <w:tc>
          <w:tcPr>
            <w:tcW w:w="1180" w:type="dxa"/>
            <w:vAlign w:val="bottom"/>
          </w:tcPr>
          <w:p>
            <w:pPr>
              <w:jc w:val="right"/>
              <w:spacing w:after="0"/>
              <w:rPr>
                <w:sz w:val="20"/>
                <w:szCs w:val="20"/>
                <w:color w:val="auto"/>
              </w:rPr>
            </w:pPr>
            <w:r>
              <w:rPr>
                <w:rFonts w:ascii="Arial" w:cs="Arial" w:eastAsia="Arial" w:hAnsi="Arial"/>
                <w:sz w:val="16"/>
                <w:szCs w:val="16"/>
                <w:color w:val="auto"/>
              </w:rPr>
              <w:t>10.5 %</w:t>
            </w:r>
          </w:p>
        </w:tc>
        <w:tc>
          <w:tcPr>
            <w:tcW w:w="840" w:type="dxa"/>
            <w:vAlign w:val="bottom"/>
          </w:tcPr>
          <w:p>
            <w:pPr>
              <w:jc w:val="right"/>
              <w:spacing w:after="0"/>
              <w:rPr>
                <w:sz w:val="20"/>
                <w:szCs w:val="20"/>
                <w:color w:val="auto"/>
              </w:rPr>
            </w:pPr>
            <w:r>
              <w:rPr>
                <w:rFonts w:ascii="Arial" w:cs="Arial" w:eastAsia="Arial" w:hAnsi="Arial"/>
                <w:sz w:val="16"/>
                <w:szCs w:val="16"/>
                <w:color w:val="auto"/>
              </w:rPr>
              <w:t>3 %</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241</w:t>
            </w:r>
          </w:p>
        </w:tc>
        <w:tc>
          <w:tcPr>
            <w:tcW w:w="1360" w:type="dxa"/>
            <w:vAlign w:val="bottom"/>
          </w:tcPr>
          <w:p>
            <w:pPr>
              <w:ind w:left="660"/>
              <w:spacing w:after="0"/>
              <w:rPr>
                <w:sz w:val="20"/>
                <w:szCs w:val="20"/>
                <w:color w:val="auto"/>
              </w:rPr>
            </w:pPr>
            <w:r>
              <w:rPr>
                <w:rFonts w:ascii="Arial" w:cs="Arial" w:eastAsia="Arial" w:hAnsi="Arial"/>
                <w:sz w:val="16"/>
                <w:szCs w:val="16"/>
                <w:color w:val="auto"/>
              </w:rPr>
              <w:t>10.5 %</w:t>
            </w:r>
          </w:p>
        </w:tc>
        <w:tc>
          <w:tcPr>
            <w:tcW w:w="620" w:type="dxa"/>
            <w:vAlign w:val="bottom"/>
          </w:tcPr>
          <w:p>
            <w:pPr>
              <w:jc w:val="right"/>
              <w:spacing w:after="0"/>
              <w:rPr>
                <w:sz w:val="20"/>
                <w:szCs w:val="20"/>
                <w:color w:val="auto"/>
              </w:rPr>
            </w:pPr>
            <w:r>
              <w:rPr>
                <w:rFonts w:ascii="Arial" w:cs="Arial" w:eastAsia="Arial" w:hAnsi="Arial"/>
                <w:sz w:val="16"/>
                <w:szCs w:val="16"/>
                <w:color w:val="auto"/>
              </w:rPr>
              <w:t>273</w:t>
            </w:r>
          </w:p>
        </w:tc>
        <w:tc>
          <w:tcPr>
            <w:tcW w:w="1240" w:type="dxa"/>
            <w:vAlign w:val="bottom"/>
          </w:tcPr>
          <w:p>
            <w:pPr>
              <w:jc w:val="right"/>
              <w:spacing w:after="0"/>
              <w:rPr>
                <w:sz w:val="20"/>
                <w:szCs w:val="20"/>
                <w:color w:val="auto"/>
              </w:rPr>
            </w:pPr>
            <w:r>
              <w:rPr>
                <w:rFonts w:ascii="Arial" w:cs="Arial" w:eastAsia="Arial" w:hAnsi="Arial"/>
                <w:sz w:val="16"/>
                <w:szCs w:val="16"/>
                <w:color w:val="auto"/>
              </w:rPr>
              <w:t>11.8 %</w:t>
            </w: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63"/>
        </w:trPr>
        <w:tc>
          <w:tcPr>
            <w:tcW w:w="160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16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1360" w:type="dxa"/>
            <w:vAlign w:val="bottom"/>
            <w:tcBorders>
              <w:bottom w:val="single" w:sz="8" w:color="E4E4E4"/>
            </w:tcBorders>
            <w:shd w:val="clear" w:color="auto" w:fill="E4E4E4"/>
          </w:tcPr>
          <w:p>
            <w:pPr>
              <w:ind w:left="680"/>
              <w:spacing w:after="0"/>
              <w:rPr>
                <w:sz w:val="20"/>
                <w:szCs w:val="20"/>
                <w:color w:val="auto"/>
              </w:rPr>
            </w:pPr>
            <w:r>
              <w:rPr>
                <w:rFonts w:ascii="Arial" w:cs="Arial" w:eastAsia="Arial" w:hAnsi="Arial"/>
                <w:sz w:val="16"/>
                <w:szCs w:val="16"/>
                <w:color w:val="auto"/>
              </w:rPr>
              <w:t>30.9 %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166</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28.2 %</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16 %</w:t>
            </w:r>
          </w:p>
        </w:tc>
        <w:tc>
          <w:tcPr>
            <w:tcW w:w="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571</w:t>
            </w:r>
          </w:p>
        </w:tc>
        <w:tc>
          <w:tcPr>
            <w:tcW w:w="1360" w:type="dxa"/>
            <w:vAlign w:val="bottom"/>
            <w:tcBorders>
              <w:bottom w:val="single" w:sz="8" w:color="E4E4E4"/>
            </w:tcBorders>
            <w:shd w:val="clear" w:color="auto" w:fill="E4E4E4"/>
          </w:tcPr>
          <w:p>
            <w:pPr>
              <w:ind w:left="660"/>
              <w:spacing w:after="0"/>
              <w:rPr>
                <w:sz w:val="20"/>
                <w:szCs w:val="20"/>
                <w:color w:val="auto"/>
              </w:rPr>
            </w:pPr>
            <w:r>
              <w:rPr>
                <w:rFonts w:ascii="Arial" w:cs="Arial" w:eastAsia="Arial" w:hAnsi="Arial"/>
                <w:sz w:val="16"/>
                <w:szCs w:val="16"/>
                <w:color w:val="auto"/>
              </w:rPr>
              <w:t>30.6 %</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473</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27.6 %</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21 %</w:t>
            </w:r>
          </w:p>
        </w:tc>
      </w:tr>
      <w:tr>
        <w:trPr>
          <w:trHeight w:val="20"/>
        </w:trPr>
        <w:tc>
          <w:tcPr>
            <w:tcW w:w="1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For additional details regarding Segment EBIT, see Note 3, “Segment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 xml:space="preserve">For the </w:t>
      </w:r>
      <w:r>
        <w:rPr>
          <w:rFonts w:ascii="Arial" w:cs="Arial" w:eastAsia="Arial" w:hAnsi="Arial"/>
          <w:sz w:val="16"/>
          <w:szCs w:val="16"/>
          <w:i w:val="1"/>
          <w:iCs w:val="1"/>
          <w:color w:val="000000"/>
        </w:rPr>
        <w:t>three months ended</w:t>
      </w:r>
      <w:r>
        <w:rPr>
          <w:rFonts w:ascii="Arial" w:cs="Arial" w:eastAsia="Arial" w:hAnsi="Arial"/>
          <w:sz w:val="16"/>
          <w:szCs w:val="16"/>
          <w:i w:val="1"/>
          <w:iCs w:val="1"/>
          <w:color w:val="231F20"/>
        </w:rPr>
        <w:t xml:space="preserve"> September 30, 2024</w:t>
      </w:r>
    </w:p>
    <w:p>
      <w:pPr>
        <w:spacing w:after="0" w:line="260" w:lineRule="exact"/>
        <w:rPr>
          <w:sz w:val="20"/>
          <w:szCs w:val="20"/>
          <w:color w:val="auto"/>
        </w:rPr>
      </w:pPr>
    </w:p>
    <w:p>
      <w:pPr>
        <w:ind w:left="660" w:right="120" w:hanging="328"/>
        <w:spacing w:after="0" w:line="304" w:lineRule="auto"/>
        <w:tabs>
          <w:tab w:leader="none" w:pos="649"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Imaging Segment EBIT was $287 million, an increase of $44 million due to cost productivity, favorable mix, and an increase in price, partially offset by cost inflation;</w:t>
      </w:r>
    </w:p>
    <w:p>
      <w:pPr>
        <w:spacing w:after="0" w:line="1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AVS Segment EBIT was $232 million, a decrease of $22 million due to unfavorable mix, with cost productivity offsetting inflation;</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PCS Segment EBIT was $82 million, an increase of $2 million with cost productivity offsetting inflation; and</w:t>
      </w:r>
    </w:p>
    <w:p>
      <w:pPr>
        <w:spacing w:after="0" w:line="9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8"/>
        </w:numPr>
        <w:rPr>
          <w:rFonts w:ascii="Arial" w:cs="Arial" w:eastAsia="Arial" w:hAnsi="Arial"/>
          <w:sz w:val="16"/>
          <w:szCs w:val="16"/>
          <w:i w:val="1"/>
          <w:iCs w:val="1"/>
          <w:color w:val="231F20"/>
        </w:rPr>
      </w:pPr>
      <w:r>
        <w:rPr>
          <w:rFonts w:ascii="Arial" w:cs="Arial" w:eastAsia="Arial" w:hAnsi="Arial"/>
          <w:sz w:val="16"/>
          <w:szCs w:val="16"/>
          <w:color w:val="auto"/>
        </w:rPr>
        <w:t>PDx Segment EBIT was $193 million, an increase of $27 million due to an increase in price, growth in sales volume, and cost productivity.</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nine months ended September 30, 2024</w:t>
      </w:r>
    </w:p>
    <w:p>
      <w:pPr>
        <w:spacing w:after="0" w:line="260" w:lineRule="exact"/>
        <w:rPr>
          <w:sz w:val="20"/>
          <w:szCs w:val="20"/>
          <w:color w:val="auto"/>
        </w:rPr>
      </w:pPr>
    </w:p>
    <w:p>
      <w:pPr>
        <w:ind w:left="660" w:right="640" w:hanging="328"/>
        <w:spacing w:after="0" w:line="304"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Imaging Segment EBIT was $660 million, an increase of $94 million due to cost productivity and an increase in price, partially offset by cost inflation;</w:t>
      </w:r>
    </w:p>
    <w:p>
      <w:pPr>
        <w:spacing w:after="0" w:line="19" w:lineRule="exact"/>
        <w:rPr>
          <w:rFonts w:ascii="Arial" w:cs="Arial" w:eastAsia="Arial" w:hAnsi="Arial"/>
          <w:sz w:val="16"/>
          <w:szCs w:val="16"/>
          <w:i w:val="1"/>
          <w:iCs w:val="1"/>
          <w:color w:val="231F20"/>
        </w:rPr>
      </w:pPr>
    </w:p>
    <w:p>
      <w:pPr>
        <w:ind w:left="640" w:hanging="308"/>
        <w:spacing w:after="0"/>
        <w:tabs>
          <w:tab w:leader="none" w:pos="640"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AVS Segment EBIT was $744 million, a decrease of $54 million due to cost inflation and unfavorable mix, partially offset by cost productivity;</w:t>
      </w:r>
    </w:p>
    <w:p>
      <w:pPr>
        <w:spacing w:after="0" w:line="99" w:lineRule="exact"/>
        <w:rPr>
          <w:rFonts w:ascii="Arial" w:cs="Arial" w:eastAsia="Arial" w:hAnsi="Arial"/>
          <w:sz w:val="16"/>
          <w:szCs w:val="16"/>
          <w:i w:val="1"/>
          <w:iCs w:val="1"/>
          <w:color w:val="231F20"/>
        </w:rPr>
      </w:pPr>
    </w:p>
    <w:p>
      <w:pPr>
        <w:ind w:left="660" w:right="620" w:hanging="328"/>
        <w:spacing w:after="0" w:line="286"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PCS Segment EBIT was $241 million, a decrease of $32 million due to cost inflation and a decrease in sales volume, partially offset by cost productivity; and</w:t>
      </w:r>
    </w:p>
    <w:p>
      <w:pPr>
        <w:spacing w:after="0" w:line="34" w:lineRule="exact"/>
        <w:rPr>
          <w:rFonts w:ascii="Arial" w:cs="Arial" w:eastAsia="Arial" w:hAnsi="Arial"/>
          <w:sz w:val="16"/>
          <w:szCs w:val="16"/>
          <w:i w:val="1"/>
          <w:iCs w:val="1"/>
          <w:color w:val="231F20"/>
        </w:rPr>
      </w:pPr>
    </w:p>
    <w:p>
      <w:pPr>
        <w:ind w:left="660" w:right="140" w:hanging="328"/>
        <w:spacing w:after="0" w:line="304" w:lineRule="auto"/>
        <w:tabs>
          <w:tab w:leader="none" w:pos="649" w:val="left"/>
        </w:tabs>
        <w:numPr>
          <w:ilvl w:val="0"/>
          <w:numId w:val="29"/>
        </w:numPr>
        <w:rPr>
          <w:rFonts w:ascii="Arial" w:cs="Arial" w:eastAsia="Arial" w:hAnsi="Arial"/>
          <w:sz w:val="16"/>
          <w:szCs w:val="16"/>
          <w:i w:val="1"/>
          <w:iCs w:val="1"/>
          <w:color w:val="231F20"/>
        </w:rPr>
      </w:pPr>
      <w:r>
        <w:rPr>
          <w:rFonts w:ascii="Arial" w:cs="Arial" w:eastAsia="Arial" w:hAnsi="Arial"/>
          <w:sz w:val="16"/>
          <w:szCs w:val="16"/>
          <w:color w:val="auto"/>
        </w:rPr>
        <w:t>PDx Segment EBIT was $571 million, an increase of $98 million due to an increase in price, growth in sales volume, and cost productivity, partially offset by investments and cost inflation.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non-GAAP financial measures presented in this Quarterly Report on Form 10-Q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spacing w:after="0" w:line="20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spacing w:after="0" w:line="198"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report EBIT, Adjusted EBIT, Adjusted EBIT margin, Adjusted net income, and Adjusted earnings per share to provide management and investors with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 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spacing w:after="0" w:line="209"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report Adjusted tax expense and Adjusted effective tax rate (“Adjusted ETR”) to provide investors with a better understanding of the normalized tax rate applicable to our business and provide more consistent comparability across periods. A</w:t>
      </w:r>
      <w:r>
        <w:rPr>
          <w:rFonts w:ascii="Arial" w:cs="Arial" w:eastAsia="Arial" w:hAnsi="Arial"/>
          <w:sz w:val="16"/>
          <w:szCs w:val="16"/>
          <w:color w:val="231F20"/>
        </w:rPr>
        <w:t>djusted tax expense excludes the income tax related to the pre-tax</w:t>
      </w:r>
      <w:r>
        <w:rPr>
          <w:rFonts w:ascii="Arial" w:cs="Arial" w:eastAsia="Arial" w:hAnsi="Arial"/>
          <w:sz w:val="16"/>
          <w:szCs w:val="16"/>
          <w:color w:val="auto"/>
        </w:rPr>
        <w:t xml:space="preserve"> </w:t>
      </w:r>
      <w:r>
        <w:rPr>
          <w:rFonts w:ascii="Arial" w:cs="Arial" w:eastAsia="Arial" w:hAnsi="Arial"/>
          <w:sz w:val="16"/>
          <w:szCs w:val="16"/>
          <w:color w:val="231F20"/>
        </w:rPr>
        <w:t>income 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38" w:name="page39"/>
    <w:bookmarkEnd w:id="38"/>
    <w:p>
      <w:pPr>
        <w:jc w:val="both"/>
        <w:ind w:right="40"/>
        <w:spacing w:after="0" w:line="277" w:lineRule="auto"/>
        <w:rPr>
          <w:sz w:val="20"/>
          <w:szCs w:val="20"/>
          <w:color w:val="auto"/>
        </w:rPr>
      </w:pPr>
      <w:r>
        <w:rPr>
          <w:rFonts w:ascii="Arial" w:cs="Arial" w:eastAsia="Arial" w:hAnsi="Arial"/>
          <w:sz w:val="16"/>
          <w:szCs w:val="16"/>
          <w:color w:val="auto"/>
        </w:rPr>
        <w:t>We report Free cash flow to provide management and investors with an important measure of our ability to generate cash on a normalized basis and provide insight into our flexibility to allocate capital</w:t>
      </w:r>
      <w:r>
        <w:rPr>
          <w:rFonts w:ascii="Arial" w:cs="Arial" w:eastAsia="Arial" w:hAnsi="Arial"/>
          <w:sz w:val="16"/>
          <w:szCs w:val="16"/>
          <w:color w:val="231F20"/>
        </w:rPr>
        <w:t>. Free cash flow is Cash from (used for) operating activities – continuing operations including cash flows related to</w:t>
      </w:r>
      <w:r>
        <w:rPr>
          <w:rFonts w:ascii="Arial" w:cs="Arial" w:eastAsia="Arial" w:hAnsi="Arial"/>
          <w:sz w:val="16"/>
          <w:szCs w:val="16"/>
          <w:color w:val="auto"/>
        </w:rPr>
        <w:t xml:space="preserve"> </w:t>
      </w:r>
      <w:r>
        <w:rPr>
          <w:rFonts w:ascii="Arial" w:cs="Arial" w:eastAsia="Arial" w:hAnsi="Arial"/>
          <w:sz w:val="16"/>
          <w:szCs w:val="16"/>
          <w:color w:val="231F20"/>
        </w:rPr>
        <w:t xml:space="preserve">the additions and dispositions of property, plant, and equipment (“PP&amp;E”) and additions of internal-use software. </w:t>
      </w:r>
      <w:r>
        <w:rPr>
          <w:rFonts w:ascii="Arial" w:cs="Arial" w:eastAsia="Arial" w:hAnsi="Arial"/>
          <w:sz w:val="16"/>
          <w:szCs w:val="16"/>
          <w:color w:val="000000"/>
        </w:rPr>
        <w:t>Free cash flow does not represent residual</w:t>
      </w:r>
      <w:r>
        <w:rPr>
          <w:rFonts w:ascii="Arial" w:cs="Arial" w:eastAsia="Arial" w:hAnsi="Arial"/>
          <w:sz w:val="16"/>
          <w:szCs w:val="16"/>
          <w:color w:val="231F20"/>
        </w:rPr>
        <w:t xml:space="preserve"> </w:t>
      </w:r>
      <w:r>
        <w:rPr>
          <w:rFonts w:ascii="Arial" w:cs="Arial" w:eastAsia="Arial" w:hAnsi="Arial"/>
          <w:sz w:val="16"/>
          <w:szCs w:val="16"/>
          <w:color w:val="000000"/>
        </w:rPr>
        <w:t>cash flows available for discretionary expenditures, due to the fact that the measure does not deduct the capital required for debt repayments.</w:t>
      </w:r>
    </w:p>
    <w:p>
      <w:pPr>
        <w:spacing w:after="0" w:line="204"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4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140" w:type="dxa"/>
            <w:vAlign w:val="bottom"/>
          </w:tcPr>
          <w:p>
            <w:pPr>
              <w:spacing w:after="0"/>
              <w:rPr>
                <w:sz w:val="20"/>
                <w:szCs w:val="20"/>
                <w:color w:val="auto"/>
              </w:rPr>
            </w:pPr>
          </w:p>
        </w:tc>
        <w:tc>
          <w:tcPr>
            <w:tcW w:w="3560" w:type="dxa"/>
            <w:vAlign w:val="bottom"/>
            <w:gridSpan w:val="5"/>
          </w:tcPr>
          <w:p>
            <w:pPr>
              <w:ind w:left="20"/>
              <w:spacing w:after="0"/>
              <w:rPr>
                <w:sz w:val="20"/>
                <w:szCs w:val="20"/>
                <w:color w:val="auto"/>
              </w:rPr>
            </w:pPr>
            <w:r>
              <w:rPr>
                <w:rFonts w:ascii="Arial" w:cs="Arial" w:eastAsia="Arial" w:hAnsi="Arial"/>
                <w:sz w:val="16"/>
                <w:szCs w:val="16"/>
                <w:b w:val="1"/>
                <w:bCs w:val="1"/>
                <w:color w:val="454545"/>
              </w:rPr>
              <w:t>For the three months ended September 30</w:t>
            </w:r>
          </w:p>
        </w:tc>
        <w:tc>
          <w:tcPr>
            <w:tcW w:w="160" w:type="dxa"/>
            <w:vAlign w:val="bottom"/>
          </w:tcPr>
          <w:p>
            <w:pPr>
              <w:spacing w:after="0"/>
              <w:rPr>
                <w:sz w:val="20"/>
                <w:szCs w:val="20"/>
                <w:color w:val="auto"/>
              </w:rPr>
            </w:pPr>
          </w:p>
        </w:tc>
        <w:tc>
          <w:tcPr>
            <w:tcW w:w="34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394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300" w:type="dxa"/>
            <w:vAlign w:val="bottom"/>
          </w:tcPr>
          <w:p>
            <w:pPr>
              <w:spacing w:after="0"/>
              <w:rPr>
                <w:sz w:val="19"/>
                <w:szCs w:val="19"/>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454545"/>
              </w:rPr>
              <w:t>% change</w:t>
            </w:r>
          </w:p>
        </w:tc>
        <w:tc>
          <w:tcPr>
            <w:tcW w:w="160" w:type="dxa"/>
            <w:vAlign w:val="bottom"/>
          </w:tcPr>
          <w:p>
            <w:pPr>
              <w:spacing w:after="0"/>
              <w:rPr>
                <w:sz w:val="19"/>
                <w:szCs w:val="19"/>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9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2,236</w:t>
            </w:r>
          </w:p>
        </w:tc>
        <w:tc>
          <w:tcPr>
            <w:tcW w:w="1200" w:type="dxa"/>
            <w:vAlign w:val="bottom"/>
            <w:tcBorders>
              <w:bottom w:val="single" w:sz="8" w:color="E4E4E4"/>
            </w:tcBorders>
            <w:gridSpan w:val="2"/>
            <w:shd w:val="clear" w:color="auto" w:fill="E4E4E4"/>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6,462</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6,552</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7"/>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3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2,236</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6,497</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6,552</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1,216</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1,214</w:t>
            </w:r>
          </w:p>
        </w:tc>
        <w:tc>
          <w:tcPr>
            <w:tcW w:w="12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3,712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2"/>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Organic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1,218</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1,214</w:t>
            </w:r>
          </w:p>
        </w:tc>
        <w:tc>
          <w:tcPr>
            <w:tcW w:w="120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3,713</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3,712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764</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2,298</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2,315</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6"/>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8"/>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3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779</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764</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2,302</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2,315</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625</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1,862</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r>
      <w:tr>
        <w:trPr>
          <w:trHeight w:val="21"/>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6"/>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2"/>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630</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589</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1,876</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1,715</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19</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52</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57"/>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160" w:type="dxa"/>
            <w:vAlign w:val="bottom"/>
            <w:shd w:val="clear" w:color="auto" w:fill="E4E4E4"/>
          </w:tcPr>
          <w:p>
            <w:pPr>
              <w:spacing w:after="0"/>
              <w:rPr>
                <w:sz w:val="22"/>
                <w:szCs w:val="22"/>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E4E4E4"/>
          </w:tcPr>
          <w:p>
            <w:pPr>
              <w:spacing w:after="0"/>
              <w:rPr>
                <w:sz w:val="22"/>
                <w:szCs w:val="22"/>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2"/>
                <w:szCs w:val="22"/>
                <w:color w:val="auto"/>
              </w:rPr>
            </w:pPr>
          </w:p>
        </w:tc>
      </w:tr>
      <w:tr>
        <w:trPr>
          <w:trHeight w:val="228"/>
        </w:trPr>
        <w:tc>
          <w:tcPr>
            <w:tcW w:w="39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9"/>
                <w:szCs w:val="19"/>
                <w:color w:val="auto"/>
              </w:rPr>
            </w:pPr>
          </w:p>
        </w:tc>
      </w:tr>
      <w:tr>
        <w:trPr>
          <w:trHeight w:val="29"/>
        </w:trPr>
        <w:tc>
          <w:tcPr>
            <w:tcW w:w="3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19</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12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52</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4,863</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4,822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14,353</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14,346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39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140" w:type="dxa"/>
            <w:vAlign w:val="bottom"/>
            <w:shd w:val="clear" w:color="auto" w:fill="E4E4E4"/>
          </w:tcPr>
          <w:p>
            <w:pPr>
              <w:spacing w:after="0"/>
              <w:rPr>
                <w:sz w:val="21"/>
                <w:szCs w:val="21"/>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300" w:type="dxa"/>
            <w:vAlign w:val="bottom"/>
            <w:shd w:val="clear" w:color="auto" w:fill="E4E4E4"/>
          </w:tcPr>
          <w:p>
            <w:pPr>
              <w:spacing w:after="0"/>
              <w:rPr>
                <w:sz w:val="21"/>
                <w:szCs w:val="21"/>
                <w:color w:val="auto"/>
              </w:rPr>
            </w:pPr>
          </w:p>
        </w:tc>
        <w:tc>
          <w:tcPr>
            <w:tcW w:w="100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10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280" w:type="dxa"/>
            <w:vAlign w:val="bottom"/>
            <w:shd w:val="clear" w:color="auto" w:fill="E4E4E4"/>
          </w:tcPr>
          <w:p>
            <w:pPr>
              <w:spacing w:after="0"/>
              <w:rPr>
                <w:sz w:val="21"/>
                <w:szCs w:val="21"/>
                <w:color w:val="auto"/>
              </w:rPr>
            </w:pPr>
          </w:p>
        </w:tc>
        <w:tc>
          <w:tcPr>
            <w:tcW w:w="1020" w:type="dxa"/>
            <w:vAlign w:val="bottom"/>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E4E4E4"/>
          </w:tcPr>
          <w:p>
            <w:pPr>
              <w:spacing w:after="0"/>
              <w:rPr>
                <w:sz w:val="21"/>
                <w:szCs w:val="21"/>
                <w:color w:val="auto"/>
              </w:rPr>
            </w:pPr>
          </w:p>
        </w:tc>
      </w:tr>
      <w:tr>
        <w:trPr>
          <w:trHeight w:val="257"/>
        </w:trPr>
        <w:tc>
          <w:tcPr>
            <w:tcW w:w="39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1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2"/>
                <w:szCs w:val="22"/>
                <w:color w:val="auto"/>
              </w:rPr>
            </w:pPr>
          </w:p>
        </w:tc>
      </w:tr>
      <w:tr>
        <w:trPr>
          <w:trHeight w:val="261"/>
        </w:trPr>
        <w:tc>
          <w:tcPr>
            <w:tcW w:w="39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14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(104)</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spacing w:after="0"/>
              <w:rPr>
                <w:sz w:val="22"/>
                <w:szCs w:val="22"/>
                <w:color w:val="auto"/>
              </w:rPr>
            </w:pPr>
          </w:p>
        </w:tc>
      </w:tr>
      <w:tr>
        <w:trPr>
          <w:trHeight w:val="229"/>
        </w:trPr>
        <w:tc>
          <w:tcPr>
            <w:tcW w:w="39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4,863</w:t>
            </w:r>
          </w:p>
        </w:tc>
        <w:tc>
          <w:tcPr>
            <w:tcW w:w="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4,822</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14,427</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14,346</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21"/>
        </w:trPr>
        <w:tc>
          <w:tcPr>
            <w:tcW w:w="3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w:t>
      </w:r>
    </w:p>
    <w:p>
      <w:pPr>
        <w:ind w:left="440" w:hanging="414"/>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39" w:name="page40"/>
    <w:bookmarkEnd w:id="39"/>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Pr>
          <w:p>
            <w:pPr>
              <w:spacing w:after="0"/>
              <w:rPr>
                <w:sz w:val="17"/>
                <w:szCs w:val="17"/>
                <w:color w:val="auto"/>
              </w:rPr>
            </w:pPr>
          </w:p>
        </w:tc>
        <w:tc>
          <w:tcPr>
            <w:tcW w:w="28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7"/>
                <w:szCs w:val="17"/>
                <w:color w:val="auto"/>
              </w:rPr>
            </w:pPr>
          </w:p>
        </w:tc>
        <w:tc>
          <w:tcPr>
            <w:tcW w:w="2740" w:type="dxa"/>
            <w:vAlign w:val="bottom"/>
            <w:gridSpan w:val="4"/>
          </w:tcPr>
          <w:p>
            <w:pPr>
              <w:jc w:val="center"/>
              <w:ind w:right="13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1"/>
        </w:trPr>
        <w:tc>
          <w:tcPr>
            <w:tcW w:w="52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6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2023</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454545"/>
              </w:rPr>
              <w:t>% change</w:t>
            </w:r>
          </w:p>
        </w:tc>
        <w:tc>
          <w:tcPr>
            <w:tcW w:w="200" w:type="dxa"/>
            <w:vAlign w:val="bottom"/>
          </w:tcPr>
          <w:p>
            <w:pPr>
              <w:spacing w:after="0"/>
              <w:rPr>
                <w:sz w:val="19"/>
                <w:szCs w:val="19"/>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6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2023</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52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375</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1,272</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1,165</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383</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411</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(94)</w:t>
            </w:r>
          </w:p>
        </w:tc>
        <w:tc>
          <w:tcPr>
            <w:tcW w:w="9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(306)</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(332)</w:t>
            </w:r>
          </w:p>
        </w:tc>
        <w:tc>
          <w:tcPr>
            <w:tcW w:w="9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24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(435)</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(550)</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(4)</w:t>
            </w:r>
          </w:p>
        </w:tc>
        <w:tc>
          <w:tcPr>
            <w:tcW w:w="9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(4)</w:t>
            </w:r>
          </w:p>
        </w:tc>
        <w:tc>
          <w:tcPr>
            <w:tcW w:w="9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(33)</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EBIT*</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685</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680</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1,825</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1,831</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52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34</w:t>
            </w: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2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(14)</w:t>
            </w:r>
          </w:p>
        </w:tc>
        <w:tc>
          <w:tcPr>
            <w:tcW w:w="9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(15)</w:t>
            </w:r>
          </w:p>
        </w:tc>
        <w:tc>
          <w:tcPr>
            <w:tcW w:w="90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45</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w:t>
            </w:r>
          </w:p>
        </w:tc>
        <w:tc>
          <w:tcPr>
            <w:tcW w:w="26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175</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2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240" w:type="dxa"/>
            <w:vAlign w:val="bottom"/>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32</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20" w:type="dxa"/>
            <w:vAlign w:val="bottom"/>
            <w:tcBorders>
              <w:bottom w:val="single" w:sz="8" w:color="auto"/>
            </w:tcBorders>
            <w:shd w:val="clear" w:color="auto" w:fill="E4E4E4"/>
          </w:tcPr>
          <w:p>
            <w:pPr>
              <w:spacing w:after="0"/>
              <w:rPr>
                <w:sz w:val="22"/>
                <w:szCs w:val="22"/>
                <w:color w:val="auto"/>
              </w:rPr>
            </w:pPr>
          </w:p>
        </w:tc>
        <w:tc>
          <w:tcPr>
            <w:tcW w:w="7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color w:val="auto"/>
              </w:rPr>
              <w:t>(2)</w:t>
            </w:r>
          </w:p>
        </w:tc>
        <w:tc>
          <w:tcPr>
            <w:tcW w:w="900" w:type="dxa"/>
            <w:vAlign w:val="bottom"/>
            <w:tcBorders>
              <w:bottom w:val="single" w:sz="8" w:color="auto"/>
            </w:tcBorders>
            <w:shd w:val="clear" w:color="auto" w:fill="E4E4E4"/>
          </w:tcPr>
          <w:p>
            <w:pPr>
              <w:spacing w:after="0"/>
              <w:rPr>
                <w:sz w:val="22"/>
                <w:szCs w:val="22"/>
                <w:color w:val="auto"/>
              </w:rPr>
            </w:pPr>
          </w:p>
        </w:tc>
        <w:tc>
          <w:tcPr>
            <w:tcW w:w="120" w:type="dxa"/>
            <w:vAlign w:val="bottom"/>
            <w:tcBorders>
              <w:bottom w:val="single" w:sz="8" w:color="auto"/>
            </w:tcBorders>
            <w:shd w:val="clear" w:color="auto" w:fill="E4E4E4"/>
          </w:tcPr>
          <w:p>
            <w:pPr>
              <w:spacing w:after="0"/>
              <w:rPr>
                <w:sz w:val="22"/>
                <w:szCs w:val="22"/>
                <w:color w:val="auto"/>
              </w:rPr>
            </w:pPr>
          </w:p>
        </w:tc>
        <w:tc>
          <w:tcPr>
            <w:tcW w:w="200" w:type="dxa"/>
            <w:vAlign w:val="bottom"/>
            <w:tcBorders>
              <w:bottom w:val="single" w:sz="8" w:color="auto"/>
            </w:tcBorders>
            <w:shd w:val="clear" w:color="auto" w:fill="E4E4E4"/>
          </w:tcPr>
          <w:p>
            <w:pPr>
              <w:spacing w:after="0"/>
              <w:rPr>
                <w:sz w:val="22"/>
                <w:szCs w:val="22"/>
                <w:color w:val="auto"/>
              </w:rPr>
            </w:pPr>
          </w:p>
        </w:tc>
        <w:tc>
          <w:tcPr>
            <w:tcW w:w="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ind w:right="79"/>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795</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744</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2,217</w:t>
            </w:r>
          </w:p>
        </w:tc>
        <w:tc>
          <w:tcPr>
            <w:tcW w:w="26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2,119</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margin</w:t>
            </w:r>
          </w:p>
        </w:tc>
        <w:tc>
          <w:tcPr>
            <w:tcW w:w="22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7.8%</w:t>
            </w:r>
          </w:p>
        </w:tc>
        <w:tc>
          <w:tcPr>
            <w:tcW w:w="1020" w:type="dxa"/>
            <w:vAlign w:val="bottom"/>
            <w:tcBorders>
              <w:bottom w:val="single" w:sz="8" w:color="E4E4E4"/>
            </w:tcBorders>
            <w:gridSpan w:val="2"/>
            <w:shd w:val="clear" w:color="auto" w:fill="E4E4E4"/>
          </w:tcPr>
          <w:p>
            <w:pPr>
              <w:jc w:val="right"/>
              <w:ind w:right="180"/>
              <w:spacing w:after="0"/>
              <w:rPr>
                <w:sz w:val="20"/>
                <w:szCs w:val="20"/>
                <w:color w:val="auto"/>
              </w:rPr>
            </w:pPr>
            <w:r>
              <w:rPr>
                <w:rFonts w:ascii="Arial" w:cs="Arial" w:eastAsia="Arial" w:hAnsi="Arial"/>
                <w:sz w:val="16"/>
                <w:szCs w:val="16"/>
                <w:b w:val="1"/>
                <w:bCs w:val="1"/>
                <w:color w:val="auto"/>
              </w:rPr>
              <w:t>190 bps</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8.9%</w:t>
            </w:r>
          </w:p>
        </w:tc>
        <w:tc>
          <w:tcPr>
            <w:tcW w:w="2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8.1%</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70 bps</w:t>
            </w:r>
          </w:p>
        </w:tc>
        <w:tc>
          <w:tcPr>
            <w:tcW w:w="0" w:type="dxa"/>
            <w:vAlign w:val="bottom"/>
          </w:tcPr>
          <w:p>
            <w:pPr>
              <w:spacing w:after="0"/>
              <w:rPr>
                <w:sz w:val="1"/>
                <w:szCs w:val="1"/>
                <w:color w:val="auto"/>
              </w:rPr>
            </w:pPr>
          </w:p>
        </w:tc>
      </w:tr>
      <w:tr>
        <w:trPr>
          <w:trHeight w:val="236"/>
        </w:trPr>
        <w:tc>
          <w:tcPr>
            <w:tcW w:w="5240" w:type="dxa"/>
            <w:vAlign w:val="bottom"/>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16.3%</w:t>
            </w: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15.4%</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90 bps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15.4%</w:t>
            </w:r>
          </w:p>
        </w:tc>
        <w:tc>
          <w:tcPr>
            <w:tcW w:w="26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b w:val="1"/>
                <w:bCs w:val="1"/>
                <w:color w:val="auto"/>
              </w:rPr>
              <w:t>14.8%</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70 bps</w:t>
            </w:r>
          </w:p>
        </w:tc>
        <w:tc>
          <w:tcPr>
            <w:tcW w:w="0" w:type="dxa"/>
            <w:vAlign w:val="bottom"/>
          </w:tcPr>
          <w:p>
            <w:pPr>
              <w:spacing w:after="0"/>
              <w:rPr>
                <w:sz w:val="1"/>
                <w:szCs w:val="1"/>
                <w:color w:val="auto"/>
              </w:rPr>
            </w:pP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68"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21" w:lineRule="exact"/>
        <w:rPr>
          <w:rFonts w:ascii="Arial" w:cs="Arial" w:eastAsia="Arial" w:hAnsi="Arial"/>
          <w:sz w:val="16"/>
          <w:szCs w:val="16"/>
          <w:color w:val="auto"/>
        </w:rPr>
      </w:pPr>
    </w:p>
    <w:p>
      <w:pPr>
        <w:ind w:left="440" w:right="200" w:hanging="414"/>
        <w:spacing w:after="0" w:line="268" w:lineRule="auto"/>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34" w:lineRule="exact"/>
        <w:rPr>
          <w:rFonts w:ascii="Arial" w:cs="Arial" w:eastAsia="Arial" w:hAnsi="Arial"/>
          <w:sz w:val="16"/>
          <w:szCs w:val="16"/>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Pr>
          <w:p>
            <w:pPr>
              <w:spacing w:after="0"/>
              <w:rPr>
                <w:sz w:val="17"/>
                <w:szCs w:val="17"/>
                <w:color w:val="auto"/>
              </w:rPr>
            </w:pPr>
          </w:p>
        </w:tc>
        <w:tc>
          <w:tcPr>
            <w:tcW w:w="282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454545"/>
              </w:rPr>
              <w:t>For the three months ended</w:t>
            </w:r>
          </w:p>
        </w:tc>
        <w:tc>
          <w:tcPr>
            <w:tcW w:w="200" w:type="dxa"/>
            <w:vAlign w:val="bottom"/>
          </w:tcPr>
          <w:p>
            <w:pPr>
              <w:spacing w:after="0"/>
              <w:rPr>
                <w:sz w:val="17"/>
                <w:szCs w:val="17"/>
                <w:color w:val="auto"/>
              </w:rPr>
            </w:pPr>
          </w:p>
        </w:tc>
        <w:tc>
          <w:tcPr>
            <w:tcW w:w="2720" w:type="dxa"/>
            <w:vAlign w:val="bottom"/>
            <w:gridSpan w:val="4"/>
          </w:tcPr>
          <w:p>
            <w:pPr>
              <w:jc w:val="center"/>
              <w:ind w:right="11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1"/>
        </w:trPr>
        <w:tc>
          <w:tcPr>
            <w:tcW w:w="53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September 30</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40" w:type="dxa"/>
            <w:vAlign w:val="bottom"/>
          </w:tcPr>
          <w:p>
            <w:pPr>
              <w:jc w:val="center"/>
              <w:ind w:right="199"/>
              <w:spacing w:after="0"/>
              <w:rPr>
                <w:sz w:val="20"/>
                <w:szCs w:val="20"/>
                <w:color w:val="auto"/>
              </w:rPr>
            </w:pPr>
            <w:r>
              <w:rPr>
                <w:rFonts w:ascii="Arial" w:cs="Arial" w:eastAsia="Arial" w:hAnsi="Arial"/>
                <w:sz w:val="16"/>
                <w:szCs w:val="16"/>
                <w:b w:val="1"/>
                <w:bCs w:val="1"/>
                <w:color w:val="454545"/>
              </w:rPr>
              <w:t>2023</w:t>
            </w: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454545"/>
              </w:rPr>
              <w:t>% change</w:t>
            </w:r>
          </w:p>
        </w:tc>
        <w:tc>
          <w:tcPr>
            <w:tcW w:w="200" w:type="dxa"/>
            <w:vAlign w:val="bottom"/>
          </w:tcPr>
          <w:p>
            <w:pPr>
              <w:spacing w:after="0"/>
              <w:rPr>
                <w:sz w:val="19"/>
                <w:szCs w:val="19"/>
                <w:color w:val="auto"/>
              </w:rPr>
            </w:pPr>
          </w:p>
        </w:tc>
        <w:tc>
          <w:tcPr>
            <w:tcW w:w="70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86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2023</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530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470</w:t>
            </w:r>
          </w:p>
        </w:tc>
        <w:tc>
          <w:tcPr>
            <w:tcW w:w="26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375</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Borders>
              <w:bottom w:val="single" w:sz="8" w:color="E4E4E4"/>
            </w:tcBorders>
            <w:shd w:val="clear" w:color="auto" w:fill="E4E4E4"/>
          </w:tcPr>
          <w:p>
            <w:pPr>
              <w:spacing w:after="0"/>
              <w:rPr>
                <w:sz w:val="23"/>
                <w:szCs w:val="23"/>
                <w:color w:val="auto"/>
              </w:rPr>
            </w:pP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1,272</w:t>
            </w:r>
          </w:p>
        </w:tc>
        <w:tc>
          <w:tcPr>
            <w:tcW w:w="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1,165</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68"/>
        </w:trPr>
        <w:tc>
          <w:tcPr>
            <w:tcW w:w="530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23"/>
                <w:szCs w:val="23"/>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(94)</w:t>
            </w: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(306)</w:t>
            </w:r>
          </w:p>
        </w:tc>
        <w:tc>
          <w:tcPr>
            <w:tcW w:w="260" w:type="dxa"/>
            <w:vAlign w:val="bottom"/>
          </w:tcPr>
          <w:p>
            <w:pPr>
              <w:spacing w:after="0"/>
              <w:rPr>
                <w:sz w:val="23"/>
                <w:szCs w:val="23"/>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(332)</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3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4"/>
                <w:szCs w:val="24"/>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3</w:t>
            </w:r>
          </w:p>
        </w:tc>
        <w:tc>
          <w:tcPr>
            <w:tcW w:w="9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90</w:t>
            </w:r>
          </w:p>
        </w:tc>
        <w:tc>
          <w:tcPr>
            <w:tcW w:w="260" w:type="dxa"/>
            <w:vAlign w:val="bottom"/>
            <w:shd w:val="clear" w:color="auto" w:fill="E4E4E4"/>
          </w:tcPr>
          <w:p>
            <w:pPr>
              <w:spacing w:after="0"/>
              <w:rPr>
                <w:sz w:val="24"/>
                <w:szCs w:val="24"/>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34</w:t>
            </w:r>
          </w:p>
        </w:tc>
        <w:tc>
          <w:tcPr>
            <w:tcW w:w="9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w:t>
            </w:r>
          </w:p>
        </w:tc>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c>
          <w:tcPr>
            <w:tcW w:w="26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shd w:val="clear" w:color="auto" w:fill="E4E4E4"/>
          </w:tcPr>
          <w:p>
            <w:pPr>
              <w:spacing w:after="0"/>
              <w:rPr>
                <w:sz w:val="24"/>
                <w:szCs w:val="24"/>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E4E4E4"/>
          </w:tcPr>
          <w:p>
            <w:pPr>
              <w:spacing w:after="0"/>
              <w:rPr>
                <w:sz w:val="24"/>
                <w:szCs w:val="24"/>
                <w:color w:val="auto"/>
              </w:rPr>
            </w:pPr>
          </w:p>
        </w:tc>
        <w:tc>
          <w:tcPr>
            <w:tcW w:w="84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45</w:t>
            </w:r>
          </w:p>
        </w:tc>
        <w:tc>
          <w:tcPr>
            <w:tcW w:w="9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200" w:type="dxa"/>
            <w:vAlign w:val="bottom"/>
            <w:shd w:val="clear" w:color="auto" w:fill="E4E4E4"/>
          </w:tcPr>
          <w:p>
            <w:pPr>
              <w:spacing w:after="0"/>
              <w:rPr>
                <w:sz w:val="24"/>
                <w:szCs w:val="24"/>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182</w:t>
            </w:r>
          </w:p>
        </w:tc>
        <w:tc>
          <w:tcPr>
            <w:tcW w:w="260" w:type="dxa"/>
            <w:vAlign w:val="bottom"/>
            <w:shd w:val="clear" w:color="auto" w:fill="E4E4E4"/>
          </w:tcPr>
          <w:p>
            <w:pPr>
              <w:spacing w:after="0"/>
              <w:rPr>
                <w:sz w:val="24"/>
                <w:szCs w:val="24"/>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175</w:t>
            </w:r>
          </w:p>
        </w:tc>
        <w:tc>
          <w:tcPr>
            <w:tcW w:w="90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32</w:t>
            </w:r>
          </w:p>
        </w:tc>
        <w:tc>
          <w:tcPr>
            <w:tcW w:w="9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bottom w:val="single" w:sz="8" w:color="E4E4E4"/>
            </w:tcBorders>
            <w:shd w:val="clear" w:color="auto" w:fill="E4E4E4"/>
          </w:tcPr>
          <w:p>
            <w:pPr>
              <w:spacing w:after="0"/>
              <w:rPr>
                <w:sz w:val="24"/>
                <w:szCs w:val="24"/>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95</w:t>
            </w:r>
          </w:p>
        </w:tc>
        <w:tc>
          <w:tcPr>
            <w:tcW w:w="90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30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20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60" w:type="dxa"/>
            <w:vAlign w:val="bottom"/>
            <w:shd w:val="clear" w:color="auto" w:fill="E4E4E4"/>
          </w:tcPr>
          <w:p>
            <w:pPr>
              <w:spacing w:after="0"/>
              <w:rPr>
                <w:sz w:val="22"/>
                <w:szCs w:val="22"/>
                <w:color w:val="auto"/>
              </w:rPr>
            </w:pPr>
          </w:p>
        </w:tc>
        <w:tc>
          <w:tcPr>
            <w:tcW w:w="84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(4)</w:t>
            </w:r>
          </w:p>
        </w:tc>
        <w:tc>
          <w:tcPr>
            <w:tcW w:w="900" w:type="dxa"/>
            <w:vAlign w:val="bottom"/>
            <w:shd w:val="clear" w:color="auto" w:fill="E4E4E4"/>
          </w:tcPr>
          <w:p>
            <w:pPr>
              <w:spacing w:after="0"/>
              <w:rPr>
                <w:sz w:val="22"/>
                <w:szCs w:val="22"/>
                <w:color w:val="auto"/>
              </w:rPr>
            </w:pPr>
          </w:p>
        </w:tc>
        <w:tc>
          <w:tcPr>
            <w:tcW w:w="120" w:type="dxa"/>
            <w:vAlign w:val="bottom"/>
            <w:shd w:val="clear" w:color="auto" w:fill="E4E4E4"/>
          </w:tcPr>
          <w:p>
            <w:pPr>
              <w:spacing w:after="0"/>
              <w:rPr>
                <w:sz w:val="22"/>
                <w:szCs w:val="22"/>
                <w:color w:val="auto"/>
              </w:rPr>
            </w:pPr>
          </w:p>
        </w:tc>
        <w:tc>
          <w:tcPr>
            <w:tcW w:w="200" w:type="dxa"/>
            <w:vAlign w:val="bottom"/>
            <w:shd w:val="clear" w:color="auto" w:fill="E4E4E4"/>
          </w:tcPr>
          <w:p>
            <w:pPr>
              <w:spacing w:after="0"/>
              <w:rPr>
                <w:sz w:val="22"/>
                <w:szCs w:val="22"/>
                <w:color w:val="auto"/>
              </w:rPr>
            </w:pP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260" w:type="dxa"/>
            <w:vAlign w:val="bottom"/>
            <w:shd w:val="clear" w:color="auto" w:fill="E4E4E4"/>
          </w:tcPr>
          <w:p>
            <w:pPr>
              <w:spacing w:after="0"/>
              <w:rPr>
                <w:sz w:val="22"/>
                <w:szCs w:val="22"/>
                <w:color w:val="auto"/>
              </w:rPr>
            </w:pPr>
          </w:p>
        </w:tc>
        <w:tc>
          <w:tcPr>
            <w:tcW w:w="860" w:type="dxa"/>
            <w:vAlign w:val="bottom"/>
            <w:shd w:val="clear" w:color="auto" w:fill="E4E4E4"/>
          </w:tcPr>
          <w:p>
            <w:pPr>
              <w:jc w:val="right"/>
              <w:ind w:right="79"/>
              <w:spacing w:after="0"/>
              <w:rPr>
                <w:sz w:val="20"/>
                <w:szCs w:val="20"/>
                <w:color w:val="auto"/>
              </w:rPr>
            </w:pPr>
            <w:r>
              <w:rPr>
                <w:rFonts w:ascii="Arial" w:cs="Arial" w:eastAsia="Arial" w:hAnsi="Arial"/>
                <w:sz w:val="16"/>
                <w:szCs w:val="16"/>
                <w:color w:val="auto"/>
              </w:rPr>
              <w:t>(3)</w:t>
            </w:r>
          </w:p>
        </w:tc>
        <w:tc>
          <w:tcPr>
            <w:tcW w:w="90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00" w:type="dxa"/>
            <w:vAlign w:val="bottom"/>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w:t>
            </w:r>
          </w:p>
        </w:tc>
        <w:tc>
          <w:tcPr>
            <w:tcW w:w="260" w:type="dxa"/>
            <w:vAlign w:val="bottom"/>
          </w:tcPr>
          <w:p>
            <w:pPr>
              <w:spacing w:after="0"/>
              <w:rPr>
                <w:sz w:val="24"/>
                <w:szCs w:val="24"/>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w:t>
            </w:r>
          </w:p>
        </w:tc>
        <w:tc>
          <w:tcPr>
            <w:tcW w:w="260" w:type="dxa"/>
            <w:vAlign w:val="bottom"/>
          </w:tcPr>
          <w:p>
            <w:pPr>
              <w:spacing w:after="0"/>
              <w:rPr>
                <w:sz w:val="24"/>
                <w:szCs w:val="24"/>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231F20"/>
              </w:rPr>
              <w:t>Less: Income (loss) from discontinued operations, net of taxes</w:t>
            </w:r>
          </w:p>
        </w:tc>
        <w:tc>
          <w:tcPr>
            <w:tcW w:w="20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4"/>
                <w:szCs w:val="24"/>
                <w:color w:val="auto"/>
              </w:rPr>
            </w:pPr>
          </w:p>
        </w:tc>
        <w:tc>
          <w:tcPr>
            <w:tcW w:w="84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(4)</w:t>
            </w:r>
          </w:p>
        </w:tc>
        <w:tc>
          <w:tcPr>
            <w:tcW w:w="9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20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4"/>
                <w:szCs w:val="24"/>
                <w:color w:val="auto"/>
              </w:rPr>
            </w:pP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(4)</w:t>
            </w:r>
          </w:p>
        </w:tc>
        <w:tc>
          <w:tcPr>
            <w:tcW w:w="90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0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521</w:t>
            </w:r>
          </w:p>
        </w:tc>
        <w:tc>
          <w:tcPr>
            <w:tcW w:w="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451</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1,393</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1,258</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45" w:lineRule="exact"/>
        <w:rPr>
          <w:rFonts w:ascii="Arial" w:cs="Arial" w:eastAsia="Arial" w:hAnsi="Arial"/>
          <w:sz w:val="16"/>
          <w:szCs w:val="16"/>
          <w:color w:val="auto"/>
        </w:rPr>
      </w:pPr>
    </w:p>
    <w:p>
      <w:pPr>
        <w:ind w:left="440" w:right="320" w:hanging="414"/>
        <w:spacing w:after="0" w:line="281"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1" w:lineRule="exact"/>
        <w:rPr>
          <w:rFonts w:ascii="Arial" w:cs="Arial" w:eastAsia="Arial" w:hAnsi="Arial"/>
          <w:sz w:val="16"/>
          <w:szCs w:val="16"/>
          <w:color w:val="auto"/>
        </w:rPr>
      </w:pPr>
    </w:p>
    <w:p>
      <w:pPr>
        <w:ind w:left="440" w:right="300" w:hanging="414"/>
        <w:spacing w:after="0" w:line="248"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the impact of adjusting deferred tax assets and liabilities to stand-alone GE HealthCare tax rates, and the impact of tax legislation changes. As of the third quarter of 2024 this line additionally includes discrete tax impacts resulting from the Spin-Off and separation from GE previously reported under Tax effect of reconciling items.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54" w:orient="portrait"/>
          <w:cols w:equalWidth="0" w:num="1">
            <w:col w:w="11240"/>
          </w:cols>
          <w:pgMar w:left="320" w:top="115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ectPr>
          <w:pgSz w:w="11900" w:h="16854" w:orient="portrait"/>
          <w:cols w:equalWidth="0" w:num="1">
            <w:col w:w="11240"/>
          </w:cols>
          <w:pgMar w:left="320" w:top="1151" w:right="339" w:bottom="0" w:gutter="0" w:footer="0" w:header="0"/>
          <w:type w:val="continuous"/>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3"/>
        </w:trPr>
        <w:tc>
          <w:tcPr>
            <w:tcW w:w="5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200" w:type="dxa"/>
            <w:vAlign w:val="bottom"/>
          </w:tcPr>
          <w:p>
            <w:pPr>
              <w:spacing w:after="0"/>
              <w:rPr>
                <w:sz w:val="17"/>
                <w:szCs w:val="17"/>
                <w:color w:val="auto"/>
              </w:rPr>
            </w:pPr>
          </w:p>
        </w:tc>
        <w:tc>
          <w:tcPr>
            <w:tcW w:w="2720" w:type="dxa"/>
            <w:vAlign w:val="bottom"/>
            <w:gridSpan w:val="6"/>
          </w:tcPr>
          <w:p>
            <w:pPr>
              <w:jc w:val="center"/>
              <w:ind w:right="320"/>
              <w:spacing w:after="0"/>
              <w:rPr>
                <w:sz w:val="20"/>
                <w:szCs w:val="20"/>
                <w:color w:val="auto"/>
              </w:rPr>
            </w:pPr>
            <w:r>
              <w:rPr>
                <w:rFonts w:ascii="Arial" w:cs="Arial" w:eastAsia="Arial" w:hAnsi="Arial"/>
                <w:sz w:val="16"/>
                <w:szCs w:val="16"/>
                <w:b w:val="1"/>
                <w:bCs w:val="1"/>
                <w:color w:val="454545"/>
              </w:rPr>
              <w:t>For the three months ended</w:t>
            </w:r>
          </w:p>
        </w:tc>
        <w:tc>
          <w:tcPr>
            <w:tcW w:w="180" w:type="dxa"/>
            <w:vAlign w:val="bottom"/>
          </w:tcPr>
          <w:p>
            <w:pPr>
              <w:spacing w:after="0"/>
              <w:rPr>
                <w:sz w:val="17"/>
                <w:szCs w:val="17"/>
                <w:color w:val="auto"/>
              </w:rPr>
            </w:pPr>
          </w:p>
        </w:tc>
        <w:tc>
          <w:tcPr>
            <w:tcW w:w="2620" w:type="dxa"/>
            <w:vAlign w:val="bottom"/>
            <w:gridSpan w:val="5"/>
          </w:tcPr>
          <w:p>
            <w:pPr>
              <w:jc w:val="center"/>
              <w:ind w:right="99"/>
              <w:spacing w:after="0"/>
              <w:rPr>
                <w:sz w:val="20"/>
                <w:szCs w:val="20"/>
                <w:color w:val="auto"/>
              </w:rPr>
            </w:pPr>
            <w:r>
              <w:rPr>
                <w:rFonts w:ascii="Arial" w:cs="Arial" w:eastAsia="Arial" w:hAnsi="Arial"/>
                <w:sz w:val="16"/>
                <w:szCs w:val="16"/>
                <w:b w:val="1"/>
                <w:bCs w:val="1"/>
                <w:color w:val="454545"/>
              </w:rPr>
              <w:t>For the nine months ended</w:t>
            </w:r>
          </w:p>
        </w:tc>
        <w:tc>
          <w:tcPr>
            <w:tcW w:w="0" w:type="dxa"/>
            <w:vAlign w:val="bottom"/>
          </w:tcPr>
          <w:p>
            <w:pPr>
              <w:spacing w:after="0"/>
              <w:rPr>
                <w:sz w:val="1"/>
                <w:szCs w:val="1"/>
                <w:color w:val="auto"/>
              </w:rPr>
            </w:pPr>
          </w:p>
        </w:tc>
      </w:tr>
      <w:tr>
        <w:trPr>
          <w:trHeight w:val="101"/>
        </w:trPr>
        <w:tc>
          <w:tcPr>
            <w:tcW w:w="55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900" w:type="dxa"/>
            <w:vAlign w:val="bottom"/>
            <w:gridSpan w:val="4"/>
            <w:vMerge w:val="restart"/>
          </w:tcPr>
          <w:p>
            <w:pPr>
              <w:jc w:val="center"/>
              <w:ind w:left="419"/>
              <w:spacing w:after="0"/>
              <w:rPr>
                <w:sz w:val="20"/>
                <w:szCs w:val="20"/>
                <w:color w:val="auto"/>
              </w:rPr>
            </w:pPr>
            <w:r>
              <w:rPr>
                <w:rFonts w:ascii="Arial" w:cs="Arial" w:eastAsia="Arial" w:hAnsi="Arial"/>
                <w:sz w:val="16"/>
                <w:szCs w:val="16"/>
                <w:b w:val="1"/>
                <w:bCs w:val="1"/>
                <w:color w:val="454545"/>
              </w:rPr>
              <w:t>September 30</w:t>
            </w: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00" w:type="dxa"/>
            <w:vAlign w:val="bottom"/>
            <w:gridSpan w:val="4"/>
            <w:vMerge w:val="restart"/>
          </w:tcPr>
          <w:p>
            <w:pPr>
              <w:jc w:val="center"/>
              <w:ind w:left="439"/>
              <w:spacing w:after="0"/>
              <w:rPr>
                <w:sz w:val="20"/>
                <w:szCs w:val="20"/>
                <w:color w:val="auto"/>
              </w:rPr>
            </w:pPr>
            <w:r>
              <w:rPr>
                <w:rFonts w:ascii="Arial" w:cs="Arial" w:eastAsia="Arial" w:hAnsi="Arial"/>
                <w:sz w:val="16"/>
                <w:szCs w:val="16"/>
                <w:b w:val="1"/>
                <w:bCs w:val="1"/>
                <w:color w:val="454545"/>
              </w:rPr>
              <w:t>September 30</w:t>
            </w: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5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520" w:type="dxa"/>
            <w:vAlign w:val="bottom"/>
            <w:vMerge w:val="restart"/>
          </w:tcPr>
          <w:p>
            <w:pPr>
              <w:ind w:left="8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20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5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40" w:type="dxa"/>
            <w:vAlign w:val="bottom"/>
          </w:tcPr>
          <w:p>
            <w:pPr>
              <w:jc w:val="center"/>
              <w:ind w:right="99"/>
              <w:spacing w:after="0"/>
              <w:rPr>
                <w:sz w:val="20"/>
                <w:szCs w:val="20"/>
                <w:color w:val="auto"/>
              </w:rPr>
            </w:pPr>
            <w:r>
              <w:rPr>
                <w:rFonts w:ascii="Arial" w:cs="Arial" w:eastAsia="Arial" w:hAnsi="Arial"/>
                <w:sz w:val="16"/>
                <w:szCs w:val="16"/>
                <w:b w:val="1"/>
                <w:bCs w:val="1"/>
                <w:color w:val="454545"/>
              </w:rPr>
              <w:t>2023</w:t>
            </w:r>
          </w:p>
        </w:tc>
        <w:tc>
          <w:tcPr>
            <w:tcW w:w="24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454545"/>
              </w:rPr>
              <w:t>change</w:t>
            </w:r>
          </w:p>
        </w:tc>
        <w:tc>
          <w:tcPr>
            <w:tcW w:w="18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740" w:type="dxa"/>
            <w:vAlign w:val="bottom"/>
          </w:tcPr>
          <w:p>
            <w:pPr>
              <w:jc w:val="center"/>
              <w:ind w:right="139"/>
              <w:spacing w:after="0"/>
              <w:rPr>
                <w:sz w:val="20"/>
                <w:szCs w:val="20"/>
                <w:color w:val="auto"/>
              </w:rPr>
            </w:pPr>
            <w:r>
              <w:rPr>
                <w:rFonts w:ascii="Arial" w:cs="Arial" w:eastAsia="Arial" w:hAnsi="Arial"/>
                <w:sz w:val="16"/>
                <w:szCs w:val="16"/>
                <w:b w:val="1"/>
                <w:bCs w:val="1"/>
                <w:color w:val="454545"/>
              </w:rPr>
              <w:t>2023</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454545"/>
              </w:rPr>
              <w:t>$</w:t>
            </w:r>
          </w:p>
        </w:tc>
        <w:tc>
          <w:tcPr>
            <w:tcW w:w="720" w:type="dxa"/>
            <w:vAlign w:val="bottom"/>
          </w:tcPr>
          <w:p>
            <w:pPr>
              <w:jc w:val="right"/>
              <w:ind w:right="39"/>
              <w:spacing w:after="0"/>
              <w:rPr>
                <w:sz w:val="20"/>
                <w:szCs w:val="20"/>
                <w:color w:val="auto"/>
              </w:rPr>
            </w:pPr>
            <w:r>
              <w:rPr>
                <w:rFonts w:ascii="Arial" w:cs="Arial" w:eastAsia="Arial" w:hAnsi="Arial"/>
                <w:sz w:val="16"/>
                <w:szCs w:val="16"/>
                <w:b w:val="1"/>
                <w:bCs w:val="1"/>
                <w:color w:val="454545"/>
              </w:rPr>
              <w:t>change</w:t>
            </w:r>
          </w:p>
        </w:tc>
        <w:tc>
          <w:tcPr>
            <w:tcW w:w="0" w:type="dxa"/>
            <w:vAlign w:val="bottom"/>
          </w:tcPr>
          <w:p>
            <w:pPr>
              <w:spacing w:after="0"/>
              <w:rPr>
                <w:sz w:val="1"/>
                <w:szCs w:val="1"/>
                <w:color w:val="auto"/>
              </w:rPr>
            </w:pPr>
          </w:p>
        </w:tc>
      </w:tr>
      <w:tr>
        <w:trPr>
          <w:trHeight w:val="21"/>
        </w:trPr>
        <w:tc>
          <w:tcPr>
            <w:tcW w:w="55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5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 – continuing operations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0.83</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0.20</w:t>
            </w:r>
          </w:p>
        </w:tc>
        <w:tc>
          <w:tcPr>
            <w:tcW w:w="120" w:type="dxa"/>
            <w:vAlign w:val="bottom"/>
            <w:tcBorders>
              <w:bottom w:val="single" w:sz="8" w:color="E4E4E4"/>
            </w:tcBorders>
            <w:shd w:val="clear" w:color="auto" w:fill="E4E4E4"/>
          </w:tcPr>
          <w:p>
            <w:pPr>
              <w:spacing w:after="0"/>
              <w:rPr>
                <w:sz w:val="23"/>
                <w:szCs w:val="23"/>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2.77</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2.16</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0.61</w:t>
            </w:r>
          </w:p>
        </w:tc>
        <w:tc>
          <w:tcPr>
            <w:tcW w:w="0" w:type="dxa"/>
            <w:vAlign w:val="bottom"/>
          </w:tcPr>
          <w:p>
            <w:pPr>
              <w:spacing w:after="0"/>
              <w:rPr>
                <w:sz w:val="1"/>
                <w:szCs w:val="1"/>
                <w:color w:val="auto"/>
              </w:rPr>
            </w:pPr>
          </w:p>
        </w:tc>
      </w:tr>
      <w:tr>
        <w:trPr>
          <w:trHeight w:val="215"/>
        </w:trPr>
        <w:tc>
          <w:tcPr>
            <w:tcW w:w="5520" w:type="dxa"/>
            <w:vAlign w:val="bottom"/>
          </w:tcPr>
          <w:p>
            <w:pPr>
              <w:ind w:left="80"/>
              <w:spacing w:after="0"/>
              <w:rPr>
                <w:sz w:val="20"/>
                <w:szCs w:val="20"/>
                <w:color w:val="auto"/>
              </w:rPr>
            </w:pPr>
            <w:r>
              <w:rPr>
                <w:rFonts w:ascii="Arial" w:cs="Arial" w:eastAsia="Arial" w:hAnsi="Arial"/>
                <w:sz w:val="16"/>
                <w:szCs w:val="16"/>
                <w:color w:val="auto"/>
              </w:rPr>
              <w:t>Add: Deemed preferred stock dividend of redeemable noncontrolling</w:t>
            </w:r>
          </w:p>
        </w:tc>
        <w:tc>
          <w:tcPr>
            <w:tcW w:w="20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0.40</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5520" w:type="dxa"/>
            <w:vAlign w:val="bottom"/>
            <w:vMerge w:val="restart"/>
          </w:tcPr>
          <w:p>
            <w:pPr>
              <w:ind w:left="260"/>
              <w:spacing w:after="0"/>
              <w:rPr>
                <w:sz w:val="20"/>
                <w:szCs w:val="20"/>
                <w:color w:val="auto"/>
              </w:rPr>
            </w:pPr>
            <w:r>
              <w:rPr>
                <w:rFonts w:ascii="Arial" w:cs="Arial" w:eastAsia="Arial" w:hAnsi="Arial"/>
                <w:sz w:val="16"/>
                <w:szCs w:val="16"/>
                <w:color w:val="auto"/>
              </w:rPr>
              <w:t>interest</w:t>
            </w: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5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5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5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Non-operating benefit (income) costs</w:t>
            </w:r>
          </w:p>
        </w:tc>
        <w:tc>
          <w:tcPr>
            <w:tcW w:w="20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(0.22)</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(0.21)</w:t>
            </w:r>
          </w:p>
        </w:tc>
        <w:tc>
          <w:tcPr>
            <w:tcW w:w="240" w:type="dxa"/>
            <w:vAlign w:val="bottom"/>
            <w:tcBorders>
              <w:bottom w:val="single" w:sz="8" w:color="E4E4E4"/>
            </w:tcBorders>
            <w:shd w:val="clear" w:color="auto" w:fill="E4E4E4"/>
          </w:tcPr>
          <w:p>
            <w:pPr>
              <w:spacing w:after="0"/>
              <w:rPr>
                <w:sz w:val="24"/>
                <w:szCs w:val="24"/>
                <w:color w:val="auto"/>
              </w:rPr>
            </w:pPr>
          </w:p>
        </w:tc>
        <w:tc>
          <w:tcPr>
            <w:tcW w:w="700" w:type="dxa"/>
            <w:vAlign w:val="bottom"/>
            <w:tcBorders>
              <w:bottom w:val="single" w:sz="8" w:color="E4E4E4"/>
            </w:tcBorders>
            <w:shd w:val="clear" w:color="auto" w:fill="E4E4E4"/>
          </w:tcPr>
          <w:p>
            <w:pPr>
              <w:spacing w:after="0"/>
              <w:rPr>
                <w:sz w:val="24"/>
                <w:szCs w:val="24"/>
                <w:color w:val="auto"/>
              </w:rPr>
            </w:pPr>
          </w:p>
        </w:tc>
        <w:tc>
          <w:tcPr>
            <w:tcW w:w="120" w:type="dxa"/>
            <w:vAlign w:val="bottom"/>
            <w:tcBorders>
              <w:bottom w:val="single" w:sz="8" w:color="E4E4E4"/>
            </w:tcBorders>
            <w:shd w:val="clear" w:color="auto" w:fill="E4E4E4"/>
          </w:tcPr>
          <w:p>
            <w:pPr>
              <w:spacing w:after="0"/>
              <w:rPr>
                <w:sz w:val="24"/>
                <w:szCs w:val="24"/>
                <w:color w:val="auto"/>
              </w:rPr>
            </w:pPr>
          </w:p>
        </w:tc>
        <w:tc>
          <w:tcPr>
            <w:tcW w:w="18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(0.67)</w:t>
            </w:r>
          </w:p>
        </w:tc>
        <w:tc>
          <w:tcPr>
            <w:tcW w:w="200" w:type="dxa"/>
            <w:vAlign w:val="bottom"/>
            <w:tcBorders>
              <w:bottom w:val="single" w:sz="8" w:color="E4E4E4"/>
            </w:tcBorders>
            <w:shd w:val="clear" w:color="auto" w:fill="E4E4E4"/>
          </w:tcPr>
          <w:p>
            <w:pPr>
              <w:spacing w:after="0"/>
              <w:rPr>
                <w:sz w:val="24"/>
                <w:szCs w:val="24"/>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(0.73)</w:t>
            </w:r>
          </w:p>
        </w:tc>
        <w:tc>
          <w:tcPr>
            <w:tcW w:w="220" w:type="dxa"/>
            <w:vAlign w:val="bottom"/>
            <w:tcBorders>
              <w:bottom w:val="single" w:sz="8" w:color="E4E4E4"/>
            </w:tcBorders>
            <w:shd w:val="clear" w:color="auto" w:fill="E4E4E4"/>
          </w:tcPr>
          <w:p>
            <w:pPr>
              <w:spacing w:after="0"/>
              <w:rPr>
                <w:sz w:val="24"/>
                <w:szCs w:val="24"/>
                <w:color w:val="auto"/>
              </w:rPr>
            </w:pPr>
          </w:p>
        </w:tc>
        <w:tc>
          <w:tcPr>
            <w:tcW w:w="72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0.07</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20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24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(0.02)</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(0.03)</w:t>
            </w:r>
          </w:p>
        </w:tc>
        <w:tc>
          <w:tcPr>
            <w:tcW w:w="220" w:type="dxa"/>
            <w:vAlign w:val="bottom"/>
            <w:shd w:val="clear" w:color="auto" w:fill="E4E4E4"/>
          </w:tcPr>
          <w:p>
            <w:pPr>
              <w:spacing w:after="0"/>
              <w:rPr>
                <w:sz w:val="24"/>
                <w:szCs w:val="24"/>
                <w:color w:val="auto"/>
              </w:rPr>
            </w:pPr>
          </w:p>
        </w:tc>
        <w:tc>
          <w:tcPr>
            <w:tcW w:w="7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0.12</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0.40</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0.38</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20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4E4E4"/>
          </w:tcPr>
          <w:p>
            <w:pPr>
              <w:spacing w:after="0"/>
              <w:rPr>
                <w:sz w:val="24"/>
                <w:szCs w:val="24"/>
                <w:color w:val="auto"/>
              </w:rPr>
            </w:pPr>
          </w:p>
        </w:tc>
        <w:tc>
          <w:tcPr>
            <w:tcW w:w="7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520" w:type="dxa"/>
            <w:vAlign w:val="bottom"/>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0.08</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0.07</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0.22</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0.21</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5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55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200" w:type="dxa"/>
            <w:vAlign w:val="bottom"/>
            <w:shd w:val="clear" w:color="auto" w:fill="E4E4E4"/>
          </w:tcPr>
          <w:p>
            <w:pPr>
              <w:spacing w:after="0"/>
              <w:rPr>
                <w:sz w:val="24"/>
                <w:szCs w:val="24"/>
                <w:color w:val="auto"/>
              </w:rPr>
            </w:pPr>
          </w:p>
        </w:tc>
        <w:tc>
          <w:tcPr>
            <w:tcW w:w="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40" w:type="dxa"/>
            <w:vAlign w:val="bottom"/>
            <w:shd w:val="clear" w:color="auto" w:fill="E4E4E4"/>
          </w:tcPr>
          <w:p>
            <w:pPr>
              <w:spacing w:after="0"/>
              <w:rPr>
                <w:sz w:val="24"/>
                <w:szCs w:val="24"/>
                <w:color w:val="auto"/>
              </w:rPr>
            </w:pPr>
          </w:p>
        </w:tc>
        <w:tc>
          <w:tcPr>
            <w:tcW w:w="700" w:type="dxa"/>
            <w:vAlign w:val="bottom"/>
            <w:shd w:val="clear" w:color="auto" w:fill="E4E4E4"/>
          </w:tcPr>
          <w:p>
            <w:pPr>
              <w:spacing w:after="0"/>
              <w:rPr>
                <w:sz w:val="24"/>
                <w:szCs w:val="24"/>
                <w:color w:val="auto"/>
              </w:rPr>
            </w:pPr>
          </w:p>
        </w:tc>
        <w:tc>
          <w:tcPr>
            <w:tcW w:w="120" w:type="dxa"/>
            <w:vAlign w:val="bottom"/>
            <w:shd w:val="clear" w:color="auto" w:fill="E4E4E4"/>
          </w:tcPr>
          <w:p>
            <w:pPr>
              <w:spacing w:after="0"/>
              <w:rPr>
                <w:sz w:val="24"/>
                <w:szCs w:val="24"/>
                <w:color w:val="auto"/>
              </w:rPr>
            </w:pPr>
          </w:p>
        </w:tc>
        <w:tc>
          <w:tcPr>
            <w:tcW w:w="18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0.06</w:t>
            </w:r>
          </w:p>
        </w:tc>
        <w:tc>
          <w:tcPr>
            <w:tcW w:w="200" w:type="dxa"/>
            <w:vAlign w:val="bottom"/>
            <w:shd w:val="clear" w:color="auto" w:fill="E4E4E4"/>
          </w:tcPr>
          <w:p>
            <w:pPr>
              <w:spacing w:after="0"/>
              <w:rPr>
                <w:sz w:val="24"/>
                <w:szCs w:val="24"/>
                <w:color w:val="auto"/>
              </w:rPr>
            </w:pPr>
          </w:p>
        </w:tc>
        <w:tc>
          <w:tcPr>
            <w:tcW w:w="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(0.00)</w:t>
            </w:r>
          </w:p>
        </w:tc>
        <w:tc>
          <w:tcPr>
            <w:tcW w:w="220" w:type="dxa"/>
            <w:vAlign w:val="bottom"/>
            <w:shd w:val="clear" w:color="auto" w:fill="E4E4E4"/>
          </w:tcPr>
          <w:p>
            <w:pPr>
              <w:spacing w:after="0"/>
              <w:rPr>
                <w:sz w:val="24"/>
                <w:szCs w:val="24"/>
                <w:color w:val="auto"/>
              </w:rPr>
            </w:pPr>
          </w:p>
        </w:tc>
        <w:tc>
          <w:tcPr>
            <w:tcW w:w="7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52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(0.01)</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(0.06)</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(0.01)</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52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200" w:type="dxa"/>
            <w:vAlign w:val="bottom"/>
            <w:tcBorders>
              <w:bottom w:val="single" w:sz="8" w:color="auto"/>
            </w:tcBorders>
            <w:shd w:val="clear" w:color="auto" w:fill="E4E4E4"/>
          </w:tcPr>
          <w:p>
            <w:pPr>
              <w:spacing w:after="0"/>
              <w:rPr>
                <w:sz w:val="24"/>
                <w:szCs w:val="24"/>
                <w:color w:val="auto"/>
              </w:rPr>
            </w:pPr>
          </w:p>
        </w:tc>
        <w:tc>
          <w:tcPr>
            <w:tcW w:w="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0.10</w:t>
            </w:r>
          </w:p>
        </w:tc>
        <w:tc>
          <w:tcPr>
            <w:tcW w:w="20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0.23</w:t>
            </w:r>
          </w:p>
        </w:tc>
        <w:tc>
          <w:tcPr>
            <w:tcW w:w="240" w:type="dxa"/>
            <w:vAlign w:val="bottom"/>
            <w:tcBorders>
              <w:bottom w:val="single" w:sz="8" w:color="auto"/>
            </w:tcBorders>
            <w:shd w:val="clear" w:color="auto" w:fill="E4E4E4"/>
          </w:tcPr>
          <w:p>
            <w:pPr>
              <w:spacing w:after="0"/>
              <w:rPr>
                <w:sz w:val="24"/>
                <w:szCs w:val="24"/>
                <w:color w:val="auto"/>
              </w:rPr>
            </w:pPr>
          </w:p>
        </w:tc>
        <w:tc>
          <w:tcPr>
            <w:tcW w:w="700" w:type="dxa"/>
            <w:vAlign w:val="bottom"/>
            <w:tcBorders>
              <w:bottom w:val="single" w:sz="8" w:color="auto"/>
            </w:tcBorders>
            <w:shd w:val="clear" w:color="auto" w:fill="E4E4E4"/>
          </w:tcPr>
          <w:p>
            <w:pPr>
              <w:spacing w:after="0"/>
              <w:rPr>
                <w:sz w:val="24"/>
                <w:szCs w:val="24"/>
                <w:color w:val="auto"/>
              </w:rPr>
            </w:pPr>
          </w:p>
        </w:tc>
        <w:tc>
          <w:tcPr>
            <w:tcW w:w="120" w:type="dxa"/>
            <w:vAlign w:val="bottom"/>
            <w:tcBorders>
              <w:bottom w:val="single" w:sz="8" w:color="auto"/>
            </w:tcBorders>
            <w:shd w:val="clear" w:color="auto" w:fill="E4E4E4"/>
          </w:tcPr>
          <w:p>
            <w:pPr>
              <w:spacing w:after="0"/>
              <w:rPr>
                <w:sz w:val="24"/>
                <w:szCs w:val="24"/>
                <w:color w:val="auto"/>
              </w:rPr>
            </w:pPr>
          </w:p>
        </w:tc>
        <w:tc>
          <w:tcPr>
            <w:tcW w:w="18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0.13</w:t>
            </w:r>
          </w:p>
        </w:tc>
        <w:tc>
          <w:tcPr>
            <w:tcW w:w="200" w:type="dxa"/>
            <w:vAlign w:val="bottom"/>
            <w:tcBorders>
              <w:bottom w:val="single" w:sz="8" w:color="auto"/>
            </w:tcBorders>
            <w:shd w:val="clear" w:color="auto" w:fill="E4E4E4"/>
          </w:tcPr>
          <w:p>
            <w:pPr>
              <w:spacing w:after="0"/>
              <w:rPr>
                <w:sz w:val="24"/>
                <w:szCs w:val="24"/>
                <w:color w:val="auto"/>
              </w:rPr>
            </w:pPr>
          </w:p>
        </w:tc>
        <w:tc>
          <w:tcPr>
            <w:tcW w:w="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0.30</w:t>
            </w:r>
          </w:p>
        </w:tc>
        <w:tc>
          <w:tcPr>
            <w:tcW w:w="220" w:type="dxa"/>
            <w:vAlign w:val="bottom"/>
            <w:tcBorders>
              <w:bottom w:val="single" w:sz="8" w:color="auto"/>
            </w:tcBorders>
            <w:shd w:val="clear" w:color="auto" w:fill="E4E4E4"/>
          </w:tcPr>
          <w:p>
            <w:pPr>
              <w:spacing w:after="0"/>
              <w:rPr>
                <w:sz w:val="24"/>
                <w:szCs w:val="24"/>
                <w:color w:val="auto"/>
              </w:rPr>
            </w:pPr>
          </w:p>
        </w:tc>
        <w:tc>
          <w:tcPr>
            <w:tcW w:w="720" w:type="dxa"/>
            <w:vAlign w:val="bottom"/>
            <w:tcBorders>
              <w:bottom w:val="single" w:sz="8" w:color="auto"/>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1.14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0.99</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0.15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3.04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2.75</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0.29</w:t>
            </w:r>
          </w:p>
        </w:tc>
        <w:tc>
          <w:tcPr>
            <w:tcW w:w="0" w:type="dxa"/>
            <w:vAlign w:val="bottom"/>
          </w:tcPr>
          <w:p>
            <w:pPr>
              <w:spacing w:after="0"/>
              <w:rPr>
                <w:sz w:val="1"/>
                <w:szCs w:val="1"/>
                <w:color w:val="auto"/>
              </w:rPr>
            </w:pPr>
          </w:p>
        </w:tc>
      </w:tr>
      <w:tr>
        <w:trPr>
          <w:trHeight w:val="21"/>
        </w:trPr>
        <w:tc>
          <w:tcPr>
            <w:tcW w:w="5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2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2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458</w:t>
            </w:r>
          </w:p>
        </w:tc>
        <w:tc>
          <w:tcPr>
            <w:tcW w:w="22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86" w:lineRule="exact"/>
        <w:rPr>
          <w:rFonts w:ascii="Arial" w:cs="Arial" w:eastAsia="Arial" w:hAnsi="Arial"/>
          <w:sz w:val="16"/>
          <w:szCs w:val="16"/>
          <w:color w:val="auto"/>
        </w:rPr>
      </w:pPr>
    </w:p>
    <w:p>
      <w:pPr>
        <w:ind w:left="440" w:hanging="414"/>
        <w:spacing w:after="0"/>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w:t>
      </w:r>
    </w:p>
    <w:p>
      <w:pPr>
        <w:spacing w:after="0" w:line="59" w:lineRule="exact"/>
        <w:rPr>
          <w:rFonts w:ascii="Arial" w:cs="Arial" w:eastAsia="Arial" w:hAnsi="Arial"/>
          <w:sz w:val="16"/>
          <w:szCs w:val="16"/>
          <w:color w:val="auto"/>
        </w:rPr>
      </w:pPr>
    </w:p>
    <w:p>
      <w:pPr>
        <w:ind w:left="440" w:right="320" w:hanging="414"/>
        <w:spacing w:after="0" w:line="286"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300" w:hanging="414"/>
        <w:spacing w:after="0" w:line="265"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the impact of adjusting deferred tax assets and liabilities to stand-alone GE HealthCare tax rates, and the impact of tax legislation changes. As of the third quarter of 2024 this line additionally includes discrete tax impacts resulting from the Spin-Off and separation from GE previously reported under Tax effect of reconciling items.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3020" w:type="dxa"/>
            <w:vAlign w:val="bottom"/>
            <w:gridSpan w:val="5"/>
          </w:tcPr>
          <w:p>
            <w:pPr>
              <w:ind w:left="380"/>
              <w:spacing w:after="0"/>
              <w:rPr>
                <w:sz w:val="20"/>
                <w:szCs w:val="20"/>
                <w:color w:val="auto"/>
              </w:rPr>
            </w:pPr>
            <w:r>
              <w:rPr>
                <w:rFonts w:ascii="Arial" w:cs="Arial" w:eastAsia="Arial" w:hAnsi="Arial"/>
                <w:sz w:val="16"/>
                <w:szCs w:val="16"/>
                <w:b w:val="1"/>
                <w:bCs w:val="1"/>
                <w:color w:val="454545"/>
              </w:rPr>
              <w:t>For the three months ended</w:t>
            </w:r>
          </w:p>
        </w:tc>
        <w:tc>
          <w:tcPr>
            <w:tcW w:w="260" w:type="dxa"/>
            <w:vAlign w:val="bottom"/>
          </w:tcPr>
          <w:p>
            <w:pPr>
              <w:spacing w:after="0"/>
              <w:rPr>
                <w:sz w:val="17"/>
                <w:szCs w:val="17"/>
                <w:color w:val="auto"/>
              </w:rPr>
            </w:pPr>
          </w:p>
        </w:tc>
        <w:tc>
          <w:tcPr>
            <w:tcW w:w="26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454545"/>
              </w:rPr>
              <w:t>For the nine months ended</w:t>
            </w:r>
          </w:p>
        </w:tc>
      </w:tr>
      <w:tr>
        <w:trPr>
          <w:trHeight w:val="223"/>
        </w:trPr>
        <w:tc>
          <w:tcPr>
            <w:tcW w:w="530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9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454545"/>
                <w:w w:val="99"/>
              </w:rPr>
              <w:t>September 30</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September 30</w:t>
            </w:r>
          </w:p>
        </w:tc>
        <w:tc>
          <w:tcPr>
            <w:tcW w:w="920" w:type="dxa"/>
            <w:vAlign w:val="bottom"/>
          </w:tcPr>
          <w:p>
            <w:pPr>
              <w:spacing w:after="0"/>
              <w:rPr>
                <w:sz w:val="19"/>
                <w:szCs w:val="19"/>
                <w:color w:val="auto"/>
              </w:rPr>
            </w:pPr>
          </w:p>
        </w:tc>
      </w:tr>
      <w:tr>
        <w:trPr>
          <w:trHeight w:val="21"/>
        </w:trPr>
        <w:tc>
          <w:tcPr>
            <w:tcW w:w="530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5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9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2023</w:t>
            </w:r>
          </w:p>
        </w:tc>
      </w:tr>
      <w:tr>
        <w:trPr>
          <w:trHeight w:val="21"/>
        </w:trPr>
        <w:tc>
          <w:tcPr>
            <w:tcW w:w="530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52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w:t>
            </w:r>
          </w:p>
        </w:tc>
        <w:tc>
          <w:tcPr>
            <w:tcW w:w="1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(435)</w:t>
            </w:r>
          </w:p>
        </w:tc>
        <w:tc>
          <w:tcPr>
            <w:tcW w:w="56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(550)</w:t>
            </w:r>
          </w:p>
        </w:tc>
      </w:tr>
      <w:tr>
        <w:trPr>
          <w:trHeight w:val="256"/>
        </w:trPr>
        <w:tc>
          <w:tcPr>
            <w:tcW w:w="530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(1)</w:t>
            </w:r>
          </w:p>
        </w:tc>
        <w:tc>
          <w:tcPr>
            <w:tcW w:w="9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5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1"/>
        </w:trPr>
        <w:tc>
          <w:tcPr>
            <w:tcW w:w="530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(2)</w:t>
            </w:r>
          </w:p>
        </w:tc>
        <w:tc>
          <w:tcPr>
            <w:tcW w:w="920" w:type="dxa"/>
            <w:vAlign w:val="bottom"/>
            <w:tcBorders>
              <w:bottom w:val="single" w:sz="8" w:color="auto"/>
            </w:tcBorders>
            <w:shd w:val="clear" w:color="auto" w:fill="E4E4E4"/>
          </w:tcPr>
          <w:p>
            <w:pPr>
              <w:spacing w:after="0"/>
              <w:rPr>
                <w:sz w:val="24"/>
                <w:szCs w:val="24"/>
                <w:color w:val="auto"/>
              </w:rPr>
            </w:pPr>
          </w:p>
        </w:tc>
        <w:tc>
          <w:tcPr>
            <w:tcW w:w="5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560" w:type="dxa"/>
            <w:vAlign w:val="bottom"/>
            <w:tcBorders>
              <w:bottom w:val="single" w:sz="8" w:color="auto"/>
            </w:tcBorders>
            <w:shd w:val="clear" w:color="auto" w:fill="E4E4E4"/>
          </w:tcPr>
          <w:p>
            <w:pPr>
              <w:spacing w:after="0"/>
              <w:rPr>
                <w:sz w:val="24"/>
                <w:szCs w:val="24"/>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auto"/>
            </w:tcBorders>
            <w:shd w:val="clear" w:color="auto" w:fill="E4E4E4"/>
          </w:tcPr>
          <w:p>
            <w:pPr>
              <w:spacing w:after="0"/>
              <w:rPr>
                <w:sz w:val="24"/>
                <w:szCs w:val="24"/>
                <w:color w:val="auto"/>
              </w:rPr>
            </w:pPr>
          </w:p>
        </w:tc>
        <w:tc>
          <w:tcPr>
            <w:tcW w:w="260" w:type="dxa"/>
            <w:vAlign w:val="bottom"/>
            <w:tcBorders>
              <w:bottom w:val="single" w:sz="8" w:color="auto"/>
            </w:tcBorders>
            <w:shd w:val="clear" w:color="auto" w:fill="E4E4E4"/>
          </w:tcPr>
          <w:p>
            <w:pPr>
              <w:spacing w:after="0"/>
              <w:rPr>
                <w:sz w:val="24"/>
                <w:szCs w:val="24"/>
                <w:color w:val="auto"/>
              </w:rPr>
            </w:pPr>
          </w:p>
        </w:tc>
        <w:tc>
          <w:tcPr>
            <w:tcW w:w="11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560" w:type="dxa"/>
            <w:vAlign w:val="bottom"/>
            <w:tcBorders>
              <w:bottom w:val="single" w:sz="8" w:color="auto"/>
            </w:tcBorders>
            <w:shd w:val="clear" w:color="auto" w:fill="E4E4E4"/>
          </w:tcPr>
          <w:p>
            <w:pPr>
              <w:spacing w:after="0"/>
              <w:rPr>
                <w:sz w:val="24"/>
                <w:szCs w:val="24"/>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136</w:t>
            </w:r>
          </w:p>
        </w:tc>
      </w:tr>
      <w:tr>
        <w:trPr>
          <w:trHeight w:val="235"/>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920" w:type="dxa"/>
            <w:vAlign w:val="bottom"/>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56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(401)</w:t>
            </w:r>
          </w:p>
        </w:tc>
        <w:tc>
          <w:tcPr>
            <w:tcW w:w="5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(417)</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920" w:type="dxa"/>
            <w:vAlign w:val="bottom"/>
            <w:tcBorders>
              <w:bottom w:val="single" w:sz="8" w:color="E4E4E4"/>
            </w:tcBorders>
            <w:shd w:val="clear" w:color="auto" w:fill="E4E4E4"/>
          </w:tcPr>
          <w:p>
            <w:pPr>
              <w:spacing w:after="0"/>
              <w:rPr>
                <w:sz w:val="20"/>
                <w:szCs w:val="20"/>
                <w:color w:val="auto"/>
              </w:rPr>
            </w:pP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25.5%</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24.9%</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31.4%</w:t>
            </w:r>
          </w:p>
        </w:tc>
      </w:tr>
      <w:tr>
        <w:trPr>
          <w:trHeight w:val="235"/>
        </w:trPr>
        <w:tc>
          <w:tcPr>
            <w:tcW w:w="530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9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18.7%</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21.9%</w:t>
            </w:r>
          </w:p>
        </w:tc>
        <w:tc>
          <w:tcPr>
            <w:tcW w:w="5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24.4%</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320" w:hanging="414"/>
        <w:spacing w:after="0" w:line="290"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ind w:left="440" w:right="300" w:hanging="414"/>
        <w:spacing w:after="0" w:line="271"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the accrual of a deferred tax liability on the prior period earnings of certain of the Company’s foreign subsidiaries for which the Company is no longer permanently reinvested, the impact of adjusting deferred tax assets and liabilities to stand-alone GE HealthCare tax rates, and the impact of tax legislation changes. As of the third quarter of 2024 this line additionally includes discrete tax impacts resulting from the Spin-Off and separation from GE previously reported under Tax effect of reconciling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6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646"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223"/>
        </w:trPr>
        <w:tc>
          <w:tcPr>
            <w:tcW w:w="676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Pr>
          <w:p>
            <w:pPr>
              <w:spacing w:after="0"/>
              <w:rPr>
                <w:sz w:val="19"/>
                <w:szCs w:val="19"/>
                <w:color w:val="auto"/>
              </w:rPr>
            </w:pPr>
          </w:p>
        </w:tc>
        <w:tc>
          <w:tcPr>
            <w:tcW w:w="41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676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29"/>
        </w:trPr>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132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2023</w:t>
            </w: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7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57"/>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1,042</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1,051</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w:t>
            </w:r>
          </w:p>
        </w:tc>
      </w:tr>
      <w:tr>
        <w:trPr>
          <w:trHeight w:val="254"/>
        </w:trPr>
        <w:tc>
          <w:tcPr>
            <w:tcW w:w="676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(299)</w:t>
            </w:r>
          </w:p>
        </w:tc>
        <w:tc>
          <w:tcPr>
            <w:tcW w:w="340" w:type="dxa"/>
            <w:vAlign w:val="bottom"/>
          </w:tcPr>
          <w:p>
            <w:pPr>
              <w:spacing w:after="0"/>
              <w:rPr>
                <w:sz w:val="22"/>
                <w:szCs w:val="22"/>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(293)</w:t>
            </w:r>
          </w:p>
        </w:tc>
        <w:tc>
          <w:tcPr>
            <w:tcW w:w="1320" w:type="dxa"/>
            <w:vAlign w:val="bottom"/>
          </w:tcPr>
          <w:p>
            <w:pPr>
              <w:spacing w:after="0"/>
              <w:rPr>
                <w:sz w:val="22"/>
                <w:szCs w:val="22"/>
                <w:color w:val="auto"/>
              </w:rPr>
            </w:pPr>
          </w:p>
        </w:tc>
      </w:tr>
      <w:tr>
        <w:trPr>
          <w:trHeight w:val="29"/>
        </w:trPr>
        <w:tc>
          <w:tcPr>
            <w:tcW w:w="6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89"/>
        </w:trPr>
        <w:tc>
          <w:tcPr>
            <w:tcW w:w="67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340" w:type="dxa"/>
            <w:vAlign w:val="bottom"/>
            <w:tcBorders>
              <w:bottom w:val="single" w:sz="8" w:color="E4E4E4"/>
            </w:tcBorders>
            <w:shd w:val="clear" w:color="auto" w:fill="E4E4E4"/>
          </w:tcPr>
          <w:p>
            <w:pPr>
              <w:spacing w:after="0"/>
              <w:rPr>
                <w:sz w:val="24"/>
                <w:szCs w:val="24"/>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4"/>
                <w:szCs w:val="24"/>
                <w:color w:val="auto"/>
              </w:rPr>
            </w:pP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1</w:t>
            </w:r>
          </w:p>
        </w:tc>
        <w:tc>
          <w:tcPr>
            <w:tcW w:w="1320" w:type="dxa"/>
            <w:vAlign w:val="bottom"/>
            <w:tcBorders>
              <w:bottom w:val="single" w:sz="8" w:color="E4E4E4"/>
            </w:tcBorders>
            <w:shd w:val="clear" w:color="auto" w:fill="E4E4E4"/>
          </w:tcPr>
          <w:p>
            <w:pPr>
              <w:spacing w:after="0"/>
              <w:rPr>
                <w:sz w:val="24"/>
                <w:szCs w:val="24"/>
                <w:color w:val="auto"/>
              </w:rPr>
            </w:pPr>
          </w:p>
        </w:tc>
      </w:tr>
      <w:tr>
        <w:trPr>
          <w:trHeight w:val="256"/>
        </w:trPr>
        <w:tc>
          <w:tcPr>
            <w:tcW w:w="676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743</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3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759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r>
      <w:tr>
        <w:trPr>
          <w:trHeight w:val="21"/>
        </w:trPr>
        <w:tc>
          <w:tcPr>
            <w:tcW w:w="6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As of September 30, 2024, our Cash, cash equivalents, and restricted cash balance in the Condensed Consolidated Statements of Financial Position was $3,568 million. We have historically generated positive cash flows from operating activities. Additionally, we have access to revolving credit facilities of $3,500 million in aggregate, described in detail in Note 8, “Borrowings.”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2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508"/>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280" w:type="dxa"/>
            <w:vAlign w:val="bottom"/>
          </w:tcPr>
          <w:p>
            <w:pPr>
              <w:spacing w:after="0"/>
              <w:rPr>
                <w:sz w:val="24"/>
                <w:szCs w:val="24"/>
                <w:color w:val="auto"/>
              </w:rPr>
            </w:pPr>
          </w:p>
        </w:tc>
        <w:tc>
          <w:tcPr>
            <w:tcW w:w="38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454545"/>
              </w:rPr>
              <w:t>For the nine months ended September 30</w:t>
            </w:r>
          </w:p>
        </w:tc>
      </w:tr>
      <w:tr>
        <w:trPr>
          <w:trHeight w:val="21"/>
        </w:trPr>
        <w:tc>
          <w:tcPr>
            <w:tcW w:w="714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580" w:type="dxa"/>
            <w:vAlign w:val="bottom"/>
            <w:tcBorders>
              <w:bottom w:val="single" w:sz="8" w:color="454545"/>
            </w:tcBorders>
          </w:tcPr>
          <w:p>
            <w:pPr>
              <w:spacing w:after="0" w:line="20" w:lineRule="exact"/>
              <w:rPr>
                <w:sz w:val="1"/>
                <w:szCs w:val="1"/>
                <w:color w:val="auto"/>
              </w:rPr>
            </w:pPr>
          </w:p>
        </w:tc>
      </w:tr>
      <w:tr>
        <w:trPr>
          <w:trHeight w:val="229"/>
        </w:trPr>
        <w:tc>
          <w:tcPr>
            <w:tcW w:w="7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2024</w:t>
            </w:r>
          </w:p>
        </w:tc>
        <w:tc>
          <w:tcPr>
            <w:tcW w:w="480" w:type="dxa"/>
            <w:vAlign w:val="bottom"/>
          </w:tcPr>
          <w:p>
            <w:pPr>
              <w:spacing w:after="0"/>
              <w:rPr>
                <w:sz w:val="19"/>
                <w:szCs w:val="19"/>
                <w:color w:val="auto"/>
              </w:rPr>
            </w:pPr>
          </w:p>
        </w:tc>
        <w:tc>
          <w:tcPr>
            <w:tcW w:w="1580" w:type="dxa"/>
            <w:vAlign w:val="bottom"/>
          </w:tcPr>
          <w:p>
            <w:pPr>
              <w:jc w:val="right"/>
              <w:ind w:right="759"/>
              <w:spacing w:after="0"/>
              <w:rPr>
                <w:sz w:val="20"/>
                <w:szCs w:val="20"/>
                <w:color w:val="auto"/>
              </w:rPr>
            </w:pPr>
            <w:r>
              <w:rPr>
                <w:rFonts w:ascii="Arial" w:cs="Arial" w:eastAsia="Arial" w:hAnsi="Arial"/>
                <w:sz w:val="16"/>
                <w:szCs w:val="16"/>
                <w:b w:val="1"/>
                <w:bCs w:val="1"/>
                <w:color w:val="454545"/>
              </w:rPr>
              <w:t>2023</w:t>
            </w:r>
          </w:p>
        </w:tc>
      </w:tr>
      <w:tr>
        <w:trPr>
          <w:trHeight w:val="21"/>
        </w:trPr>
        <w:tc>
          <w:tcPr>
            <w:tcW w:w="71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76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580" w:type="dxa"/>
            <w:vAlign w:val="bottom"/>
            <w:tcBorders>
              <w:bottom w:val="single" w:sz="8" w:color="6022A6"/>
            </w:tcBorders>
          </w:tcPr>
          <w:p>
            <w:pPr>
              <w:spacing w:after="0" w:line="20" w:lineRule="exact"/>
              <w:rPr>
                <w:sz w:val="1"/>
                <w:szCs w:val="1"/>
                <w:color w:val="auto"/>
              </w:rPr>
            </w:pPr>
          </w:p>
        </w:tc>
      </w:tr>
      <w:tr>
        <w:trPr>
          <w:trHeight w:val="250"/>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280" w:type="dxa"/>
            <w:vAlign w:val="bottom"/>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1,042</w:t>
            </w:r>
          </w:p>
        </w:tc>
        <w:tc>
          <w:tcPr>
            <w:tcW w:w="480" w:type="dxa"/>
            <w:vAlign w:val="bottom"/>
            <w:shd w:val="clear" w:color="auto" w:fill="E4E4E4"/>
          </w:tcPr>
          <w:p>
            <w:pPr>
              <w:jc w:val="right"/>
              <w:ind w:right="2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1,051</w:t>
            </w:r>
          </w:p>
        </w:tc>
      </w:tr>
      <w:tr>
        <w:trPr>
          <w:trHeight w:val="255"/>
        </w:trPr>
        <w:tc>
          <w:tcPr>
            <w:tcW w:w="7140" w:type="dxa"/>
            <w:vAlign w:val="bottom"/>
          </w:tcPr>
          <w:p>
            <w:pPr>
              <w:ind w:left="80"/>
              <w:spacing w:after="0"/>
              <w:rPr>
                <w:sz w:val="20"/>
                <w:szCs w:val="20"/>
                <w:color w:val="auto"/>
              </w:rPr>
            </w:pPr>
            <w:r>
              <w:rPr>
                <w:rFonts w:ascii="Arial" w:cs="Arial" w:eastAsia="Arial" w:hAnsi="Arial"/>
                <w:sz w:val="16"/>
                <w:szCs w:val="16"/>
                <w:color w:val="auto"/>
              </w:rPr>
              <w:t>Cash from (used for) investing activities – continuing operations</w:t>
            </w:r>
          </w:p>
        </w:tc>
        <w:tc>
          <w:tcPr>
            <w:tcW w:w="280" w:type="dxa"/>
            <w:vAlign w:val="bottom"/>
          </w:tcPr>
          <w:p>
            <w:pPr>
              <w:spacing w:after="0"/>
              <w:rPr>
                <w:sz w:val="22"/>
                <w:szCs w:val="22"/>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(674)</w:t>
            </w:r>
          </w:p>
        </w:tc>
        <w:tc>
          <w:tcPr>
            <w:tcW w:w="4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(470)</w:t>
            </w:r>
          </w:p>
        </w:tc>
      </w:tr>
      <w:tr>
        <w:trPr>
          <w:trHeight w:val="258"/>
        </w:trPr>
        <w:tc>
          <w:tcPr>
            <w:tcW w:w="7140" w:type="dxa"/>
            <w:vAlign w:val="bottom"/>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 – continuing operations</w:t>
            </w:r>
          </w:p>
        </w:tc>
        <w:tc>
          <w:tcPr>
            <w:tcW w:w="280" w:type="dxa"/>
            <w:vAlign w:val="bottom"/>
            <w:shd w:val="clear" w:color="auto" w:fill="E4E4E4"/>
          </w:tcPr>
          <w:p>
            <w:pPr>
              <w:spacing w:after="0"/>
              <w:rPr>
                <w:sz w:val="22"/>
                <w:szCs w:val="22"/>
                <w:color w:val="auto"/>
              </w:rPr>
            </w:pPr>
          </w:p>
        </w:tc>
        <w:tc>
          <w:tcPr>
            <w:tcW w:w="1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704</w:t>
            </w:r>
          </w:p>
        </w:tc>
        <w:tc>
          <w:tcPr>
            <w:tcW w:w="480" w:type="dxa"/>
            <w:vAlign w:val="bottom"/>
            <w:shd w:val="clear" w:color="auto" w:fill="E4E4E4"/>
          </w:tcPr>
          <w:p>
            <w:pPr>
              <w:spacing w:after="0"/>
              <w:rPr>
                <w:sz w:val="22"/>
                <w:szCs w:val="22"/>
                <w:color w:val="auto"/>
              </w:rPr>
            </w:pPr>
          </w:p>
        </w:tc>
        <w:tc>
          <w:tcPr>
            <w:tcW w:w="15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422</w:t>
            </w:r>
          </w:p>
        </w:tc>
      </w:tr>
      <w:tr>
        <w:trPr>
          <w:trHeight w:val="228"/>
        </w:trPr>
        <w:tc>
          <w:tcPr>
            <w:tcW w:w="714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2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743</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29"/>
        </w:trPr>
        <w:tc>
          <w:tcPr>
            <w:tcW w:w="7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Cash generated from operating activities in the nine months ended September 30, 2024 was $1,042 million and included Net income from continuing operations of $1,312 million, non-cash charges primarily for depreciation and amortization of $440 million, and $711 million in outflows from incremental changes in assets and liabilities, primarily driven by company-funded benefit payments for postretirement benefit plans, an increase in inventories mainly due to inventory build to meet higher demand, and compensation and benefit payments.</w:t>
      </w:r>
    </w:p>
    <w:p>
      <w:pPr>
        <w:spacing w:after="0" w:line="20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Cash generated from operating activities in the nine months ended September 30, 2023 was $1,051 million and included Net income from continuing operations of $1,202 million, non-cash charges primarily for depreciation and amortization of $466 million, and $617 million in outflows from incremental changes in assets and liabilities, primarily driven by company funded benefit payments for postretirement benefit plans, a decrease in account payables, and an increase in inventories.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1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Cash used for investing activities in the nine months ended September 30, 2024 was $674 million and primarily included additions to PP&amp;E of $299 million related mostly to manufacturing capacity expansion and new product introductions, purchases of businesses, net of cash acquired, of $259 million related to MIM Software Inc. (“MIM Software”), and payment of $94 million for settlement of cross-currency swaps that were designated in net investment hedges. Refer to Note 7, “Acquisitions, Goodwill, and Other Intangible Assets” for additional information on the MIM Software acquisition, and Note 12, “Financial Instruments and Fair Value Measurements” for additional information on the settlement of cross-currency swaps.</w:t>
      </w:r>
    </w:p>
    <w:p>
      <w:pPr>
        <w:spacing w:after="0" w:line="20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Cash used for investing activities in the nine months ended September 30, 2023 was $470 million and primarily included additions to PP&amp;E of $293 million related mostly to new product introductions, manufacturing capacity expansion, and purchases of businesses, net of cash acquired, of $147 million primarily related to Caption Health, Inc.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9"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Cash generated from financing activities in the nine months ended September 30, 2024 was $704 million and primarily included $994 million of net proceeds from the issuance of $1,000 million aggregate principal amount of senior unsecured notes due in 2029, partially offset by repayment of $150 million of our outstanding Term Loan Facility. Refer to Note 8, “Borrowings” for further information.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1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type w:val="continuous"/>
        </w:sectPr>
      </w:pPr>
    </w:p>
    <w:bookmarkStart w:id="43" w:name="page44"/>
    <w:bookmarkEnd w:id="43"/>
    <w:p>
      <w:pPr>
        <w:ind w:right="420"/>
        <w:spacing w:after="0" w:line="286" w:lineRule="auto"/>
        <w:rPr>
          <w:sz w:val="20"/>
          <w:szCs w:val="20"/>
          <w:color w:val="auto"/>
        </w:rPr>
      </w:pPr>
      <w:r>
        <w:rPr>
          <w:rFonts w:ascii="Arial" w:cs="Arial" w:eastAsia="Arial" w:hAnsi="Arial"/>
          <w:sz w:val="16"/>
          <w:szCs w:val="16"/>
          <w:color w:val="auto"/>
        </w:rPr>
        <w:t>Cash generated from financing activities in the nine months ended September 30, 2023 was $422 million and primarily included $2,020 million of newly issued debt, partially offset by $1,317 million of transfers to GE, and $211 million of Redemption of noncontrolling interests.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Free cash flow*</w:t>
      </w:r>
    </w:p>
    <w:p>
      <w:pPr>
        <w:spacing w:after="0" w:line="19"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Free cash flow* was $743 million for the nine months ended September 30, 2024 and primarily included $1,042 million of cash generated from operating activities, partially offset by $299 million of cash used for additions to PP&amp;E.</w:t>
      </w:r>
    </w:p>
    <w:p>
      <w:pPr>
        <w:spacing w:after="0" w:line="185"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Free cash flow* was $759 million for the nine months ended September 30, 2023 and primarily included $1,051 million of cash generated from operating activities, partially offset by $293 million of cash used for additions to PP&amp;E.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19" w:lineRule="exact"/>
        <w:rPr>
          <w:sz w:val="20"/>
          <w:szCs w:val="20"/>
          <w:color w:val="auto"/>
        </w:rPr>
      </w:pPr>
    </w:p>
    <w:p>
      <w:pPr>
        <w:ind w:right="400"/>
        <w:spacing w:after="0" w:line="283" w:lineRule="auto"/>
        <w:rPr>
          <w:sz w:val="20"/>
          <w:szCs w:val="20"/>
          <w:color w:val="auto"/>
        </w:rPr>
      </w:pPr>
      <w:r>
        <w:rPr>
          <w:rFonts w:ascii="Arial" w:cs="Arial" w:eastAsia="Arial" w:hAnsi="Arial"/>
          <w:sz w:val="16"/>
          <w:szCs w:val="16"/>
          <w:color w:val="auto"/>
        </w:rPr>
        <w:t>Cash used for capital expenditures was $299 million and $293 million for the nine months ended September 30, 2024 and 2023, respectively. Capital expenditures were primarily for manufacturing capacity expansion, new product introductions, and equipment and tooling for new and existing products.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19"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other commitments are provided in Note 7, “Leases,” Note 9, “Borrowings,” and Note 14, “Commitments, Guarantees, Product Warranties, and Other Loss Contingencies” in our Annual Report on Form 10-K for the fiscal year ended December 31, 2023. We have material cash requirements related to our pension obligations as described in Note 9, “Postretirement Benefit Plans.” Additionally, on April 1, 2024, we funded the acquisition of MIM Software with cash on hand. Further information regarding this acquisition is provided in Note 7, “Acquisitions, Goodwill, and Other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As part of our capital structure, we have incurred debt. The servicing of this debt is supported by cash flows from our operations. As of September 30, 2024, we had $10,312 million of total debt compared to $9,442 million as of December 31, 2023. The increase in debt was due primarily to our issuance, in the third quarter of 2024, of $1,000 million aggregate principal amount of senior unsecured notes due in 2029, partially offset by a repayment of $150 million of the outstanding Term Loan Facility in the first quarter of 2024. As of September 30, 2024, there were $1,000 million of senior notes due in November 2024 recognized within Short-term borrowings in our Condensed Consolidated Statements of Financial Position. We plan to use the net proceeds from the debt issuance referenced above, together with cash on hand, to repay the $1,000 million aggregate principal amount outstanding of the senior unsecured notes due in November 2024.</w:t>
      </w:r>
    </w:p>
    <w:p>
      <w:pPr>
        <w:spacing w:after="0" w:line="222"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The weighted average interest rate for the Notes and our Credit Facilities for the nine months ended September 30, 2024 was 6.05%. We had no principal debt repayments on the Notes for the nine months ended September 30, 2024.</w:t>
      </w:r>
    </w:p>
    <w:p>
      <w:pPr>
        <w:spacing w:after="0" w:line="19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 xml:space="preserve">In addition to the Term Loan Facility, our credit facilities include a five-year senior unsecured revolving facility that provides borrowings of up to $2,500 million expiring in January 2028, and a 364-day senior unsecured revolving facility that provides borrowings of up to $1,000 million expiring in December 2024. As of </w:t>
      </w:r>
      <w:r>
        <w:rPr>
          <w:rFonts w:ascii="Arial" w:cs="Arial" w:eastAsia="Arial" w:hAnsi="Arial"/>
          <w:sz w:val="16"/>
          <w:szCs w:val="16"/>
          <w:color w:val="231F20"/>
        </w:rPr>
        <w:t>September 30, 2024</w:t>
      </w:r>
      <w:r>
        <w:rPr>
          <w:rFonts w:ascii="Arial" w:cs="Arial" w:eastAsia="Arial" w:hAnsi="Arial"/>
          <w:sz w:val="16"/>
          <w:szCs w:val="16"/>
          <w:color w:val="auto"/>
        </w:rPr>
        <w:t>, there were no outstanding borrowings on either of the two revolving facilities.</w:t>
      </w:r>
    </w:p>
    <w:p>
      <w:pPr>
        <w:spacing w:after="0" w:line="2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The Credit Facilities include various customary covenants that limit, among other things, the incurrence of liens securing debt, the entry into certain fundamental change transactions by GE HealthCare, and the maximum permitted leverage ratio. As of </w:t>
      </w:r>
      <w:r>
        <w:rPr>
          <w:rFonts w:ascii="Arial" w:cs="Arial" w:eastAsia="Arial" w:hAnsi="Arial"/>
          <w:sz w:val="16"/>
          <w:szCs w:val="16"/>
          <w:color w:val="231F20"/>
        </w:rPr>
        <w:t>September 30, 2024</w:t>
      </w:r>
      <w:r>
        <w:rPr>
          <w:rFonts w:ascii="Arial" w:cs="Arial" w:eastAsia="Arial" w:hAnsi="Arial"/>
          <w:sz w:val="16"/>
          <w:szCs w:val="16"/>
          <w:color w:val="auto"/>
        </w:rPr>
        <w:t>, we were in compliance with the covenant requirements, including the maximum consolidated net leverage ratio.</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debt and credit facilities, see Note 8, “Borrowings.”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2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connection with the Spin-Off, we accessed the capital markets and raised $10,250 million of debt by issuing $8,250 million of senior unsecured notes in November 2022, completed a drawdown of the Term Loan Facility of $2,000 million in January 2023, and arranged $3,500 million of revolving credit facilities to further support our liquidity needs. In the third quarter of 2024, we issued $1,000 million aggregate principal amount of senior unsecured notes due in 2029. We plan to continue to rely on capital markets, and we expect to have access to credit facilities to fund our operations. The cost and availability of debt financing will be influenced by our credit ratings and market conditions. Moody’s Investors Service (“Moody’s”), Standard and Poor’s Global Ratings (“S&amp;P”), and Fitch Ratings (“Fitch”) currently issue ratings on our long-term debt. Our credit ratings as of October 23, 2024 are set forth in the table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Pr>
          <w:p>
            <w:pPr>
              <w:spacing w:after="0"/>
              <w:rPr>
                <w:sz w:val="19"/>
                <w:szCs w:val="19"/>
                <w:color w:val="auto"/>
              </w:rPr>
            </w:pPr>
          </w:p>
        </w:tc>
        <w:tc>
          <w:tcPr>
            <w:tcW w:w="3440" w:type="dxa"/>
            <w:vAlign w:val="bottom"/>
          </w:tcPr>
          <w:p>
            <w:pPr>
              <w:jc w:val="center"/>
              <w:ind w:left="1279"/>
              <w:spacing w:after="0"/>
              <w:rPr>
                <w:sz w:val="20"/>
                <w:szCs w:val="20"/>
                <w:color w:val="auto"/>
              </w:rPr>
            </w:pPr>
            <w:r>
              <w:rPr>
                <w:rFonts w:ascii="Arial" w:cs="Arial" w:eastAsia="Arial" w:hAnsi="Arial"/>
                <w:sz w:val="16"/>
                <w:szCs w:val="16"/>
                <w:b w:val="1"/>
                <w:bCs w:val="1"/>
                <w:color w:val="454545"/>
                <w:w w:val="98"/>
              </w:rPr>
              <w:t>Moody’s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54545"/>
                <w:w w:val="97"/>
              </w:rPr>
              <w:t>S&amp;P</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454545"/>
                <w:w w:val="99"/>
              </w:rPr>
              <w:t>Fitch</w:t>
            </w:r>
          </w:p>
        </w:tc>
      </w:tr>
      <w:tr>
        <w:trPr>
          <w:trHeight w:val="21"/>
        </w:trPr>
        <w:tc>
          <w:tcPr>
            <w:tcW w:w="3880" w:type="dxa"/>
            <w:vAlign w:val="bottom"/>
            <w:tcBorders>
              <w:bottom w:val="single" w:sz="8" w:color="6022A6"/>
            </w:tcBorders>
          </w:tcPr>
          <w:p>
            <w:pPr>
              <w:spacing w:after="0" w:line="20" w:lineRule="exact"/>
              <w:rPr>
                <w:sz w:val="1"/>
                <w:szCs w:val="1"/>
                <w:color w:val="auto"/>
              </w:rPr>
            </w:pPr>
          </w:p>
        </w:tc>
        <w:tc>
          <w:tcPr>
            <w:tcW w:w="3440" w:type="dxa"/>
            <w:vAlign w:val="bottom"/>
            <w:tcBorders>
              <w:bottom w:val="single" w:sz="8" w:color="6022A6"/>
            </w:tcBorders>
          </w:tcPr>
          <w:p>
            <w:pPr>
              <w:spacing w:after="0" w:line="20" w:lineRule="exact"/>
              <w:rPr>
                <w:sz w:val="1"/>
                <w:szCs w:val="1"/>
                <w:color w:val="auto"/>
              </w:rPr>
            </w:pPr>
          </w:p>
        </w:tc>
        <w:tc>
          <w:tcPr>
            <w:tcW w:w="1940" w:type="dxa"/>
            <w:vAlign w:val="bottom"/>
            <w:tcBorders>
              <w:bottom w:val="single" w:sz="8" w:color="6022A6"/>
            </w:tcBorders>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38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rating</w:t>
            </w:r>
          </w:p>
        </w:tc>
        <w:tc>
          <w:tcPr>
            <w:tcW w:w="3440" w:type="dxa"/>
            <w:vAlign w:val="bottom"/>
            <w:tcBorders>
              <w:bottom w:val="single" w:sz="8" w:color="E4E4E4"/>
            </w:tcBorders>
            <w:shd w:val="clear" w:color="auto" w:fill="E4E4E4"/>
          </w:tcPr>
          <w:p>
            <w:pPr>
              <w:jc w:val="center"/>
              <w:ind w:left="1259"/>
              <w:spacing w:after="0"/>
              <w:rPr>
                <w:sz w:val="20"/>
                <w:szCs w:val="20"/>
                <w:color w:val="auto"/>
              </w:rPr>
            </w:pPr>
            <w:r>
              <w:rPr>
                <w:rFonts w:ascii="Arial" w:cs="Arial" w:eastAsia="Arial" w:hAnsi="Arial"/>
                <w:sz w:val="16"/>
                <w:szCs w:val="16"/>
                <w:color w:val="auto"/>
              </w:rPr>
              <w:t>Baa2</w:t>
            </w:r>
          </w:p>
        </w:tc>
        <w:tc>
          <w:tcPr>
            <w:tcW w:w="194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w w:val="99"/>
              </w:rPr>
              <w:t>BBB</w:t>
            </w:r>
          </w:p>
        </w:tc>
        <w:tc>
          <w:tcPr>
            <w:tcW w:w="198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color w:val="auto"/>
              </w:rPr>
              <w:t>BBB</w:t>
            </w:r>
          </w:p>
        </w:tc>
      </w:tr>
      <w:tr>
        <w:trPr>
          <w:trHeight w:val="228"/>
        </w:trPr>
        <w:tc>
          <w:tcPr>
            <w:tcW w:w="3880" w:type="dxa"/>
            <w:vAlign w:val="bottom"/>
          </w:tcPr>
          <w:p>
            <w:pPr>
              <w:ind w:left="20"/>
              <w:spacing w:after="0"/>
              <w:rPr>
                <w:sz w:val="20"/>
                <w:szCs w:val="20"/>
                <w:color w:val="auto"/>
              </w:rPr>
            </w:pPr>
            <w:r>
              <w:rPr>
                <w:rFonts w:ascii="Arial" w:cs="Arial" w:eastAsia="Arial" w:hAnsi="Arial"/>
                <w:sz w:val="16"/>
                <w:szCs w:val="16"/>
                <w:color w:val="auto"/>
              </w:rPr>
              <w:t>Outlook</w:t>
            </w:r>
          </w:p>
        </w:tc>
        <w:tc>
          <w:tcPr>
            <w:tcW w:w="3440" w:type="dxa"/>
            <w:vAlign w:val="bottom"/>
          </w:tcPr>
          <w:p>
            <w:pPr>
              <w:jc w:val="center"/>
              <w:ind w:left="1259"/>
              <w:spacing w:after="0"/>
              <w:rPr>
                <w:sz w:val="20"/>
                <w:szCs w:val="20"/>
                <w:color w:val="auto"/>
              </w:rPr>
            </w:pPr>
            <w:r>
              <w:rPr>
                <w:rFonts w:ascii="Arial" w:cs="Arial" w:eastAsia="Arial" w:hAnsi="Arial"/>
                <w:sz w:val="16"/>
                <w:szCs w:val="16"/>
                <w:color w:val="auto"/>
              </w:rPr>
              <w:t>Stable</w:t>
            </w:r>
          </w:p>
        </w:tc>
        <w:tc>
          <w:tcPr>
            <w:tcW w:w="1940" w:type="dxa"/>
            <w:vAlign w:val="bottom"/>
          </w:tcPr>
          <w:p>
            <w:pPr>
              <w:jc w:val="center"/>
              <w:spacing w:after="0"/>
              <w:rPr>
                <w:sz w:val="20"/>
                <w:szCs w:val="20"/>
                <w:color w:val="auto"/>
              </w:rPr>
            </w:pPr>
            <w:r>
              <w:rPr>
                <w:rFonts w:ascii="Arial" w:cs="Arial" w:eastAsia="Arial" w:hAnsi="Arial"/>
                <w:sz w:val="16"/>
                <w:szCs w:val="16"/>
                <w:color w:val="auto"/>
              </w:rPr>
              <w:t>Stable</w:t>
            </w:r>
          </w:p>
        </w:tc>
        <w:tc>
          <w:tcPr>
            <w:tcW w:w="19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29"/>
        </w:trPr>
        <w:tc>
          <w:tcPr>
            <w:tcW w:w="38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9"/>
        </w:trPr>
        <w:tc>
          <w:tcPr>
            <w:tcW w:w="3880" w:type="dxa"/>
            <w:vAlign w:val="bottom"/>
          </w:tcPr>
          <w:p>
            <w:pPr>
              <w:spacing w:after="0"/>
              <w:rPr>
                <w:sz w:val="20"/>
                <w:szCs w:val="20"/>
                <w:color w:val="auto"/>
              </w:rPr>
            </w:pPr>
            <w:r>
              <w:rPr>
                <w:rFonts w:ascii="Arial" w:cs="Arial" w:eastAsia="Arial" w:hAnsi="Arial"/>
                <w:sz w:val="16"/>
                <w:szCs w:val="16"/>
                <w:color w:val="auto"/>
              </w:rPr>
              <w:t>____________________</w:t>
            </w:r>
          </w:p>
        </w:tc>
        <w:tc>
          <w:tcPr>
            <w:tcW w:w="34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1980" w:type="dxa"/>
            <w:vAlign w:val="bottom"/>
          </w:tcPr>
          <w:p>
            <w:pPr>
              <w:spacing w:after="0"/>
              <w:rPr>
                <w:sz w:val="22"/>
                <w:szCs w:val="22"/>
                <w:color w:val="auto"/>
              </w:rPr>
            </w:pPr>
          </w:p>
        </w:tc>
      </w:tr>
      <w:tr>
        <w:trPr>
          <w:trHeight w:val="166"/>
        </w:trPr>
        <w:tc>
          <w:tcPr>
            <w:tcW w:w="3880" w:type="dxa"/>
            <w:vAlign w:val="bottom"/>
          </w:tcPr>
          <w:p>
            <w:pPr>
              <w:spacing w:after="0"/>
              <w:rPr>
                <w:sz w:val="20"/>
                <w:szCs w:val="20"/>
                <w:color w:val="auto"/>
              </w:rPr>
            </w:pPr>
            <w:r>
              <w:rPr>
                <w:rFonts w:ascii="Arial" w:cs="Arial" w:eastAsia="Arial" w:hAnsi="Arial"/>
                <w:sz w:val="13"/>
                <w:szCs w:val="13"/>
                <w:color w:val="auto"/>
              </w:rPr>
              <w:t>*Non-GAAP Financial Measure</w:t>
            </w:r>
          </w:p>
        </w:tc>
        <w:tc>
          <w:tcPr>
            <w:tcW w:w="34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4" w:name="page45"/>
    <w:bookmarkEnd w:id="44"/>
    <w:p>
      <w:pPr>
        <w:ind w:right="180"/>
        <w:spacing w:after="0" w:line="275" w:lineRule="auto"/>
        <w:rPr>
          <w:sz w:val="20"/>
          <w:szCs w:val="20"/>
          <w:color w:val="auto"/>
        </w:rPr>
      </w:pPr>
      <w:r>
        <w:rPr>
          <w:rFonts w:ascii="Arial" w:cs="Arial" w:eastAsia="Arial" w:hAnsi="Arial"/>
          <w:sz w:val="16"/>
          <w:szCs w:val="16"/>
          <w:color w:val="auto"/>
        </w:rPr>
        <w:t>We are disclosing our credit ratings to enhance the understanding of our sources of liquidity and the effects of our ratings on our costs of funds and access to liquidity. Our ratings may be subject to a revision or withdrawal at any time by the assigning rating organization, and each rating should be evaluated independently of any other rating.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a discussion of recently issued accounting standards, see Note 1, </w:t>
      </w:r>
      <w:r>
        <w:rPr>
          <w:rFonts w:ascii="Arial" w:cs="Arial" w:eastAsia="Arial" w:hAnsi="Arial"/>
          <w:sz w:val="16"/>
          <w:szCs w:val="16"/>
          <w:color w:val="231F20"/>
        </w:rPr>
        <w:t>“</w:t>
      </w:r>
      <w:r>
        <w:rPr>
          <w:rFonts w:ascii="Arial" w:cs="Arial" w:eastAsia="Arial" w:hAnsi="Arial"/>
          <w:sz w:val="16"/>
          <w:szCs w:val="16"/>
          <w:color w:val="auto"/>
        </w:rPr>
        <w:t>Organization and Basis of Presentation.”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7"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There have been no material changes to the critical accounting estimates disclosed in our Annual Report on Form 10-K for the fiscal year ended December 31, 2023.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are exposed to market risk primarily from changes in interest rates, foreign currency exchange rates, commodity prices, and equity prices, which may impact future income, cash flows, and fair value of our business. There have been no material changes in our exposure to market risk from those disclosed in Item 7A, “Quantitative and Qualitative Disclosures About Market Risk” in our Annual Report on Form 10-K for the fiscal year ended December 31, 2023.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September 30, 2024,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During the quarter ended September 30, 2024, the Company continued to exit from various transition service agreements with GE, primarily related to IT systems that impact financial reporting. Consequently, responsibility for execution of related internal controls transferred to the Company, including general IT controls in connection with IT environment changes. Other than those discussed in the preceding sentences, there were no changes in the Company’s internal control over financial reporting that occurred during the quarter ended September 30, 2024 that materially affected or are reasonably likely to materially affect the Company’s internal control over financial reporting.</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INHERENT LIMITATIONS ON EFFECTIVENESS OF CONTROLS.</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All internal control systems have inherent limitations; as such, they may not prevent or detect all misstatements or all fraud. Therefore, even those internal control systems determined to be effective can provide only reasonable assurance with respect to financial statements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3"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13, “Commitments, Guarantees, Product Warranties, and Other Loss Contingencies” to the financial statements included elsewhere in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disclosed in our Annual Report on Form 10-K for the fiscal year ended December 31, 2023.</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sales of equity securities during the period covered by this report.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48"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3"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16"/>
          <w:szCs w:val="16"/>
          <w:b w:val="1"/>
          <w:bCs w:val="1"/>
          <w:color w:val="454545"/>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3003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66" w:lineRule="exact"/>
        <w:rPr>
          <w:sz w:val="20"/>
          <w:szCs w:val="20"/>
          <w:color w:val="auto"/>
        </w:rPr>
      </w:pPr>
    </w:p>
    <w:p>
      <w:pPr>
        <w:ind w:left="1180" w:right="22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3.1</w:t>
      </w:r>
      <w:r>
        <w:rPr>
          <w:sz w:val="20"/>
          <w:szCs w:val="20"/>
          <w:color w:val="auto"/>
        </w:rPr>
        <w:tab/>
      </w:r>
      <w:hyperlink r:id="rId69">
        <w:r>
          <w:rPr>
            <w:rFonts w:ascii="Arial" w:cs="Arial" w:eastAsia="Arial" w:hAnsi="Arial"/>
            <w:sz w:val="16"/>
            <w:szCs w:val="16"/>
            <w:u w:val="single" w:color="auto"/>
            <w:color w:val="0E32E1"/>
          </w:rPr>
          <w:t>Certificate of Incorporation of the Registrant (incorporated by reference to Exhibit 3.1 to the Registrant’s Current Report on Form 8-K filed</w:t>
        </w:r>
      </w:hyperlink>
      <w:r>
        <w:rPr>
          <w:rFonts w:ascii="Arial" w:cs="Arial" w:eastAsia="Arial" w:hAnsi="Arial"/>
          <w:sz w:val="16"/>
          <w:szCs w:val="16"/>
          <w:u w:val="single" w:color="auto"/>
          <w:color w:val="0E32E1"/>
        </w:rPr>
        <w:t xml:space="preserve"> </w:t>
      </w:r>
      <w:hyperlink r:id="rId69">
        <w:r>
          <w:rPr>
            <w:rFonts w:ascii="Arial" w:cs="Arial" w:eastAsia="Arial" w:hAnsi="Arial"/>
            <w:sz w:val="16"/>
            <w:szCs w:val="16"/>
            <w:u w:val="single" w:color="auto"/>
            <w:color w:val="0E32E1"/>
          </w:rPr>
          <w:t>with the SEC on December 29, 2022).</w:t>
        </w:r>
      </w:hyperlink>
    </w:p>
    <w:p>
      <w:pPr>
        <w:spacing w:after="0" w:line="1" w:lineRule="exact"/>
        <w:rPr>
          <w:sz w:val="20"/>
          <w:szCs w:val="20"/>
          <w:color w:val="auto"/>
        </w:rPr>
      </w:pPr>
    </w:p>
    <w:p>
      <w:pPr>
        <w:ind w:left="1180" w:right="400" w:hanging="710"/>
        <w:spacing w:after="0" w:line="299"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3.2</w:t>
      </w:r>
      <w:r>
        <w:rPr>
          <w:sz w:val="20"/>
          <w:szCs w:val="20"/>
          <w:color w:val="auto"/>
        </w:rPr>
        <w:tab/>
      </w:r>
      <w:hyperlink r:id="rId70">
        <w:r>
          <w:rPr>
            <w:rFonts w:ascii="Arial" w:cs="Arial" w:eastAsia="Arial" w:hAnsi="Arial"/>
            <w:sz w:val="16"/>
            <w:szCs w:val="16"/>
            <w:u w:val="single" w:color="auto"/>
            <w:color w:val="0E32E1"/>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E32E1"/>
        </w:rPr>
        <w:t xml:space="preserve"> </w:t>
      </w:r>
      <w:hyperlink r:id="rId70">
        <w:r>
          <w:rPr>
            <w:rFonts w:ascii="Arial" w:cs="Arial" w:eastAsia="Arial" w:hAnsi="Arial"/>
            <w:sz w:val="16"/>
            <w:szCs w:val="16"/>
            <w:u w:val="single" w:color="auto"/>
            <w:color w:val="0E32E1"/>
          </w:rPr>
          <w:t>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4203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2320" cy="420370"/>
                    </a:xfrm>
                    <a:prstGeom prst="rect">
                      <a:avLst/>
                    </a:prstGeom>
                    <a:noFill/>
                  </pic:spPr>
                </pic:pic>
              </a:graphicData>
            </a:graphic>
          </wp:anchor>
        </w:drawing>
      </w:r>
    </w:p>
    <w:p>
      <w:pPr>
        <w:ind w:left="1180" w:right="60" w:hanging="710"/>
        <w:spacing w:after="0" w:line="298" w:lineRule="auto"/>
        <w:tabs>
          <w:tab w:leader="none" w:pos="1160" w:val="left"/>
        </w:tabs>
        <w:rPr>
          <w:rFonts w:ascii="Arial" w:cs="Arial" w:eastAsia="Arial" w:hAnsi="Arial"/>
          <w:sz w:val="16"/>
          <w:szCs w:val="16"/>
          <w:u w:val="single" w:color="auto"/>
          <w:color w:val="0E32E1"/>
        </w:rPr>
      </w:pPr>
      <w:r>
        <w:rPr>
          <w:rFonts w:ascii="Arial" w:cs="Arial" w:eastAsia="Arial" w:hAnsi="Arial"/>
          <w:sz w:val="16"/>
          <w:szCs w:val="16"/>
          <w:b w:val="1"/>
          <w:bCs w:val="1"/>
          <w:color w:val="auto"/>
        </w:rPr>
        <w:t>4.1</w:t>
      </w:r>
      <w:r>
        <w:rPr>
          <w:sz w:val="20"/>
          <w:szCs w:val="20"/>
          <w:color w:val="auto"/>
        </w:rPr>
        <w:tab/>
      </w:r>
      <w:hyperlink r:id="rId72">
        <w:r>
          <w:rPr>
            <w:rFonts w:ascii="Arial" w:cs="Arial" w:eastAsia="Arial" w:hAnsi="Arial"/>
            <w:sz w:val="16"/>
            <w:szCs w:val="16"/>
            <w:u w:val="single" w:color="auto"/>
            <w:color w:val="0E32E1"/>
          </w:rPr>
          <w:t>Second Supplemental Indenture dated as of August 14, 2024, between GE HealthCare Technologies Inc. and The Bank of New York</w:t>
        </w:r>
      </w:hyperlink>
      <w:r>
        <w:rPr>
          <w:rFonts w:ascii="Arial" w:cs="Arial" w:eastAsia="Arial" w:hAnsi="Arial"/>
          <w:sz w:val="16"/>
          <w:szCs w:val="16"/>
          <w:u w:val="single" w:color="auto"/>
          <w:color w:val="0E32E1"/>
        </w:rPr>
        <w:t xml:space="preserve"> </w:t>
      </w:r>
      <w:hyperlink r:id="rId72">
        <w:r>
          <w:rPr>
            <w:rFonts w:ascii="Arial" w:cs="Arial" w:eastAsia="Arial" w:hAnsi="Arial"/>
            <w:sz w:val="16"/>
            <w:szCs w:val="16"/>
            <w:u w:val="single" w:color="auto"/>
            <w:color w:val="0E32E1"/>
          </w:rPr>
          <w:t>Mellon, as trustee (incorporated by reference to Exhibit 4.2 to the Registrant’s Current Report on Form 8-K filed with the SEC on August 15,</w:t>
        </w:r>
      </w:hyperlink>
      <w:r>
        <w:rPr>
          <w:rFonts w:ascii="Arial" w:cs="Arial" w:eastAsia="Arial" w:hAnsi="Arial"/>
          <w:sz w:val="16"/>
          <w:szCs w:val="16"/>
          <w:u w:val="single" w:color="auto"/>
          <w:color w:val="0E32E1"/>
        </w:rPr>
        <w:t xml:space="preserve"> </w:t>
      </w:r>
      <w:hyperlink r:id="rId72">
        <w:r>
          <w:rPr>
            <w:rFonts w:ascii="Arial" w:cs="Arial" w:eastAsia="Arial" w:hAnsi="Arial"/>
            <w:sz w:val="16"/>
            <w:szCs w:val="16"/>
            <w:u w:val="single" w:color="auto"/>
            <w:color w:val="0E32E1"/>
          </w:rPr>
          <w:t>2024).</w:t>
        </w:r>
      </w:hyperlink>
    </w:p>
    <w:p>
      <w:pPr>
        <w:spacing w:after="0" w:line="205" w:lineRule="exact"/>
        <w:rPr>
          <w:rFonts w:ascii="Arial" w:cs="Arial" w:eastAsia="Arial" w:hAnsi="Arial"/>
          <w:sz w:val="16"/>
          <w:szCs w:val="16"/>
          <w:u w:val="single" w:color="auto"/>
          <w:color w:val="0E32E1"/>
        </w:rPr>
      </w:pPr>
    </w:p>
    <w:p>
      <w:pPr>
        <w:ind w:left="1180" w:right="32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31.1</w:t>
      </w:r>
      <w:r>
        <w:rPr>
          <w:sz w:val="20"/>
          <w:szCs w:val="20"/>
          <w:color w:val="auto"/>
        </w:rPr>
        <w:tab/>
      </w:r>
      <w:r>
        <w:rPr>
          <w:rFonts w:ascii="Arial" w:cs="Arial" w:eastAsia="Arial" w:hAnsi="Arial"/>
          <w:sz w:val="16"/>
          <w:szCs w:val="16"/>
          <w:u w:val="single" w:color="auto"/>
          <w:color w:val="0E32E1"/>
        </w:rPr>
        <w:t>Certification of the Registrant’s Chief Executive Officer pursuant to Rule 13a-14(a)/15d-14(a) of the Securities Exchange Act of 1934, as amended, as adopted pursuant to Section 302 of the Sarbanes-Oxley Act of 2002.</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2914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1180" w:right="36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31.2</w:t>
      </w:r>
      <w:r>
        <w:rPr>
          <w:sz w:val="20"/>
          <w:szCs w:val="20"/>
          <w:color w:val="auto"/>
        </w:rPr>
        <w:tab/>
      </w:r>
      <w:r>
        <w:rPr>
          <w:rFonts w:ascii="Arial" w:cs="Arial" w:eastAsia="Arial" w:hAnsi="Arial"/>
          <w:sz w:val="16"/>
          <w:szCs w:val="16"/>
          <w:u w:val="single" w:color="auto"/>
          <w:color w:val="0E32E1"/>
        </w:rPr>
        <w:t>Certification of the Registrant’s Chief Financial Officer pursuant to Rule 13a-14(a)/15d-14(a) of the Securities Exchange Act of 1934, as amended, as adopted pursuant to Section 302 of the Sarbanes-Oxley Act of 2002.</w:t>
      </w:r>
    </w:p>
    <w:p>
      <w:pPr>
        <w:spacing w:after="0" w:line="1" w:lineRule="exact"/>
        <w:rPr>
          <w:rFonts w:ascii="Arial" w:cs="Arial" w:eastAsia="Arial" w:hAnsi="Arial"/>
          <w:sz w:val="16"/>
          <w:szCs w:val="16"/>
          <w:u w:val="single" w:color="auto"/>
          <w:color w:val="0E32E1"/>
        </w:rPr>
      </w:pPr>
    </w:p>
    <w:p>
      <w:pPr>
        <w:ind w:left="1180" w:right="620" w:hanging="755"/>
        <w:spacing w:after="0" w:line="299" w:lineRule="auto"/>
        <w:tabs>
          <w:tab w:leader="none" w:pos="1160" w:val="left"/>
        </w:tabs>
        <w:rPr>
          <w:sz w:val="20"/>
          <w:szCs w:val="20"/>
          <w:color w:val="auto"/>
        </w:rPr>
      </w:pPr>
      <w:r>
        <w:rPr>
          <w:rFonts w:ascii="Arial" w:cs="Arial" w:eastAsia="Arial" w:hAnsi="Arial"/>
          <w:sz w:val="16"/>
          <w:szCs w:val="16"/>
          <w:b w:val="1"/>
          <w:bCs w:val="1"/>
          <w:color w:val="auto"/>
        </w:rPr>
        <w:t>32.1</w:t>
      </w:r>
      <w:r>
        <w:rPr>
          <w:sz w:val="20"/>
          <w:szCs w:val="20"/>
          <w:color w:val="auto"/>
        </w:rPr>
        <w:tab/>
      </w:r>
      <w:r>
        <w:rPr>
          <w:rFonts w:ascii="Arial" w:cs="Arial" w:eastAsia="Arial" w:hAnsi="Arial"/>
          <w:sz w:val="16"/>
          <w:szCs w:val="16"/>
          <w:u w:val="single" w:color="auto"/>
          <w:color w:val="0E32E1"/>
        </w:rPr>
        <w:t>Certifications of the Registrant’s Chief Executive Officer and Chief Financial Officer pursuant to 18 U.S.C. Section 1350, as adopted pursuant to Section 906 of the Sarbanes-Oxley Act of 2002.</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934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934720"/>
                    </a:xfrm>
                    <a:prstGeom prst="rect">
                      <a:avLst/>
                    </a:prstGeom>
                    <a:noFill/>
                  </pic:spPr>
                </pic:pic>
              </a:graphicData>
            </a:graphic>
          </wp:anchor>
        </w:drawing>
      </w:r>
    </w:p>
    <w:p>
      <w:pPr>
        <w:ind w:left="1180" w:hanging="727"/>
        <w:spacing w:after="0" w:line="270" w:lineRule="auto"/>
        <w:tabs>
          <w:tab w:leader="none" w:pos="1180"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The following materials from GE HealthCare Technologies Inc.’s Quarterly Report on Form 10-Q for the quarter ended September 30, 2024, formatted in inline XBRL (eXtensible Business Reporting Language); (1) Condensed Consolidated Statements of Income for the three and nine months ended September 30, 2024 and 2023; (2) Condensed Consolidated Statements of Comprehensive Income (Loss) for the three and nine months ended September 30, 2024 and 2023; (3) Condensed Consolidated Statements of Financial Position as of September 30, 2024 and December 31, 2023; (4) Condensed Consolidated Statements of Changes in Equity for the three and nine months ended September 30, 2024 and 2023; (5) Condensed Consolidated Statements of Cash Flows for the nine months ended September 30, 2024 and 2023; and (6) Notes to the Condensed Consolidated Financial Statements.</w:t>
      </w:r>
    </w:p>
    <w:p>
      <w:pPr>
        <w:spacing w:after="0" w:line="23" w:lineRule="exact"/>
        <w:rPr>
          <w:rFonts w:ascii="Arial" w:cs="Arial" w:eastAsia="Arial" w:hAnsi="Arial"/>
          <w:sz w:val="16"/>
          <w:szCs w:val="16"/>
          <w:u w:val="single" w:color="auto"/>
          <w:color w:val="0E32E1"/>
        </w:rPr>
      </w:pPr>
    </w:p>
    <w:p>
      <w:pPr>
        <w:ind w:left="1180" w:hanging="727"/>
        <w:spacing w:after="0"/>
        <w:tabs>
          <w:tab w:leader="none" w:pos="1180"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54" w:lineRule="exact"/>
        <w:rPr>
          <w:rFonts w:ascii="Arial" w:cs="Arial" w:eastAsia="Arial" w:hAnsi="Arial"/>
          <w:sz w:val="16"/>
          <w:szCs w:val="16"/>
          <w:b w:val="1"/>
          <w:bCs w:val="1"/>
          <w:color w:val="auto"/>
        </w:rPr>
      </w:pPr>
    </w:p>
    <w:p>
      <w:pPr>
        <w:ind w:left="5540"/>
        <w:spacing w:after="0"/>
        <w:rPr>
          <w:rFonts w:ascii="Arial" w:cs="Arial" w:eastAsia="Arial" w:hAnsi="Arial"/>
          <w:sz w:val="16"/>
          <w:szCs w:val="16"/>
          <w:b w:val="1"/>
          <w:bCs w:val="1"/>
          <w:color w:val="auto"/>
        </w:rPr>
      </w:pPr>
      <w:r>
        <w:rPr>
          <w:rFonts w:ascii="Arial" w:cs="Arial" w:eastAsia="Arial" w:hAnsi="Arial"/>
          <w:sz w:val="14"/>
          <w:szCs w:val="14"/>
          <w:color w:val="auto"/>
        </w:rPr>
        <w:t>44</w:t>
      </w:r>
    </w:p>
    <w:p>
      <w:pPr>
        <w:spacing w:after="0" w:line="20" w:lineRule="exact"/>
        <w:rPr>
          <w:rFonts w:ascii="Arial" w:cs="Arial" w:eastAsia="Arial" w:hAnsi="Arial"/>
          <w:sz w:val="16"/>
          <w:szCs w:val="16"/>
          <w:u w:val="single" w:color="auto"/>
          <w:color w:val="0E32E1"/>
        </w:rPr>
      </w:pPr>
      <w:r>
        <w:rPr>
          <w:rFonts w:ascii="Arial" w:cs="Arial" w:eastAsia="Arial" w:hAnsi="Arial"/>
          <w:sz w:val="16"/>
          <w:szCs w:val="16"/>
          <w:u w:val="single" w:color="auto"/>
          <w:color w:val="0E32E1"/>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-669925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SIGNATURES</w:t>
      </w:r>
    </w:p>
    <w:p>
      <w:pPr>
        <w:spacing w:after="0" w:line="2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5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GE HealthCare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38100</wp:posOffset>
            </wp:positionV>
            <wp:extent cx="4886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pacing w:after="0" w:line="120" w:lineRule="exact"/>
        <w:rPr>
          <w:sz w:val="20"/>
          <w:szCs w:val="20"/>
          <w:color w:val="auto"/>
        </w:rPr>
      </w:pPr>
    </w:p>
    <w:p>
      <w:pPr>
        <w:ind w:left="2060"/>
        <w:spacing w:after="0"/>
        <w:rPr>
          <w:sz w:val="20"/>
          <w:szCs w:val="20"/>
          <w:color w:val="auto"/>
        </w:rPr>
      </w:pPr>
      <w:r>
        <w:rPr>
          <w:rFonts w:ascii="Arial" w:cs="Arial" w:eastAsia="Arial" w:hAnsi="Arial"/>
          <w:sz w:val="16"/>
          <w:szCs w:val="16"/>
          <w:color w:val="auto"/>
        </w:rPr>
        <w:t>(Registrant)</w:t>
      </w:r>
    </w:p>
    <w:p>
      <w:pPr>
        <w:spacing w:after="0" w:line="329" w:lineRule="exact"/>
        <w:rPr>
          <w:sz w:val="20"/>
          <w:szCs w:val="20"/>
          <w:color w:val="auto"/>
        </w:rPr>
      </w:pPr>
    </w:p>
    <w:p>
      <w:pPr>
        <w:ind w:left="340"/>
        <w:spacing w:after="0"/>
        <w:tabs>
          <w:tab w:leader="none" w:pos="2040" w:val="left"/>
        </w:tabs>
        <w:rPr>
          <w:sz w:val="20"/>
          <w:szCs w:val="20"/>
          <w:color w:val="auto"/>
        </w:rPr>
      </w:pPr>
      <w:r>
        <w:rPr>
          <w:rFonts w:ascii="Arial" w:cs="Arial" w:eastAsia="Arial" w:hAnsi="Arial"/>
          <w:sz w:val="16"/>
          <w:szCs w:val="16"/>
          <w:color w:val="auto"/>
        </w:rPr>
        <w:t>October 30, 2024</w:t>
      </w:r>
      <w:r>
        <w:rPr>
          <w:sz w:val="20"/>
          <w:szCs w:val="20"/>
          <w:color w:val="auto"/>
        </w:rPr>
        <w:tab/>
      </w: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61804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6180455" cy="8890"/>
                    </a:xfrm>
                    <a:prstGeom prst="rect">
                      <a:avLst/>
                    </a:prstGeom>
                    <a:noFill/>
                  </pic:spPr>
                </pic:pic>
              </a:graphicData>
            </a:graphic>
          </wp:anchor>
        </w:drawing>
      </w:r>
    </w:p>
    <w:p>
      <w:pPr>
        <w:spacing w:after="0" w:line="66" w:lineRule="exact"/>
        <w:rPr>
          <w:sz w:val="20"/>
          <w:szCs w:val="20"/>
          <w:color w:val="auto"/>
        </w:rPr>
      </w:pPr>
    </w:p>
    <w:p>
      <w:pPr>
        <w:ind w:left="800"/>
        <w:spacing w:after="0"/>
        <w:tabs>
          <w:tab w:leader="none" w:pos="20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George A. Newcomb, Controller &amp; Chief Accounting Officer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0340"/>
          </w:cols>
          <w:pgMar w:left="320" w:top="1093" w:right="12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30,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October 30, 2024</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In connection with the Quarterly Report of GE HealthCare Technologies Inc. (the “registrant”) on Form 10-Q for the period ended September 30, 2024,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October 30, 2024</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1)"/>
      <w:numFmt w:val="decimal"/>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decimal"/>
      <w:start w:val="101"/>
    </w:lvl>
  </w:abstractNum>
  <w:abstractNum w:abstractNumId="35">
    <w:nsid w:val="7724C67E"/>
    <w:multiLevelType w:val="hybridMultilevel"/>
    <w:lvl w:ilvl="0">
      <w:lvlJc w:val="left"/>
      <w:lvlText w:val="%1"/>
      <w:numFmt w:val="decimal"/>
      <w:start w:val="104"/>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71"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69" Type="http://schemas.openxmlformats.org/officeDocument/2006/relationships/hyperlink" Target="https://www.sec.gov/Archives/edgar/data/1932393/000119312522314166/d439598dex31.htm" TargetMode="External"/><Relationship Id="rId70" Type="http://schemas.openxmlformats.org/officeDocument/2006/relationships/hyperlink" Target="https://www.sec.gov/Archives/edgar/data/1932393/000119312522314166/d439598dex32.htm" TargetMode="External"/><Relationship Id="rId72" Type="http://schemas.openxmlformats.org/officeDocument/2006/relationships/hyperlink" Target="https://www.sec.gov/Archives/edgar/data/1932393/000119312524201356/d86873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2024-10-30T05:44:41Z</dcterms:created>
  <dcterms:modified xsi:type="dcterms:W3CDTF">2024-10-30T05:44:41Z</dcterms:modified>
</cp:coreProperties>
</file>