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5" w:lineRule="exact"/>
        <w:rPr>
          <w:sz w:val="24"/>
          <w:szCs w:val="24"/>
          <w:color w:val="auto"/>
        </w:rPr>
      </w:pPr>
    </w:p>
    <w:p>
      <w:pPr>
        <w:jc w:val="center"/>
        <w:ind w:left="3900" w:right="1360" w:hanging="2522"/>
        <w:spacing w:after="0" w:line="279" w:lineRule="auto"/>
        <w:tabs>
          <w:tab w:leader="none" w:pos="157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2"/>
        <w:spacing w:after="0" w:line="325" w:lineRule="auto"/>
        <w:tabs>
          <w:tab w:leader="none" w:pos="15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14605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300" w:type="dxa"/>
            <w:vAlign w:val="bottom"/>
          </w:tcPr>
          <w:p>
            <w:pPr>
              <w:jc w:val="center"/>
              <w:spacing w:after="0"/>
              <w:rPr>
                <w:sz w:val="20"/>
                <w:szCs w:val="20"/>
                <w:color w:val="auto"/>
              </w:rPr>
            </w:pPr>
            <w:r>
              <w:rPr>
                <w:rFonts w:ascii="Arial" w:cs="Arial" w:eastAsia="Arial" w:hAnsi="Arial"/>
                <w:sz w:val="16"/>
                <w:szCs w:val="16"/>
                <w:b w:val="1"/>
                <w:bCs w:val="1"/>
                <w:color w:val="auto"/>
              </w:rPr>
              <w:t>Delaware</w:t>
            </w:r>
          </w:p>
        </w:tc>
        <w:tc>
          <w:tcPr>
            <w:tcW w:w="5940" w:type="dxa"/>
            <w:vAlign w:val="bottom"/>
            <w:gridSpan w:val="2"/>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17"/>
        </w:trPr>
        <w:tc>
          <w:tcPr>
            <w:tcW w:w="530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64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71"/>
        </w:trPr>
        <w:tc>
          <w:tcPr>
            <w:tcW w:w="5300" w:type="dxa"/>
            <w:vAlign w:val="bottom"/>
          </w:tcPr>
          <w:p>
            <w:pPr>
              <w:jc w:val="center"/>
              <w:spacing w:after="0"/>
              <w:rPr>
                <w:sz w:val="20"/>
                <w:szCs w:val="20"/>
                <w:color w:val="auto"/>
              </w:rPr>
            </w:pPr>
            <w:r>
              <w:rPr>
                <w:rFonts w:ascii="Arial" w:cs="Arial" w:eastAsia="Arial" w:hAnsi="Arial"/>
                <w:sz w:val="16"/>
                <w:szCs w:val="16"/>
                <w:b w:val="1"/>
                <w:bCs w:val="1"/>
                <w:color w:val="auto"/>
              </w:rPr>
              <w:t>500 W. Monroe Street, Chicago IL</w:t>
            </w:r>
          </w:p>
        </w:tc>
        <w:tc>
          <w:tcPr>
            <w:tcW w:w="5940" w:type="dxa"/>
            <w:vAlign w:val="bottom"/>
            <w:gridSpan w:val="2"/>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17"/>
        </w:trPr>
        <w:tc>
          <w:tcPr>
            <w:tcW w:w="530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64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2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5"/>
        </w:trPr>
        <w:tc>
          <w:tcPr>
            <w:tcW w:w="4260" w:type="dxa"/>
            <w:vAlign w:val="bottom"/>
            <w:tcBorders>
              <w:left w:val="single" w:sz="8" w:color="00000A"/>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4240" w:type="dxa"/>
            <w:vAlign w:val="bottom"/>
            <w:tcBorders>
              <w:bottom w:val="single" w:sz="8" w:color="00000A"/>
              <w:right w:val="single" w:sz="8" w:color="00000A"/>
            </w:tcBorders>
          </w:tcPr>
          <w:p>
            <w:pPr>
              <w:spacing w:after="0"/>
              <w:rPr>
                <w:sz w:val="2"/>
                <w:szCs w:val="2"/>
                <w:color w:val="auto"/>
              </w:rPr>
            </w:pPr>
          </w:p>
        </w:tc>
      </w:tr>
      <w:tr>
        <w:trPr>
          <w:trHeight w:val="198"/>
        </w:trPr>
        <w:tc>
          <w:tcPr>
            <w:tcW w:w="42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5"/>
        </w:trPr>
        <w:tc>
          <w:tcPr>
            <w:tcW w:w="4260" w:type="dxa"/>
            <w:vAlign w:val="bottom"/>
            <w:tcBorders>
              <w:left w:val="single" w:sz="8" w:color="00000A"/>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4240" w:type="dxa"/>
            <w:vAlign w:val="bottom"/>
            <w:tcBorders>
              <w:bottom w:val="single" w:sz="8" w:color="00000A"/>
              <w:right w:val="single" w:sz="8" w:color="00000A"/>
            </w:tcBorders>
          </w:tcPr>
          <w:p>
            <w:pPr>
              <w:spacing w:after="0"/>
              <w:rPr>
                <w:sz w:val="2"/>
                <w:szCs w:val="2"/>
                <w:color w:val="auto"/>
              </w:rPr>
            </w:pPr>
          </w:p>
        </w:tc>
      </w:tr>
    </w:tbl>
    <w:p>
      <w:pPr>
        <w:spacing w:after="0" w:line="327" w:lineRule="exact"/>
        <w:rPr>
          <w:sz w:val="24"/>
          <w:szCs w:val="24"/>
          <w:color w:val="auto"/>
        </w:rPr>
      </w:pPr>
    </w:p>
    <w:p>
      <w:pPr>
        <w:jc w:val="both"/>
        <w:ind w:right="46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ind w:right="180"/>
        <w:spacing w:after="0" w:line="209" w:lineRule="exact"/>
        <w:rPr>
          <w:sz w:val="20"/>
          <w:szCs w:val="20"/>
          <w:color w:val="auto"/>
        </w:rPr>
      </w:pPr>
      <w:r>
        <w:rPr>
          <w:rFonts w:ascii="Arial" w:cs="Arial" w:eastAsia="Arial" w:hAnsi="Arial"/>
          <w:sz w:val="16"/>
          <w:szCs w:val="16"/>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1660" w:type="dxa"/>
        <w:tblCellMar>
          <w:top w:w="0" w:type="dxa"/>
          <w:left w:w="0" w:type="dxa"/>
          <w:bottom w:w="0" w:type="dxa"/>
          <w:right w:w="0" w:type="dxa"/>
        </w:tblCellMar>
      </w:tblPr>
      <w:tr>
        <w:trPr>
          <w:trHeight w:val="257"/>
        </w:trPr>
        <w:tc>
          <w:tcPr>
            <w:tcW w:w="278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jc w:val="center"/>
              <w:ind w:left="19"/>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780" w:type="dxa"/>
            <w:vAlign w:val="bottom"/>
          </w:tcPr>
          <w:p>
            <w:pPr>
              <w:jc w:val="center"/>
              <w:ind w:right="75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8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91"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2200"/>
        <w:spacing w:after="0" w:line="23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454,838,213 shares of common stock with a par value of $0.01 per share outstanding as of 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1" w:name="page2"/>
    <w:bookmarkEnd w:id="1"/>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1640" w:type="dxa"/>
            <w:vAlign w:val="bottom"/>
            <w:gridSpan w:val="5"/>
          </w:tcPr>
          <w:p>
            <w:pPr>
              <w:ind w:left="1240"/>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426"/>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2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6022A6"/>
            </w:tcBorders>
          </w:tcPr>
          <w:p>
            <w:pPr>
              <w:spacing w:after="0" w:line="20" w:lineRule="exact"/>
              <w:rPr>
                <w:sz w:val="1"/>
                <w:szCs w:val="1"/>
                <w:color w:val="auto"/>
              </w:rPr>
            </w:pPr>
          </w:p>
        </w:tc>
        <w:tc>
          <w:tcPr>
            <w:tcW w:w="852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108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20" w:type="dxa"/>
            <w:vAlign w:val="bottom"/>
          </w:tcPr>
          <w:p>
            <w:pPr>
              <w:ind w:left="200"/>
              <w:spacing w:after="0"/>
              <w:rPr>
                <w:sz w:val="20"/>
                <w:szCs w:val="20"/>
                <w:color w:val="auto"/>
              </w:rPr>
            </w:pPr>
            <w:r>
              <w:rPr>
                <w:rFonts w:ascii="Arial" w:cs="Arial" w:eastAsia="Arial" w:hAnsi="Arial"/>
                <w:sz w:val="16"/>
                <w:szCs w:val="16"/>
                <w:color w:val="auto"/>
              </w:rPr>
              <w:t>Condensed Consolidated and Combined Financial Statements (Unaudited)</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852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Income</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852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Comprehensive Income</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852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Financial Position</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spacing w:after="0"/>
              <w:rPr>
                <w:sz w:val="20"/>
                <w:szCs w:val="20"/>
                <w:color w:val="auto"/>
              </w:rPr>
            </w:pPr>
          </w:p>
        </w:tc>
        <w:tc>
          <w:tcPr>
            <w:tcW w:w="852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Changes in Equity</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8520" w:type="dxa"/>
            <w:vAlign w:val="bottom"/>
          </w:tcPr>
          <w:p>
            <w:pPr>
              <w:ind w:left="520"/>
              <w:spacing w:after="0"/>
              <w:rPr>
                <w:sz w:val="20"/>
                <w:szCs w:val="20"/>
                <w:color w:val="auto"/>
              </w:rPr>
            </w:pPr>
            <w:r>
              <w:rPr>
                <w:rFonts w:ascii="Arial" w:cs="Arial" w:eastAsia="Arial" w:hAnsi="Arial"/>
                <w:sz w:val="16"/>
                <w:szCs w:val="16"/>
                <w:color w:val="auto"/>
              </w:rPr>
              <w:t>Condensed Consolidated and Combined Statements of Cash Flows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8520" w:type="dxa"/>
            <w:vAlign w:val="bottom"/>
          </w:tcPr>
          <w:p>
            <w:pPr>
              <w:ind w:left="200"/>
              <w:spacing w:after="0"/>
              <w:rPr>
                <w:sz w:val="20"/>
                <w:szCs w:val="20"/>
                <w:color w:val="auto"/>
              </w:rPr>
            </w:pPr>
            <w:r>
              <w:rPr>
                <w:rFonts w:ascii="Arial" w:cs="Arial" w:eastAsia="Arial" w:hAnsi="Arial"/>
                <w:sz w:val="16"/>
                <w:szCs w:val="16"/>
                <w:color w:val="auto"/>
              </w:rPr>
              <w:t>Notes to the Condensed Consolidated and Combined Financial Statements (Unaudited)</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Item 2.</w:t>
            </w:r>
          </w:p>
        </w:tc>
        <w:tc>
          <w:tcPr>
            <w:tcW w:w="8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852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2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440" w:type="dxa"/>
            <w:vAlign w:val="bottom"/>
          </w:tcPr>
          <w:p>
            <w:pPr>
              <w:spacing w:after="0"/>
              <w:rPr>
                <w:sz w:val="21"/>
                <w:szCs w:val="21"/>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2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2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440" w:type="dxa"/>
            <w:vAlign w:val="bottom"/>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6022A6"/>
            </w:tcBorders>
          </w:tcPr>
          <w:p>
            <w:pPr>
              <w:spacing w:after="0" w:line="20" w:lineRule="exact"/>
              <w:rPr>
                <w:sz w:val="1"/>
                <w:szCs w:val="1"/>
                <w:color w:val="auto"/>
              </w:rPr>
            </w:pPr>
          </w:p>
        </w:tc>
        <w:tc>
          <w:tcPr>
            <w:tcW w:w="852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08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Item 1.</w:t>
            </w:r>
          </w:p>
        </w:tc>
        <w:tc>
          <w:tcPr>
            <w:tcW w:w="8520" w:type="dxa"/>
            <w:vAlign w:val="bottom"/>
          </w:tcPr>
          <w:p>
            <w:pPr>
              <w:ind w:left="200"/>
              <w:spacing w:after="0" w:line="183" w:lineRule="exact"/>
              <w:rPr>
                <w:sz w:val="20"/>
                <w:szCs w:val="20"/>
                <w:color w:val="auto"/>
              </w:rPr>
            </w:pPr>
            <w:r>
              <w:rPr>
                <w:rFonts w:ascii="Arial" w:cs="Arial" w:eastAsia="Arial" w:hAnsi="Arial"/>
                <w:sz w:val="16"/>
                <w:szCs w:val="16"/>
                <w:color w:val="auto"/>
              </w:rPr>
              <w:t>Legal Proceedings</w:t>
            </w:r>
          </w:p>
        </w:tc>
        <w:tc>
          <w:tcPr>
            <w:tcW w:w="1440" w:type="dxa"/>
            <w:vAlign w:val="bottom"/>
          </w:tcPr>
          <w:p>
            <w:pPr>
              <w:spacing w:after="0"/>
              <w:rPr>
                <w:sz w:val="15"/>
                <w:szCs w:val="15"/>
                <w:color w:val="auto"/>
              </w:rPr>
            </w:pPr>
          </w:p>
        </w:tc>
        <w:tc>
          <w:tcPr>
            <w:tcW w:w="180" w:type="dxa"/>
            <w:vAlign w:val="bottom"/>
            <w:tcBorders>
              <w:bottom w:val="single" w:sz="8" w:color="3051F2"/>
            </w:tcBorders>
            <w:gridSpan w:val="3"/>
          </w:tcPr>
          <w:p>
            <w:pPr>
              <w:jc w:val="right"/>
              <w:spacing w:after="0" w:line="183" w:lineRule="exact"/>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2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2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2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2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2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2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6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information related to our business segment portfolios and strategies; financial performance, financial condition, and results of operations, including revenue, revenue growth, profit, taxes, earnings per share, and cash flows; the impacts of macroeconomic and market conditions and volatility on our business operations, financial results, and financial position and on supply chains and the world economy; our strategy, innovation, and investments; our cost structure; our funding and liquidity; the impacts on our business of manufacturing, sourcing, and supply chain management, the Coronavirus Disease 2019 ("COVID-19") pandemic, and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our ability to attract and/or retain key personnel and qualified employees; the global COVID-19 pandemic and its effects on our business; maintenance and protection of our intellectual property rights; the impact of potential information technology, cybersecurity, or data security breaches; compliance with the various legal, regulatory, tax, and other laws to which we are subject and related changes, claims, or actions; our ability to control increases in healthcare costs and any subsequent effect on demand for our products, services, or solutions; the impact of potential product liability claims; environmental, social, and governance matters; our ability to successfully complete strategic transactions; our ability to operate effectively as an independent, publicly traded company and achieve the benefits we expect from our spin-off from General Electric Company; and the incurrence of substantial indebtedness in connection with the spin-off and any related effect on our business. Please also see the “Risk Factors” section of our Annual Report on Form 10-K filed with the U.S. Securities and Exchange Commission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868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Item 1. Condensed Consolidated and Combined Financial Statements (Unaudited)</w:t>
            </w:r>
          </w:p>
        </w:tc>
        <w:tc>
          <w:tcPr>
            <w:tcW w:w="2560" w:type="dxa"/>
            <w:vAlign w:val="bottom"/>
            <w:gridSpan w:val="5"/>
          </w:tcPr>
          <w:p>
            <w:pPr>
              <w:ind w:left="2160"/>
              <w:spacing w:after="0"/>
              <w:rPr>
                <w:sz w:val="20"/>
                <w:szCs w:val="20"/>
                <w:color w:val="auto"/>
              </w:rPr>
            </w:pPr>
            <w:r>
              <w:rPr>
                <w:rFonts w:ascii="Arial" w:cs="Arial" w:eastAsia="Arial" w:hAnsi="Arial"/>
                <w:sz w:val="16"/>
                <w:szCs w:val="16"/>
                <w:b w:val="1"/>
                <w:bCs w:val="1"/>
                <w:color w:val="auto"/>
                <w:w w:val="99"/>
              </w:rPr>
              <w:t>Page</w:t>
            </w:r>
          </w:p>
        </w:tc>
      </w:tr>
      <w:tr>
        <w:trPr>
          <w:trHeight w:val="21"/>
        </w:trPr>
        <w:tc>
          <w:tcPr>
            <w:tcW w:w="8680" w:type="dxa"/>
            <w:vAlign w:val="bottom"/>
            <w:tcBorders>
              <w:bottom w:val="single" w:sz="8" w:color="6022A6"/>
            </w:tcBorders>
          </w:tcPr>
          <w:p>
            <w:pPr>
              <w:spacing w:after="0" w:line="20" w:lineRule="exact"/>
              <w:rPr>
                <w:sz w:val="1"/>
                <w:szCs w:val="1"/>
                <w:color w:val="auto"/>
              </w:rPr>
            </w:pPr>
          </w:p>
        </w:tc>
        <w:tc>
          <w:tcPr>
            <w:tcW w:w="23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8680" w:type="dxa"/>
            <w:vAlign w:val="bottom"/>
          </w:tcPr>
          <w:p>
            <w:pPr>
              <w:ind w:left="20"/>
              <w:spacing w:after="0" w:line="183" w:lineRule="exact"/>
              <w:rPr>
                <w:sz w:val="20"/>
                <w:szCs w:val="20"/>
                <w:color w:val="auto"/>
              </w:rPr>
            </w:pPr>
            <w:r>
              <w:rPr>
                <w:rFonts w:ascii="Arial" w:cs="Arial" w:eastAsia="Arial" w:hAnsi="Arial"/>
                <w:sz w:val="16"/>
                <w:szCs w:val="16"/>
                <w:color w:val="auto"/>
              </w:rPr>
              <w:t>Condensed Consolidated and Combined Statements of Income</w:t>
            </w:r>
          </w:p>
        </w:tc>
        <w:tc>
          <w:tcPr>
            <w:tcW w:w="2540" w:type="dxa"/>
            <w:vAlign w:val="bottom"/>
            <w:gridSpan w:val="4"/>
          </w:tcPr>
          <w:p>
            <w:pPr>
              <w:jc w:val="right"/>
              <w:spacing w:after="0" w:line="183" w:lineRule="exact"/>
              <w:rPr>
                <w:sz w:val="20"/>
                <w:szCs w:val="20"/>
                <w:color w:val="auto"/>
              </w:rPr>
            </w:pPr>
            <w:r>
              <w:rPr>
                <w:rFonts w:ascii="Arial" w:cs="Arial" w:eastAsia="Arial" w:hAnsi="Arial"/>
                <w:sz w:val="16"/>
                <w:szCs w:val="16"/>
                <w:color w:val="0E32E1"/>
              </w:rPr>
              <w:t>5</w:t>
            </w:r>
          </w:p>
        </w:tc>
        <w:tc>
          <w:tcPr>
            <w:tcW w:w="20" w:type="dxa"/>
            <w:vAlign w:val="bottom"/>
          </w:tcPr>
          <w:p>
            <w:pPr>
              <w:spacing w:after="0"/>
              <w:rPr>
                <w:sz w:val="15"/>
                <w:szCs w:val="15"/>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Comprehensive Income</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6</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Financial Position</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7</w:t>
            </w:r>
          </w:p>
        </w:tc>
        <w:tc>
          <w:tcPr>
            <w:tcW w:w="2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Changes in Equity</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8</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Condensed Consolidated and Combined Statements of Cash Flows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10</w:t>
            </w:r>
          </w:p>
        </w:tc>
        <w:tc>
          <w:tcPr>
            <w:tcW w:w="20" w:type="dxa"/>
            <w:vAlign w:val="bottom"/>
          </w:tcPr>
          <w:p>
            <w:pPr>
              <w:spacing w:after="0"/>
              <w:rPr>
                <w:sz w:val="20"/>
                <w:szCs w:val="20"/>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Notes to the Condensed Consolidated and Combined Financial Statements (Unaudited)</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2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2 Revenue Recognition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12</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3 Segment Information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13</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4 Receivables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5 Financing Receivables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6 Leases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7 Acquisitions, Goodwill, and Other Intangible Assets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50"/>
        </w:trPr>
        <w:tc>
          <w:tcPr>
            <w:tcW w:w="8680" w:type="dxa"/>
            <w:vAlign w:val="bottom"/>
          </w:tcPr>
          <w:p>
            <w:pPr>
              <w:ind w:left="240"/>
              <w:spacing w:after="0"/>
              <w:rPr>
                <w:sz w:val="20"/>
                <w:szCs w:val="20"/>
                <w:color w:val="auto"/>
              </w:rPr>
            </w:pPr>
            <w:r>
              <w:rPr>
                <w:rFonts w:ascii="Arial" w:cs="Arial" w:eastAsia="Arial" w:hAnsi="Arial"/>
                <w:sz w:val="16"/>
                <w:szCs w:val="16"/>
                <w:color w:val="auto"/>
              </w:rPr>
              <w:t>Note 8 Borrowings</w:t>
            </w:r>
          </w:p>
        </w:tc>
        <w:tc>
          <w:tcPr>
            <w:tcW w:w="2360" w:type="dxa"/>
            <w:vAlign w:val="bottom"/>
          </w:tcPr>
          <w:p>
            <w:pPr>
              <w:spacing w:after="0"/>
              <w:rPr>
                <w:sz w:val="21"/>
                <w:szCs w:val="21"/>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16</w:t>
            </w:r>
          </w:p>
        </w:tc>
        <w:tc>
          <w:tcPr>
            <w:tcW w:w="20" w:type="dxa"/>
            <w:vAlign w:val="bottom"/>
          </w:tcPr>
          <w:p>
            <w:pPr>
              <w:spacing w:after="0"/>
              <w:rPr>
                <w:sz w:val="21"/>
                <w:szCs w:val="21"/>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9 Postretirement Benefit Plans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17</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10 Income Taxes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18</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11 Accumulated Other Comprehensive Income (Loss) – Net</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19</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12 Financial Instruments and Fair Value Measurements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20</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23</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14 Restructuring and Other Activities – Net</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24</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15 Share-Based Compensation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24</w:t>
            </w:r>
          </w:p>
        </w:tc>
        <w:tc>
          <w:tcPr>
            <w:tcW w:w="20" w:type="dxa"/>
            <w:vAlign w:val="bottom"/>
          </w:tcPr>
          <w:p>
            <w:pPr>
              <w:spacing w:after="0"/>
              <w:rPr>
                <w:sz w:val="20"/>
                <w:szCs w:val="20"/>
                <w:color w:val="auto"/>
              </w:rPr>
            </w:pPr>
          </w:p>
        </w:tc>
      </w:tr>
      <w:tr>
        <w:trPr>
          <w:trHeight w:val="236"/>
        </w:trPr>
        <w:tc>
          <w:tcPr>
            <w:tcW w:w="8680" w:type="dxa"/>
            <w:vAlign w:val="bottom"/>
          </w:tcPr>
          <w:p>
            <w:pPr>
              <w:ind w:left="240"/>
              <w:spacing w:after="0"/>
              <w:rPr>
                <w:sz w:val="20"/>
                <w:szCs w:val="20"/>
                <w:color w:val="auto"/>
              </w:rPr>
            </w:pPr>
            <w:r>
              <w:rPr>
                <w:rFonts w:ascii="Arial" w:cs="Arial" w:eastAsia="Arial" w:hAnsi="Arial"/>
                <w:sz w:val="16"/>
                <w:szCs w:val="16"/>
                <w:color w:val="auto"/>
              </w:rPr>
              <w:t>Note 16 Earnings Per Share</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26</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17 Supplemental Financial Information</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26</w:t>
            </w:r>
          </w:p>
        </w:tc>
        <w:tc>
          <w:tcPr>
            <w:tcW w:w="20" w:type="dxa"/>
            <w:vAlign w:val="bottom"/>
          </w:tcPr>
          <w:p>
            <w:pPr>
              <w:spacing w:after="0"/>
              <w:rPr>
                <w:sz w:val="20"/>
                <w:szCs w:val="20"/>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6"/>
                <w:szCs w:val="16"/>
                <w:color w:val="auto"/>
              </w:rPr>
              <w:t>Note 18 Related Parties</w:t>
            </w:r>
          </w:p>
        </w:tc>
        <w:tc>
          <w:tcPr>
            <w:tcW w:w="2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28</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62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Income (Unaudited)</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29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96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240" w:type="dxa"/>
            <w:vAlign w:val="bottom"/>
            <w:tcBorders>
              <w:bottom w:val="single" w:sz="8" w:color="6022A6"/>
            </w:tcBorders>
            <w:vMerge w:val="continue"/>
          </w:tcPr>
          <w:p>
            <w:pPr>
              <w:spacing w:after="0"/>
              <w:rPr>
                <w:sz w:val="19"/>
                <w:szCs w:val="19"/>
                <w:color w:val="auto"/>
              </w:rPr>
            </w:pPr>
          </w:p>
        </w:tc>
        <w:tc>
          <w:tcPr>
            <w:tcW w:w="96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2023</w:t>
            </w:r>
          </w:p>
        </w:tc>
        <w:tc>
          <w:tcPr>
            <w:tcW w:w="520" w:type="dxa"/>
            <w:vAlign w:val="bottom"/>
            <w:tcBorders>
              <w:bottom w:val="single" w:sz="8" w:color="6022A6"/>
            </w:tcBorders>
          </w:tcPr>
          <w:p>
            <w:pPr>
              <w:spacing w:after="0"/>
              <w:rPr>
                <w:sz w:val="19"/>
                <w:szCs w:val="19"/>
                <w:color w:val="auto"/>
              </w:rPr>
            </w:pPr>
          </w:p>
        </w:tc>
        <w:tc>
          <w:tcPr>
            <w:tcW w:w="320" w:type="dxa"/>
            <w:vAlign w:val="bottom"/>
            <w:tcBorders>
              <w:bottom w:val="single" w:sz="8" w:color="6022A6"/>
            </w:tcBorders>
          </w:tcPr>
          <w:p>
            <w:pPr>
              <w:spacing w:after="0"/>
              <w:rPr>
                <w:sz w:val="19"/>
                <w:szCs w:val="19"/>
                <w:color w:val="auto"/>
              </w:rPr>
            </w:pPr>
          </w:p>
        </w:tc>
        <w:tc>
          <w:tcPr>
            <w:tcW w:w="114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2022</w:t>
            </w:r>
          </w:p>
        </w:tc>
        <w:tc>
          <w:tcPr>
            <w:tcW w:w="100" w:type="dxa"/>
            <w:vAlign w:val="bottom"/>
            <w:tcBorders>
              <w:bottom w:val="single" w:sz="8" w:color="6022A6"/>
            </w:tcBorders>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34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2023</w:t>
            </w:r>
          </w:p>
        </w:tc>
        <w:tc>
          <w:tcPr>
            <w:tcW w:w="340" w:type="dxa"/>
            <w:vAlign w:val="bottom"/>
            <w:tcBorders>
              <w:bottom w:val="single" w:sz="8" w:color="6022A6"/>
            </w:tcBorders>
          </w:tcPr>
          <w:p>
            <w:pPr>
              <w:spacing w:after="0"/>
              <w:rPr>
                <w:sz w:val="19"/>
                <w:szCs w:val="19"/>
                <w:color w:val="auto"/>
              </w:rPr>
            </w:pPr>
          </w:p>
        </w:tc>
        <w:tc>
          <w:tcPr>
            <w:tcW w:w="11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31"/>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96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3,213</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2,903</w:t>
            </w:r>
          </w:p>
        </w:tc>
        <w:tc>
          <w:tcPr>
            <w:tcW w:w="2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6,344</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5,690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1,604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3,180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3,137</w:t>
            </w:r>
          </w:p>
        </w:tc>
        <w:tc>
          <w:tcPr>
            <w:tcW w:w="0" w:type="dxa"/>
            <w:vAlign w:val="bottom"/>
          </w:tcPr>
          <w:p>
            <w:pPr>
              <w:spacing w:after="0"/>
              <w:rPr>
                <w:sz w:val="1"/>
                <w:szCs w:val="1"/>
                <w:color w:val="auto"/>
              </w:rPr>
            </w:pPr>
          </w:p>
        </w:tc>
      </w:tr>
      <w:tr>
        <w:trPr>
          <w:trHeight w:val="33"/>
        </w:trPr>
        <w:tc>
          <w:tcPr>
            <w:tcW w:w="5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4,817</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4,484</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9,524</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8,827</w:t>
            </w:r>
          </w:p>
        </w:tc>
        <w:tc>
          <w:tcPr>
            <w:tcW w:w="0" w:type="dxa"/>
            <w:vAlign w:val="bottom"/>
          </w:tcPr>
          <w:p>
            <w:pPr>
              <w:spacing w:after="0"/>
              <w:rPr>
                <w:sz w:val="1"/>
                <w:szCs w:val="1"/>
                <w:color w:val="auto"/>
              </w:rPr>
            </w:pPr>
          </w:p>
        </w:tc>
      </w:tr>
      <w:tr>
        <w:trPr>
          <w:trHeight w:val="217"/>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96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793</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1,572</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1,940</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3,831</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3,474</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1,072</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2,134</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33"/>
        </w:trPr>
        <w:tc>
          <w:tcPr>
            <w:tcW w:w="5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96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1,370</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1,165</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2,702</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2,334</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1,129</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1,140</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9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96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1,116</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1,172</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96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433</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816</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888</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from discontinued operations, net of taxes</w:t>
            </w:r>
          </w:p>
        </w:tc>
        <w:tc>
          <w:tcPr>
            <w:tcW w:w="96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433</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816</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900</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96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790</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874</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96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485</w:t>
            </w:r>
          </w:p>
        </w:tc>
        <w:tc>
          <w:tcPr>
            <w:tcW w:w="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607</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874</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E4E4E4"/>
          </w:tcPr>
          <w:p>
            <w:pPr>
              <w:spacing w:after="0"/>
              <w:rPr>
                <w:sz w:val="22"/>
                <w:szCs w:val="22"/>
                <w:color w:val="auto"/>
              </w:rPr>
            </w:pPr>
          </w:p>
        </w:tc>
        <w:tc>
          <w:tcPr>
            <w:tcW w:w="960" w:type="dxa"/>
            <w:vAlign w:val="bottom"/>
            <w:shd w:val="clear" w:color="auto" w:fill="E4E4E4"/>
          </w:tcPr>
          <w:p>
            <w:pPr>
              <w:spacing w:after="0"/>
              <w:rPr>
                <w:sz w:val="22"/>
                <w:szCs w:val="22"/>
                <w:color w:val="auto"/>
              </w:rPr>
            </w:pPr>
          </w:p>
        </w:tc>
        <w:tc>
          <w:tcPr>
            <w:tcW w:w="520" w:type="dxa"/>
            <w:vAlign w:val="bottom"/>
            <w:shd w:val="clear" w:color="auto" w:fill="E4E4E4"/>
          </w:tcPr>
          <w:p>
            <w:pPr>
              <w:spacing w:after="0"/>
              <w:rPr>
                <w:sz w:val="22"/>
                <w:szCs w:val="22"/>
                <w:color w:val="auto"/>
              </w:rPr>
            </w:pPr>
          </w:p>
        </w:tc>
        <w:tc>
          <w:tcPr>
            <w:tcW w:w="320" w:type="dxa"/>
            <w:vAlign w:val="bottom"/>
            <w:shd w:val="clear" w:color="auto" w:fill="E4E4E4"/>
          </w:tcPr>
          <w:p>
            <w:pPr>
              <w:spacing w:after="0"/>
              <w:rPr>
                <w:sz w:val="22"/>
                <w:szCs w:val="22"/>
                <w:color w:val="auto"/>
              </w:rPr>
            </w:pPr>
          </w:p>
        </w:tc>
        <w:tc>
          <w:tcPr>
            <w:tcW w:w="1140" w:type="dxa"/>
            <w:vAlign w:val="bottom"/>
            <w:shd w:val="clear" w:color="auto" w:fill="E4E4E4"/>
          </w:tcPr>
          <w:p>
            <w:pPr>
              <w:spacing w:after="0"/>
              <w:rPr>
                <w:sz w:val="22"/>
                <w:szCs w:val="22"/>
                <w:color w:val="auto"/>
              </w:rPr>
            </w:pPr>
          </w:p>
        </w:tc>
        <w:tc>
          <w:tcPr>
            <w:tcW w:w="1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340" w:type="dxa"/>
            <w:vAlign w:val="bottom"/>
            <w:shd w:val="clear" w:color="auto" w:fill="E4E4E4"/>
          </w:tcPr>
          <w:p>
            <w:pPr>
              <w:spacing w:after="0"/>
              <w:rPr>
                <w:sz w:val="22"/>
                <w:szCs w:val="22"/>
                <w:color w:val="auto"/>
              </w:rPr>
            </w:pP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Earnings per share from continuing operations: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0.92</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Earnings per share attributable to GE HealthCare common</w:t>
            </w:r>
          </w:p>
        </w:tc>
        <w:tc>
          <w:tcPr>
            <w:tcW w:w="960" w:type="dxa"/>
            <w:vAlign w:val="bottom"/>
            <w:shd w:val="clear" w:color="auto" w:fill="E4E4E4"/>
          </w:tcPr>
          <w:p>
            <w:pPr>
              <w:spacing w:after="0"/>
              <w:rPr>
                <w:sz w:val="16"/>
                <w:szCs w:val="16"/>
                <w:color w:val="auto"/>
              </w:rPr>
            </w:pPr>
          </w:p>
        </w:tc>
        <w:tc>
          <w:tcPr>
            <w:tcW w:w="520" w:type="dxa"/>
            <w:vAlign w:val="bottom"/>
            <w:shd w:val="clear" w:color="auto" w:fill="E4E4E4"/>
          </w:tcPr>
          <w:p>
            <w:pPr>
              <w:spacing w:after="0"/>
              <w:rPr>
                <w:sz w:val="16"/>
                <w:szCs w:val="16"/>
                <w:color w:val="auto"/>
              </w:rPr>
            </w:pPr>
          </w:p>
        </w:tc>
        <w:tc>
          <w:tcPr>
            <w:tcW w:w="320" w:type="dxa"/>
            <w:vAlign w:val="bottom"/>
            <w:shd w:val="clear" w:color="auto" w:fill="E4E4E4"/>
          </w:tcPr>
          <w:p>
            <w:pPr>
              <w:spacing w:after="0"/>
              <w:rPr>
                <w:sz w:val="16"/>
                <w:szCs w:val="16"/>
                <w:color w:val="auto"/>
              </w:rPr>
            </w:pPr>
          </w:p>
        </w:tc>
        <w:tc>
          <w:tcPr>
            <w:tcW w:w="114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340" w:type="dxa"/>
            <w:vAlign w:val="bottom"/>
            <w:shd w:val="clear" w:color="auto" w:fill="E4E4E4"/>
          </w:tcPr>
          <w:p>
            <w:pPr>
              <w:spacing w:after="0"/>
              <w:rPr>
                <w:sz w:val="16"/>
                <w:szCs w:val="16"/>
                <w:color w:val="auto"/>
              </w:rPr>
            </w:pPr>
          </w:p>
        </w:tc>
        <w:tc>
          <w:tcPr>
            <w:tcW w:w="340" w:type="dxa"/>
            <w:vAlign w:val="bottom"/>
            <w:shd w:val="clear" w:color="auto" w:fill="E4E4E4"/>
          </w:tcPr>
          <w:p>
            <w:pPr>
              <w:spacing w:after="0"/>
              <w:rPr>
                <w:sz w:val="16"/>
                <w:szCs w:val="16"/>
                <w:color w:val="auto"/>
              </w:rPr>
            </w:pPr>
          </w:p>
        </w:tc>
        <w:tc>
          <w:tcPr>
            <w:tcW w:w="112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stockholders:</w:t>
            </w:r>
          </w:p>
        </w:tc>
        <w:tc>
          <w:tcPr>
            <w:tcW w:w="960" w:type="dxa"/>
            <w:vAlign w:val="bottom"/>
            <w:shd w:val="clear" w:color="auto" w:fill="E4E4E4"/>
          </w:tcPr>
          <w:p>
            <w:pPr>
              <w:spacing w:after="0"/>
              <w:rPr>
                <w:sz w:val="20"/>
                <w:szCs w:val="20"/>
                <w:color w:val="auto"/>
              </w:rPr>
            </w:pPr>
          </w:p>
        </w:tc>
        <w:tc>
          <w:tcPr>
            <w:tcW w:w="52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14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0.92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0.91</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5"/>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2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34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23"/>
        </w:trPr>
        <w:tc>
          <w:tcPr>
            <w:tcW w:w="5240" w:type="dxa"/>
            <w:vAlign w:val="bottom"/>
          </w:tcPr>
          <w:p>
            <w:pPr>
              <w:ind w:left="12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5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7"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7"/>
        </w:trPr>
        <w:tc>
          <w:tcPr>
            <w:tcW w:w="7240" w:type="dxa"/>
            <w:vAlign w:val="bottom"/>
            <w:gridSpan w:val="4"/>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Comprehensive Income (Unaudited)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2880" w:type="dxa"/>
            <w:vAlign w:val="bottom"/>
            <w:gridSpan w:val="4"/>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4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3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400" w:type="dxa"/>
            <w:vAlign w:val="bottom"/>
            <w:tcBorders>
              <w:bottom w:val="single" w:sz="8" w:color="6022A6"/>
            </w:tcBorders>
            <w:vMerge w:val="continue"/>
          </w:tcPr>
          <w:p>
            <w:pPr>
              <w:spacing w:after="0"/>
              <w:rPr>
                <w:sz w:val="19"/>
                <w:szCs w:val="19"/>
                <w:color w:val="auto"/>
              </w:rPr>
            </w:pPr>
          </w:p>
        </w:tc>
        <w:tc>
          <w:tcPr>
            <w:tcW w:w="34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400" w:type="dxa"/>
            <w:vAlign w:val="bottom"/>
            <w:tcBorders>
              <w:bottom w:val="single" w:sz="8" w:color="6022A6"/>
            </w:tcBorders>
          </w:tcPr>
          <w:p>
            <w:pPr>
              <w:spacing w:after="0"/>
              <w:rPr>
                <w:sz w:val="19"/>
                <w:szCs w:val="19"/>
                <w:color w:val="auto"/>
              </w:rPr>
            </w:pPr>
          </w:p>
        </w:tc>
        <w:tc>
          <w:tcPr>
            <w:tcW w:w="104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100" w:type="dxa"/>
            <w:vAlign w:val="bottom"/>
            <w:tcBorders>
              <w:bottom w:val="single" w:sz="8" w:color="6022A6"/>
            </w:tcBorders>
          </w:tcPr>
          <w:p>
            <w:pPr>
              <w:spacing w:after="0"/>
              <w:rPr>
                <w:sz w:val="19"/>
                <w:szCs w:val="19"/>
                <w:color w:val="auto"/>
              </w:rPr>
            </w:pPr>
          </w:p>
        </w:tc>
        <w:tc>
          <w:tcPr>
            <w:tcW w:w="100" w:type="dxa"/>
            <w:vAlign w:val="bottom"/>
            <w:tcBorders>
              <w:bottom w:val="single" w:sz="8" w:color="6022A6"/>
            </w:tcBorders>
          </w:tcPr>
          <w:p>
            <w:pPr>
              <w:spacing w:after="0"/>
              <w:rPr>
                <w:sz w:val="19"/>
                <w:szCs w:val="19"/>
                <w:color w:val="auto"/>
              </w:rPr>
            </w:pPr>
          </w:p>
        </w:tc>
        <w:tc>
          <w:tcPr>
            <w:tcW w:w="13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20" w:type="dxa"/>
            <w:vAlign w:val="bottom"/>
            <w:tcBorders>
              <w:bottom w:val="single" w:sz="8" w:color="6022A6"/>
            </w:tcBorders>
          </w:tcPr>
          <w:p>
            <w:pPr>
              <w:spacing w:after="0"/>
              <w:rPr>
                <w:sz w:val="19"/>
                <w:szCs w:val="19"/>
                <w:color w:val="auto"/>
              </w:rPr>
            </w:pPr>
          </w:p>
        </w:tc>
        <w:tc>
          <w:tcPr>
            <w:tcW w:w="11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31"/>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418</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485</w:t>
            </w:r>
          </w:p>
        </w:tc>
        <w:tc>
          <w:tcPr>
            <w:tcW w:w="2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874</w:t>
            </w:r>
          </w:p>
        </w:tc>
        <w:tc>
          <w:tcPr>
            <w:tcW w:w="0" w:type="dxa"/>
            <w:vAlign w:val="bottom"/>
          </w:tcPr>
          <w:p>
            <w:pPr>
              <w:spacing w:after="0"/>
              <w:rPr>
                <w:sz w:val="1"/>
                <w:szCs w:val="1"/>
                <w:color w:val="auto"/>
              </w:rPr>
            </w:pP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433</w:t>
            </w:r>
          </w:p>
        </w:tc>
        <w:tc>
          <w:tcPr>
            <w:tcW w:w="4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498</w:t>
            </w:r>
          </w:p>
        </w:tc>
        <w:tc>
          <w:tcPr>
            <w:tcW w:w="10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816</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900</w:t>
            </w:r>
          </w:p>
        </w:tc>
        <w:tc>
          <w:tcPr>
            <w:tcW w:w="0" w:type="dxa"/>
            <w:vAlign w:val="bottom"/>
          </w:tcPr>
          <w:p>
            <w:pPr>
              <w:spacing w:after="0"/>
              <w:rPr>
                <w:sz w:val="1"/>
                <w:szCs w:val="1"/>
                <w:color w:val="auto"/>
              </w:rPr>
            </w:pPr>
          </w:p>
        </w:tc>
      </w:tr>
      <w:tr>
        <w:trPr>
          <w:trHeight w:val="228"/>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3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Benefit plans – net of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(478)</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(612)</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4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288</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Comprehensive (income) attributable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3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413</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738</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7"/>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Financial Position (Unaudited)</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98"/>
        </w:trPr>
        <w:tc>
          <w:tcPr>
            <w:tcW w:w="7760" w:type="dxa"/>
            <w:vAlign w:val="bottom"/>
          </w:tcPr>
          <w:p>
            <w:pPr>
              <w:spacing w:after="0"/>
              <w:rPr>
                <w:sz w:val="24"/>
                <w:szCs w:val="24"/>
                <w:color w:val="auto"/>
              </w:rPr>
            </w:pPr>
          </w:p>
        </w:tc>
        <w:tc>
          <w:tcPr>
            <w:tcW w:w="200" w:type="dxa"/>
            <w:vAlign w:val="bottom"/>
            <w:tcBorders>
              <w:bottom w:val="single" w:sz="8" w:color="454545"/>
            </w:tcBorders>
          </w:tcPr>
          <w:p>
            <w:pPr>
              <w:spacing w:after="0"/>
              <w:rPr>
                <w:sz w:val="24"/>
                <w:szCs w:val="24"/>
                <w:color w:val="auto"/>
              </w:rPr>
            </w:pPr>
          </w:p>
        </w:tc>
        <w:tc>
          <w:tcPr>
            <w:tcW w:w="3160" w:type="dxa"/>
            <w:vAlign w:val="bottom"/>
            <w:tcBorders>
              <w:bottom w:val="single" w:sz="8" w:color="454545"/>
            </w:tcBorders>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r>
      <w:tr>
        <w:trPr>
          <w:trHeight w:val="236"/>
        </w:trPr>
        <w:tc>
          <w:tcPr>
            <w:tcW w:w="7760" w:type="dxa"/>
            <w:vAlign w:val="bottom"/>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200" w:type="dxa"/>
            <w:vAlign w:val="bottom"/>
          </w:tcPr>
          <w:p>
            <w:pPr>
              <w:spacing w:after="0"/>
              <w:rPr>
                <w:sz w:val="20"/>
                <w:szCs w:val="20"/>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454545"/>
              </w:rPr>
              <w:t>June 30, 2023</w:t>
            </w: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7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30"/>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1,445</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Receivables – net of allowances of $92 and $91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3,295</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Due from related parties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2,155</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1,044</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989</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All other 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33"/>
        </w:trPr>
        <w:tc>
          <w:tcPr>
            <w:tcW w:w="7760" w:type="dxa"/>
            <w:vAlign w:val="bottom"/>
            <w:tcBorders>
              <w:bottom w:val="single" w:sz="8" w:color="454545"/>
            </w:tcBorders>
          </w:tcPr>
          <w:p>
            <w:pPr>
              <w:spacing w:after="0"/>
              <w:rPr>
                <w:sz w:val="2"/>
                <w:szCs w:val="2"/>
                <w:color w:val="auto"/>
              </w:rPr>
            </w:pPr>
          </w:p>
        </w:tc>
        <w:tc>
          <w:tcPr>
            <w:tcW w:w="200" w:type="dxa"/>
            <w:vAlign w:val="bottom"/>
            <w:tcBorders>
              <w:bottom w:val="single" w:sz="8" w:color="454545"/>
            </w:tcBorders>
          </w:tcPr>
          <w:p>
            <w:pPr>
              <w:spacing w:after="0"/>
              <w:rPr>
                <w:sz w:val="2"/>
                <w:szCs w:val="2"/>
                <w:color w:val="auto"/>
              </w:rPr>
            </w:pPr>
          </w:p>
        </w:tc>
        <w:tc>
          <w:tcPr>
            <w:tcW w:w="1460" w:type="dxa"/>
            <w:vAlign w:val="bottom"/>
            <w:tcBorders>
              <w:bottom w:val="single" w:sz="8" w:color="454545"/>
            </w:tcBorders>
          </w:tcPr>
          <w:p>
            <w:pPr>
              <w:spacing w:after="0"/>
              <w:rPr>
                <w:sz w:val="2"/>
                <w:szCs w:val="2"/>
                <w:color w:val="auto"/>
              </w:rPr>
            </w:pPr>
          </w:p>
        </w:tc>
        <w:tc>
          <w:tcPr>
            <w:tcW w:w="120" w:type="dxa"/>
            <w:vAlign w:val="bottom"/>
            <w:tcBorders>
              <w:bottom w:val="single" w:sz="8" w:color="454545"/>
            </w:tcBorders>
          </w:tcPr>
          <w:p>
            <w:pPr>
              <w:spacing w:after="0"/>
              <w:rPr>
                <w:sz w:val="2"/>
                <w:szCs w:val="2"/>
                <w:color w:val="auto"/>
              </w:rPr>
            </w:pPr>
          </w:p>
        </w:tc>
        <w:tc>
          <w:tcPr>
            <w:tcW w:w="1580" w:type="dxa"/>
            <w:vAlign w:val="bottom"/>
            <w:tcBorders>
              <w:bottom w:val="single" w:sz="8" w:color="454545"/>
            </w:tcBorders>
          </w:tcPr>
          <w:p>
            <w:pPr>
              <w:spacing w:after="0"/>
              <w:rPr>
                <w:sz w:val="2"/>
                <w:szCs w:val="2"/>
                <w:color w:val="auto"/>
              </w:rPr>
            </w:pPr>
          </w:p>
        </w:tc>
      </w:tr>
      <w:tr>
        <w:trPr>
          <w:trHeight w:val="255"/>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9,240</w:t>
            </w:r>
          </w:p>
        </w:tc>
        <w:tc>
          <w:tcPr>
            <w:tcW w:w="12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8,318</w:t>
            </w:r>
          </w:p>
        </w:tc>
      </w:tr>
      <w:tr>
        <w:trPr>
          <w:trHeight w:val="217"/>
        </w:trPr>
        <w:tc>
          <w:tcPr>
            <w:tcW w:w="776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Property, plant, and equipment – net</w:t>
            </w:r>
          </w:p>
        </w:tc>
        <w:tc>
          <w:tcPr>
            <w:tcW w:w="200" w:type="dxa"/>
            <w:vAlign w:val="bottom"/>
            <w:tcBorders>
              <w:top w:val="single" w:sz="8" w:color="454545"/>
            </w:tcBorders>
          </w:tcPr>
          <w:p>
            <w:pPr>
              <w:spacing w:after="0"/>
              <w:rPr>
                <w:sz w:val="18"/>
                <w:szCs w:val="18"/>
                <w:color w:val="auto"/>
              </w:rPr>
            </w:pPr>
          </w:p>
        </w:tc>
        <w:tc>
          <w:tcPr>
            <w:tcW w:w="146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2,357</w:t>
            </w:r>
          </w:p>
        </w:tc>
        <w:tc>
          <w:tcPr>
            <w:tcW w:w="120" w:type="dxa"/>
            <w:vAlign w:val="bottom"/>
            <w:tcBorders>
              <w:top w:val="single" w:sz="8" w:color="454545"/>
            </w:tcBorders>
          </w:tcPr>
          <w:p>
            <w:pPr>
              <w:spacing w:after="0"/>
              <w:rPr>
                <w:sz w:val="18"/>
                <w:szCs w:val="18"/>
                <w:color w:val="auto"/>
              </w:rPr>
            </w:pPr>
          </w:p>
        </w:tc>
        <w:tc>
          <w:tcPr>
            <w:tcW w:w="158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2,314</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12,929</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12,813</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Other intangible assets –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1,520</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4,349</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1,550</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All other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1,024</w:t>
            </w:r>
          </w:p>
        </w:tc>
      </w:tr>
      <w:tr>
        <w:trPr>
          <w:trHeight w:val="33"/>
        </w:trPr>
        <w:tc>
          <w:tcPr>
            <w:tcW w:w="7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32,311</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27,539</w:t>
            </w:r>
          </w:p>
        </w:tc>
      </w:tr>
      <w:tr>
        <w:trPr>
          <w:trHeight w:val="217"/>
        </w:trPr>
        <w:tc>
          <w:tcPr>
            <w:tcW w:w="7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Short-term borrowings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2,835</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2,944</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Due to related parties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1,896</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All other current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2,190</w:t>
            </w:r>
          </w:p>
        </w:tc>
      </w:tr>
      <w:tr>
        <w:trPr>
          <w:trHeight w:val="33"/>
        </w:trPr>
        <w:tc>
          <w:tcPr>
            <w:tcW w:w="7760" w:type="dxa"/>
            <w:vAlign w:val="bottom"/>
            <w:tcBorders>
              <w:bottom w:val="single" w:sz="8" w:color="454545"/>
            </w:tcBorders>
          </w:tcPr>
          <w:p>
            <w:pPr>
              <w:spacing w:after="0"/>
              <w:rPr>
                <w:sz w:val="2"/>
                <w:szCs w:val="2"/>
                <w:color w:val="auto"/>
              </w:rPr>
            </w:pPr>
          </w:p>
        </w:tc>
        <w:tc>
          <w:tcPr>
            <w:tcW w:w="200" w:type="dxa"/>
            <w:vAlign w:val="bottom"/>
            <w:tcBorders>
              <w:bottom w:val="single" w:sz="8" w:color="454545"/>
            </w:tcBorders>
          </w:tcPr>
          <w:p>
            <w:pPr>
              <w:spacing w:after="0"/>
              <w:rPr>
                <w:sz w:val="2"/>
                <w:szCs w:val="2"/>
                <w:color w:val="auto"/>
              </w:rPr>
            </w:pPr>
          </w:p>
        </w:tc>
        <w:tc>
          <w:tcPr>
            <w:tcW w:w="1460" w:type="dxa"/>
            <w:vAlign w:val="bottom"/>
            <w:tcBorders>
              <w:bottom w:val="single" w:sz="8" w:color="454545"/>
            </w:tcBorders>
          </w:tcPr>
          <w:p>
            <w:pPr>
              <w:spacing w:after="0"/>
              <w:rPr>
                <w:sz w:val="2"/>
                <w:szCs w:val="2"/>
                <w:color w:val="auto"/>
              </w:rPr>
            </w:pPr>
          </w:p>
        </w:tc>
        <w:tc>
          <w:tcPr>
            <w:tcW w:w="120" w:type="dxa"/>
            <w:vAlign w:val="bottom"/>
            <w:tcBorders>
              <w:bottom w:val="single" w:sz="8" w:color="454545"/>
            </w:tcBorders>
          </w:tcPr>
          <w:p>
            <w:pPr>
              <w:spacing w:after="0"/>
              <w:rPr>
                <w:sz w:val="2"/>
                <w:szCs w:val="2"/>
                <w:color w:val="auto"/>
              </w:rPr>
            </w:pPr>
          </w:p>
        </w:tc>
        <w:tc>
          <w:tcPr>
            <w:tcW w:w="1580" w:type="dxa"/>
            <w:vAlign w:val="bottom"/>
            <w:tcBorders>
              <w:bottom w:val="single" w:sz="8" w:color="454545"/>
            </w:tcBorders>
          </w:tcPr>
          <w:p>
            <w:pPr>
              <w:spacing w:after="0"/>
              <w:rPr>
                <w:sz w:val="2"/>
                <w:szCs w:val="2"/>
                <w:color w:val="auto"/>
              </w:rPr>
            </w:pPr>
          </w:p>
        </w:tc>
      </w:tr>
      <w:tr>
        <w:trPr>
          <w:trHeight w:val="255"/>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7,581</w:t>
            </w:r>
          </w:p>
        </w:tc>
        <w:tc>
          <w:tcPr>
            <w:tcW w:w="12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7,191</w:t>
            </w:r>
          </w:p>
        </w:tc>
      </w:tr>
      <w:tr>
        <w:trPr>
          <w:trHeight w:val="217"/>
        </w:trPr>
        <w:tc>
          <w:tcPr>
            <w:tcW w:w="776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Long-term borrowings</w:t>
            </w:r>
          </w:p>
        </w:tc>
        <w:tc>
          <w:tcPr>
            <w:tcW w:w="200" w:type="dxa"/>
            <w:vAlign w:val="bottom"/>
            <w:tcBorders>
              <w:top w:val="single" w:sz="8" w:color="454545"/>
            </w:tcBorders>
          </w:tcPr>
          <w:p>
            <w:pPr>
              <w:spacing w:after="0"/>
              <w:rPr>
                <w:sz w:val="18"/>
                <w:szCs w:val="18"/>
                <w:color w:val="auto"/>
              </w:rPr>
            </w:pPr>
          </w:p>
        </w:tc>
        <w:tc>
          <w:tcPr>
            <w:tcW w:w="146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10,233</w:t>
            </w:r>
          </w:p>
        </w:tc>
        <w:tc>
          <w:tcPr>
            <w:tcW w:w="120" w:type="dxa"/>
            <w:vAlign w:val="bottom"/>
            <w:tcBorders>
              <w:top w:val="single" w:sz="8" w:color="454545"/>
            </w:tcBorders>
          </w:tcPr>
          <w:p>
            <w:pPr>
              <w:spacing w:after="0"/>
              <w:rPr>
                <w:sz w:val="18"/>
                <w:szCs w:val="18"/>
                <w:color w:val="auto"/>
              </w:rPr>
            </w:pPr>
          </w:p>
        </w:tc>
        <w:tc>
          <w:tcPr>
            <w:tcW w:w="158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8,234</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Compensation and benefits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5,167</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549</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2"/>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liabilities</w:t>
            </w:r>
          </w:p>
        </w:tc>
        <w:tc>
          <w:tcPr>
            <w:tcW w:w="2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1,603</w:t>
            </w:r>
          </w:p>
        </w:tc>
      </w:tr>
      <w:tr>
        <w:trPr>
          <w:trHeight w:val="229"/>
        </w:trPr>
        <w:tc>
          <w:tcPr>
            <w:tcW w:w="77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top w:val="single" w:sz="8" w:color="454545"/>
            </w:tcBorders>
          </w:tcPr>
          <w:p>
            <w:pPr>
              <w:spacing w:after="0"/>
              <w:rPr>
                <w:sz w:val="19"/>
                <w:szCs w:val="19"/>
                <w:color w:val="auto"/>
              </w:rPr>
            </w:pPr>
          </w:p>
        </w:tc>
        <w:tc>
          <w:tcPr>
            <w:tcW w:w="14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24,988</w:t>
            </w:r>
          </w:p>
        </w:tc>
        <w:tc>
          <w:tcPr>
            <w:tcW w:w="120" w:type="dxa"/>
            <w:vAlign w:val="bottom"/>
            <w:tcBorders>
              <w:top w:val="single" w:sz="8" w:color="454545"/>
            </w:tcBorders>
          </w:tcPr>
          <w:p>
            <w:pPr>
              <w:spacing w:after="0"/>
              <w:rPr>
                <w:sz w:val="19"/>
                <w:szCs w:val="19"/>
                <w:color w:val="auto"/>
              </w:rPr>
            </w:pPr>
          </w:p>
        </w:tc>
        <w:tc>
          <w:tcPr>
            <w:tcW w:w="15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17,947</w:t>
            </w:r>
          </w:p>
        </w:tc>
      </w:tr>
      <w:tr>
        <w:trPr>
          <w:trHeight w:val="21"/>
        </w:trPr>
        <w:tc>
          <w:tcPr>
            <w:tcW w:w="7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1"/>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2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spacing w:after="0"/>
              <w:rPr>
                <w:sz w:val="22"/>
                <w:szCs w:val="22"/>
                <w:color w:val="auto"/>
              </w:rPr>
            </w:pPr>
          </w:p>
        </w:tc>
      </w:tr>
      <w:tr>
        <w:trPr>
          <w:trHeight w:val="229"/>
        </w:trPr>
        <w:tc>
          <w:tcPr>
            <w:tcW w:w="77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00" w:type="dxa"/>
            <w:vAlign w:val="bottom"/>
            <w:tcBorders>
              <w:top w:val="single" w:sz="8" w:color="454545"/>
            </w:tcBorders>
          </w:tcPr>
          <w:p>
            <w:pPr>
              <w:spacing w:after="0"/>
              <w:rPr>
                <w:sz w:val="19"/>
                <w:szCs w:val="19"/>
                <w:color w:val="auto"/>
              </w:rPr>
            </w:pPr>
          </w:p>
        </w:tc>
        <w:tc>
          <w:tcPr>
            <w:tcW w:w="14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209</w:t>
            </w:r>
          </w:p>
        </w:tc>
        <w:tc>
          <w:tcPr>
            <w:tcW w:w="120" w:type="dxa"/>
            <w:vAlign w:val="bottom"/>
            <w:tcBorders>
              <w:top w:val="single" w:sz="8" w:color="454545"/>
            </w:tcBorders>
          </w:tcPr>
          <w:p>
            <w:pPr>
              <w:spacing w:after="0"/>
              <w:rPr>
                <w:sz w:val="19"/>
                <w:szCs w:val="19"/>
                <w:color w:val="auto"/>
              </w:rPr>
            </w:pPr>
          </w:p>
        </w:tc>
        <w:tc>
          <w:tcPr>
            <w:tcW w:w="15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230</w:t>
            </w:r>
          </w:p>
        </w:tc>
      </w:tr>
      <w:tr>
        <w:trPr>
          <w:trHeight w:val="21"/>
        </w:trPr>
        <w:tc>
          <w:tcPr>
            <w:tcW w:w="7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13"/>
        </w:trPr>
        <w:tc>
          <w:tcPr>
            <w:tcW w:w="7760" w:type="dxa"/>
            <w:vAlign w:val="bottom"/>
            <w:shd w:val="clear" w:color="auto" w:fill="E4E4E4"/>
          </w:tcPr>
          <w:p>
            <w:pPr>
              <w:ind w:left="20"/>
              <w:spacing w:after="0"/>
              <w:rPr>
                <w:sz w:val="20"/>
                <w:szCs w:val="20"/>
                <w:color w:val="auto"/>
              </w:rPr>
            </w:pPr>
            <w:r>
              <w:rPr>
                <w:rFonts w:ascii="Arial" w:cs="Arial" w:eastAsia="Arial" w:hAnsi="Arial"/>
                <w:sz w:val="16"/>
                <w:szCs w:val="16"/>
                <w:color w:val="auto"/>
              </w:rPr>
              <w:t>Common stock, par value $0.01 per share, 1,000,000,000 shares authorized, 454,808,732 shares issued</w:t>
            </w:r>
          </w:p>
        </w:tc>
        <w:tc>
          <w:tcPr>
            <w:tcW w:w="200" w:type="dxa"/>
            <w:vAlign w:val="bottom"/>
            <w:shd w:val="clear" w:color="auto" w:fill="E4E4E4"/>
          </w:tcPr>
          <w:p>
            <w:pPr>
              <w:spacing w:after="0"/>
              <w:rPr>
                <w:sz w:val="18"/>
                <w:szCs w:val="18"/>
                <w:color w:val="auto"/>
              </w:rPr>
            </w:pPr>
          </w:p>
        </w:tc>
        <w:tc>
          <w:tcPr>
            <w:tcW w:w="146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580" w:type="dxa"/>
            <w:vAlign w:val="bottom"/>
            <w:shd w:val="clear" w:color="auto" w:fill="E4E4E4"/>
          </w:tcPr>
          <w:p>
            <w:pPr>
              <w:spacing w:after="0"/>
              <w:rPr>
                <w:sz w:val="18"/>
                <w:szCs w:val="18"/>
                <w:color w:val="auto"/>
              </w:rPr>
            </w:pPr>
          </w:p>
        </w:tc>
      </w:tr>
      <w:tr>
        <w:trPr>
          <w:trHeight w:val="233"/>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and outstanding as of June 30, 2023; 100 shares issued and outstanding as of December 31, 2022</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Net parent investment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11,235</w:t>
            </w: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2"/>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other comprehensive income (loss) – net</w:t>
            </w:r>
          </w:p>
        </w:tc>
        <w:tc>
          <w:tcPr>
            <w:tcW w:w="2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(1,878)</w:t>
            </w:r>
          </w:p>
        </w:tc>
      </w:tr>
      <w:tr>
        <w:trPr>
          <w:trHeight w:val="229"/>
        </w:trPr>
        <w:tc>
          <w:tcPr>
            <w:tcW w:w="77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0" w:type="dxa"/>
            <w:vAlign w:val="bottom"/>
            <w:tcBorders>
              <w:top w:val="single" w:sz="8" w:color="454545"/>
            </w:tcBorders>
          </w:tcPr>
          <w:p>
            <w:pPr>
              <w:spacing w:after="0"/>
              <w:rPr>
                <w:sz w:val="19"/>
                <w:szCs w:val="19"/>
                <w:color w:val="auto"/>
              </w:rPr>
            </w:pPr>
          </w:p>
        </w:tc>
        <w:tc>
          <w:tcPr>
            <w:tcW w:w="14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7,102</w:t>
            </w:r>
          </w:p>
        </w:tc>
        <w:tc>
          <w:tcPr>
            <w:tcW w:w="120" w:type="dxa"/>
            <w:vAlign w:val="bottom"/>
            <w:tcBorders>
              <w:top w:val="single" w:sz="8" w:color="454545"/>
            </w:tcBorders>
          </w:tcPr>
          <w:p>
            <w:pPr>
              <w:spacing w:after="0"/>
              <w:rPr>
                <w:sz w:val="19"/>
                <w:szCs w:val="19"/>
                <w:color w:val="auto"/>
              </w:rPr>
            </w:pPr>
          </w:p>
        </w:tc>
        <w:tc>
          <w:tcPr>
            <w:tcW w:w="15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9,357</w:t>
            </w:r>
          </w:p>
        </w:tc>
      </w:tr>
      <w:tr>
        <w:trPr>
          <w:trHeight w:val="21"/>
        </w:trPr>
        <w:tc>
          <w:tcPr>
            <w:tcW w:w="7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2"/>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7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00" w:type="dxa"/>
            <w:vAlign w:val="bottom"/>
            <w:tcBorders>
              <w:top w:val="single" w:sz="8" w:color="454545"/>
            </w:tcBorders>
          </w:tcPr>
          <w:p>
            <w:pPr>
              <w:spacing w:after="0"/>
              <w:rPr>
                <w:sz w:val="19"/>
                <w:szCs w:val="19"/>
                <w:color w:val="auto"/>
              </w:rPr>
            </w:pPr>
          </w:p>
        </w:tc>
        <w:tc>
          <w:tcPr>
            <w:tcW w:w="14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7,114</w:t>
            </w:r>
          </w:p>
        </w:tc>
        <w:tc>
          <w:tcPr>
            <w:tcW w:w="120" w:type="dxa"/>
            <w:vAlign w:val="bottom"/>
            <w:tcBorders>
              <w:top w:val="single" w:sz="8" w:color="454545"/>
            </w:tcBorders>
          </w:tcPr>
          <w:p>
            <w:pPr>
              <w:spacing w:after="0"/>
              <w:rPr>
                <w:sz w:val="19"/>
                <w:szCs w:val="19"/>
                <w:color w:val="auto"/>
              </w:rPr>
            </w:pPr>
          </w:p>
        </w:tc>
        <w:tc>
          <w:tcPr>
            <w:tcW w:w="15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9,362</w:t>
            </w:r>
          </w:p>
        </w:tc>
      </w:tr>
      <w:tr>
        <w:trPr>
          <w:trHeight w:val="21"/>
        </w:trPr>
        <w:tc>
          <w:tcPr>
            <w:tcW w:w="7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7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32,311</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27,539</w:t>
            </w:r>
          </w:p>
        </w:tc>
      </w:tr>
      <w:tr>
        <w:trPr>
          <w:trHeight w:val="20"/>
        </w:trPr>
        <w:tc>
          <w:tcPr>
            <w:tcW w:w="7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ectPr>
          <w:pgSz w:w="11900" w:h="16838" w:orient="portrait"/>
          <w:cols w:equalWidth="0" w:num="1">
            <w:col w:w="11120"/>
          </w:cols>
          <w:pgMar w:left="380" w:top="118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68580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88" w:right="3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7080" w:type="dxa"/>
            <w:vAlign w:val="bottom"/>
            <w:gridSpan w:val="9"/>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Changes in Equity (Unaudited)</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760" w:type="dxa"/>
            <w:vAlign w:val="bottom"/>
          </w:tcPr>
          <w:p>
            <w:pPr>
              <w:spacing w:after="0"/>
              <w:rPr>
                <w:sz w:val="24"/>
                <w:szCs w:val="24"/>
                <w:color w:val="auto"/>
              </w:rPr>
            </w:pPr>
          </w:p>
        </w:tc>
        <w:tc>
          <w:tcPr>
            <w:tcW w:w="1680" w:type="dxa"/>
            <w:vAlign w:val="bottom"/>
            <w:tcBorders>
              <w:bottom w:val="single" w:sz="8" w:color="454545"/>
            </w:tcBorders>
            <w:gridSpan w:val="2"/>
          </w:tcPr>
          <w:p>
            <w:pPr>
              <w:jc w:val="right"/>
              <w:ind w:right="39"/>
              <w:spacing w:after="0"/>
              <w:rPr>
                <w:sz w:val="20"/>
                <w:szCs w:val="20"/>
                <w:color w:val="auto"/>
              </w:rPr>
            </w:pPr>
            <w:r>
              <w:rPr>
                <w:rFonts w:ascii="Arial" w:cs="Arial" w:eastAsia="Arial" w:hAnsi="Arial"/>
                <w:sz w:val="16"/>
                <w:szCs w:val="16"/>
                <w:b w:val="1"/>
                <w:bCs w:val="1"/>
                <w:color w:val="454545"/>
              </w:rPr>
              <w:t>Common stock</w:t>
            </w:r>
          </w:p>
        </w:tc>
        <w:tc>
          <w:tcPr>
            <w:tcW w:w="280" w:type="dxa"/>
            <w:vAlign w:val="bottom"/>
            <w:tcBorders>
              <w:bottom w:val="single" w:sz="8" w:color="454545"/>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39"/>
              <w:spacing w:after="0" w:line="171" w:lineRule="exact"/>
              <w:rPr>
                <w:sz w:val="20"/>
                <w:szCs w:val="20"/>
                <w:color w:val="auto"/>
              </w:rPr>
            </w:pPr>
            <w:r>
              <w:rPr>
                <w:rFonts w:ascii="Arial" w:cs="Arial" w:eastAsia="Arial" w:hAnsi="Arial"/>
                <w:sz w:val="16"/>
                <w:szCs w:val="16"/>
                <w:b w:val="1"/>
                <w:bCs w:val="1"/>
                <w:color w:val="454545"/>
              </w:rPr>
              <w:t>Accumulated</w:t>
            </w:r>
          </w:p>
        </w:tc>
        <w:tc>
          <w:tcPr>
            <w:tcW w:w="220" w:type="dxa"/>
            <w:vAlign w:val="bottom"/>
          </w:tcPr>
          <w:p>
            <w:pPr>
              <w:spacing w:after="0"/>
              <w:rPr>
                <w:sz w:val="14"/>
                <w:szCs w:val="14"/>
                <w:color w:val="auto"/>
              </w:rPr>
            </w:pPr>
          </w:p>
        </w:tc>
        <w:tc>
          <w:tcPr>
            <w:tcW w:w="10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454545"/>
              </w:rPr>
              <w:t>other</w:t>
            </w: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Common</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Additional</w:t>
            </w:r>
          </w:p>
        </w:tc>
        <w:tc>
          <w:tcPr>
            <w:tcW w:w="140" w:type="dxa"/>
            <w:vAlign w:val="bottom"/>
          </w:tcPr>
          <w:p>
            <w:pPr>
              <w:spacing w:after="0"/>
              <w:rPr>
                <w:sz w:val="15"/>
                <w:szCs w:val="15"/>
                <w:color w:val="auto"/>
              </w:rPr>
            </w:pPr>
          </w:p>
        </w:tc>
        <w:tc>
          <w:tcPr>
            <w:tcW w:w="80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Retained</w:t>
            </w:r>
          </w:p>
        </w:tc>
        <w:tc>
          <w:tcPr>
            <w:tcW w:w="10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Net parent</w:t>
            </w:r>
          </w:p>
        </w:tc>
        <w:tc>
          <w:tcPr>
            <w:tcW w:w="13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80" w:type="dxa"/>
            <w:vAlign w:val="bottom"/>
          </w:tcPr>
          <w:p>
            <w:pPr>
              <w:spacing w:after="0"/>
              <w:rPr>
                <w:sz w:val="15"/>
                <w:szCs w:val="15"/>
                <w:color w:val="auto"/>
              </w:rPr>
            </w:pPr>
          </w:p>
        </w:tc>
        <w:tc>
          <w:tcPr>
            <w:tcW w:w="7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shares</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454545"/>
              </w:rPr>
              <w:t>paid-in</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income (loss) –</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noncontrolling</w:t>
            </w: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4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92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Par value</w:t>
            </w:r>
          </w:p>
        </w:tc>
        <w:tc>
          <w:tcPr>
            <w:tcW w:w="160" w:type="dxa"/>
            <w:vAlign w:val="bottom"/>
            <w:tcBorders>
              <w:bottom w:val="single" w:sz="8" w:color="6022A6"/>
            </w:tcBorders>
          </w:tcPr>
          <w:p>
            <w:pPr>
              <w:spacing w:after="0"/>
              <w:rPr>
                <w:sz w:val="20"/>
                <w:szCs w:val="20"/>
                <w:color w:val="auto"/>
              </w:rPr>
            </w:pPr>
          </w:p>
        </w:tc>
        <w:tc>
          <w:tcPr>
            <w:tcW w:w="78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140" w:type="dxa"/>
            <w:vAlign w:val="bottom"/>
            <w:tcBorders>
              <w:bottom w:val="single" w:sz="8" w:color="6022A6"/>
            </w:tcBorders>
          </w:tcPr>
          <w:p>
            <w:pPr>
              <w:spacing w:after="0"/>
              <w:rPr>
                <w:sz w:val="20"/>
                <w:szCs w:val="20"/>
                <w:color w:val="auto"/>
              </w:rPr>
            </w:pPr>
          </w:p>
        </w:tc>
        <w:tc>
          <w:tcPr>
            <w:tcW w:w="8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color w:val="454545"/>
              </w:rPr>
              <w:t>earnings</w:t>
            </w:r>
          </w:p>
        </w:tc>
        <w:tc>
          <w:tcPr>
            <w:tcW w:w="104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investment</w:t>
            </w:r>
          </w:p>
        </w:tc>
        <w:tc>
          <w:tcPr>
            <w:tcW w:w="140" w:type="dxa"/>
            <w:vAlign w:val="bottom"/>
            <w:tcBorders>
              <w:bottom w:val="single" w:sz="8" w:color="6022A6"/>
            </w:tcBorders>
          </w:tcPr>
          <w:p>
            <w:pPr>
              <w:spacing w:after="0"/>
              <w:rPr>
                <w:sz w:val="20"/>
                <w:szCs w:val="20"/>
                <w:color w:val="auto"/>
              </w:rPr>
            </w:pPr>
          </w:p>
        </w:tc>
        <w:tc>
          <w:tcPr>
            <w:tcW w:w="118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rPr>
              <w:t>net</w:t>
            </w:r>
          </w:p>
        </w:tc>
        <w:tc>
          <w:tcPr>
            <w:tcW w:w="220" w:type="dxa"/>
            <w:vAlign w:val="bottom"/>
            <w:tcBorders>
              <w:bottom w:val="single" w:sz="8" w:color="6022A6"/>
            </w:tcBorders>
          </w:tcPr>
          <w:p>
            <w:pPr>
              <w:spacing w:after="0"/>
              <w:rPr>
                <w:sz w:val="20"/>
                <w:szCs w:val="20"/>
                <w:color w:val="auto"/>
              </w:rPr>
            </w:pPr>
          </w:p>
        </w:tc>
        <w:tc>
          <w:tcPr>
            <w:tcW w:w="106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80" w:type="dxa"/>
            <w:vAlign w:val="bottom"/>
            <w:tcBorders>
              <w:bottom w:val="single" w:sz="8" w:color="6022A6"/>
            </w:tcBorders>
          </w:tcPr>
          <w:p>
            <w:pPr>
              <w:spacing w:after="0"/>
              <w:rPr>
                <w:sz w:val="20"/>
                <w:szCs w:val="20"/>
                <w:color w:val="auto"/>
              </w:rPr>
            </w:pPr>
          </w:p>
        </w:tc>
        <w:tc>
          <w:tcPr>
            <w:tcW w:w="7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27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March 31, 2023</w:t>
            </w: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640" w:type="dxa"/>
            <w:vAlign w:val="bottom"/>
            <w:shd w:val="clear" w:color="auto" w:fill="E4E4E4"/>
          </w:tcPr>
          <w:p>
            <w:pPr>
              <w:jc w:val="right"/>
              <w:ind w:right="439"/>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6,425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185</w:t>
            </w:r>
          </w:p>
        </w:tc>
        <w:tc>
          <w:tcPr>
            <w:tcW w:w="480" w:type="dxa"/>
            <w:vAlign w:val="bottom"/>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4E4E4"/>
          </w:tcPr>
          <w:p>
            <w:pPr>
              <w:ind w:left="320"/>
              <w:spacing w:after="0"/>
              <w:rPr>
                <w:sz w:val="20"/>
                <w:szCs w:val="20"/>
                <w:color w:val="auto"/>
              </w:rPr>
            </w:pPr>
            <w:r>
              <w:rPr>
                <w:rFonts w:ascii="Arial" w:cs="Arial" w:eastAsia="Arial" w:hAnsi="Arial"/>
                <w:sz w:val="16"/>
                <w:szCs w:val="16"/>
                <w:b w:val="1"/>
                <w:bCs w:val="1"/>
                <w:color w:val="auto"/>
              </w:rPr>
              <w:t>— $</w:t>
            </w:r>
          </w:p>
        </w:tc>
        <w:tc>
          <w:tcPr>
            <w:tcW w:w="1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6,696</w:t>
            </w:r>
          </w:p>
        </w:tc>
        <w:tc>
          <w:tcPr>
            <w:tcW w:w="0" w:type="dxa"/>
            <w:vAlign w:val="bottom"/>
          </w:tcPr>
          <w:p>
            <w:pPr>
              <w:spacing w:after="0"/>
              <w:rPr>
                <w:sz w:val="1"/>
                <w:szCs w:val="1"/>
                <w:color w:val="auto"/>
              </w:rPr>
            </w:pPr>
          </w:p>
        </w:tc>
      </w:tr>
      <w:tr>
        <w:trPr>
          <w:trHeight w:val="21"/>
        </w:trPr>
        <w:tc>
          <w:tcPr>
            <w:tcW w:w="2760" w:type="dxa"/>
            <w:vAlign w:val="bottom"/>
            <w:shd w:val="clear" w:color="auto" w:fill="E4E4E4"/>
          </w:tcPr>
          <w:p>
            <w:pPr>
              <w:spacing w:after="0" w:line="20" w:lineRule="exact"/>
              <w:rPr>
                <w:sz w:val="1"/>
                <w:szCs w:val="1"/>
                <w:color w:val="auto"/>
              </w:rPr>
            </w:pPr>
          </w:p>
        </w:tc>
        <w:tc>
          <w:tcPr>
            <w:tcW w:w="1040" w:type="dxa"/>
            <w:vAlign w:val="bottom"/>
            <w:shd w:val="clear" w:color="auto" w:fill="E4E4E4"/>
          </w:tcPr>
          <w:p>
            <w:pPr>
              <w:spacing w:after="0" w:line="20" w:lineRule="exact"/>
              <w:rPr>
                <w:sz w:val="1"/>
                <w:szCs w:val="1"/>
                <w:color w:val="auto"/>
              </w:rPr>
            </w:pPr>
          </w:p>
        </w:tc>
        <w:tc>
          <w:tcPr>
            <w:tcW w:w="640" w:type="dxa"/>
            <w:vAlign w:val="bottom"/>
            <w:shd w:val="clear" w:color="auto" w:fill="E4E4E4"/>
          </w:tcPr>
          <w:p>
            <w:pPr>
              <w:spacing w:after="0" w:line="20" w:lineRule="exact"/>
              <w:rPr>
                <w:sz w:val="1"/>
                <w:szCs w:val="1"/>
                <w:color w:val="auto"/>
              </w:rPr>
            </w:pPr>
          </w:p>
        </w:tc>
        <w:tc>
          <w:tcPr>
            <w:tcW w:w="28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480" w:type="dxa"/>
            <w:vAlign w:val="bottom"/>
            <w:shd w:val="clear" w:color="auto" w:fill="E4E4E4"/>
          </w:tcPr>
          <w:p>
            <w:pPr>
              <w:spacing w:after="0" w:line="20" w:lineRule="exact"/>
              <w:rPr>
                <w:sz w:val="1"/>
                <w:szCs w:val="1"/>
                <w:color w:val="auto"/>
              </w:rPr>
            </w:pPr>
          </w:p>
        </w:tc>
        <w:tc>
          <w:tcPr>
            <w:tcW w:w="5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8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10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6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1180"/>
          </w:cols>
          <w:pgMar w:left="360" w:top="1188" w:right="359" w:bottom="1440" w:gutter="0" w:footer="0" w:header="0"/>
        </w:sectPr>
      </w:pPr>
    </w:p>
    <w:p>
      <w:pPr>
        <w:ind w:left="20" w:right="300"/>
        <w:spacing w:after="0" w:line="258" w:lineRule="auto"/>
        <w:rPr>
          <w:sz w:val="20"/>
          <w:szCs w:val="20"/>
          <w:color w:val="auto"/>
        </w:rPr>
      </w:pPr>
      <w:r>
        <w:rPr>
          <w:rFonts w:ascii="Arial" w:cs="Arial" w:eastAsia="Arial" w:hAnsi="Arial"/>
          <w:sz w:val="16"/>
          <w:szCs w:val="16"/>
          <w:color w:val="auto"/>
        </w:rPr>
        <w:t>Net transfers from Parent, including Spin-Off-related adjustments</w:t>
      </w:r>
    </w:p>
    <w:p>
      <w:pPr>
        <w:spacing w:after="0" w:line="23" w:lineRule="exact"/>
        <w:rPr>
          <w:sz w:val="20"/>
          <w:szCs w:val="20"/>
          <w:color w:val="auto"/>
        </w:rPr>
      </w:pPr>
    </w:p>
    <w:p>
      <w:pPr>
        <w:ind w:left="20" w:right="500"/>
        <w:spacing w:after="0" w:line="24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00"/>
              <w:spacing w:after="0"/>
              <w:rPr>
                <w:sz w:val="20"/>
                <w:szCs w:val="20"/>
                <w:color w:val="auto"/>
              </w:rPr>
            </w:pPr>
            <w:r>
              <w:rPr>
                <w:rFonts w:ascii="Arial" w:cs="Arial" w:eastAsia="Arial" w:hAnsi="Arial"/>
                <w:sz w:val="16"/>
                <w:szCs w:val="16"/>
                <w:color w:val="auto"/>
              </w:rPr>
              <w:t>—</w:t>
            </w:r>
          </w:p>
        </w:tc>
        <w:tc>
          <w:tcPr>
            <w:tcW w:w="960" w:type="dxa"/>
            <w:vAlign w:val="bottom"/>
          </w:tcPr>
          <w:p>
            <w:pPr>
              <w:ind w:lef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99"/>
              <w:spacing w:after="0"/>
              <w:rPr>
                <w:sz w:val="20"/>
                <w:szCs w:val="20"/>
                <w:color w:val="auto"/>
              </w:rPr>
            </w:pPr>
            <w:r>
              <w:rPr>
                <w:rFonts w:ascii="Arial" w:cs="Arial" w:eastAsia="Arial" w:hAnsi="Arial"/>
                <w:sz w:val="16"/>
                <w:szCs w:val="16"/>
                <w:color w:val="auto"/>
              </w:rPr>
              <w:t>(9)</w:t>
            </w:r>
          </w:p>
        </w:tc>
        <w:tc>
          <w:tcPr>
            <w:tcW w:w="1280" w:type="dxa"/>
            <w:vAlign w:val="bottom"/>
          </w:tcPr>
          <w:p>
            <w:pPr>
              <w:ind w:left="5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580" w:type="dxa"/>
            <w:vAlign w:val="bottom"/>
          </w:tcPr>
          <w:p>
            <w:pPr>
              <w:ind w:left="380"/>
              <w:spacing w:after="0"/>
              <w:rPr>
                <w:sz w:val="20"/>
                <w:szCs w:val="20"/>
                <w:color w:val="auto"/>
              </w:rPr>
            </w:pPr>
            <w:r>
              <w:rPr>
                <w:rFonts w:ascii="Arial" w:cs="Arial" w:eastAsia="Arial" w:hAnsi="Arial"/>
                <w:sz w:val="16"/>
                <w:szCs w:val="16"/>
                <w:color w:val="auto"/>
                <w:w w:val="91"/>
              </w:rPr>
              <w:t>(6)</w:t>
            </w:r>
          </w:p>
        </w:tc>
      </w:tr>
      <w:tr>
        <w:trPr>
          <w:trHeight w:val="594"/>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(9)</w:t>
            </w:r>
          </w:p>
        </w:tc>
        <w:tc>
          <w:tcPr>
            <w:tcW w:w="960" w:type="dxa"/>
            <w:vAlign w:val="bottom"/>
          </w:tcPr>
          <w:p>
            <w:pPr>
              <w:ind w:lef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39"/>
              <w:spacing w:after="0"/>
              <w:rPr>
                <w:sz w:val="20"/>
                <w:szCs w:val="20"/>
                <w:color w:val="auto"/>
              </w:rPr>
            </w:pPr>
            <w:r>
              <w:rPr>
                <w:rFonts w:ascii="Arial" w:cs="Arial" w:eastAsia="Arial" w:hAnsi="Arial"/>
                <w:sz w:val="16"/>
                <w:szCs w:val="16"/>
                <w:color w:val="auto"/>
              </w:rPr>
              <w:t>9</w:t>
            </w:r>
          </w:p>
        </w:tc>
        <w:tc>
          <w:tcPr>
            <w:tcW w:w="1280" w:type="dxa"/>
            <w:vAlign w:val="bottom"/>
          </w:tcPr>
          <w:p>
            <w:pPr>
              <w:ind w:left="5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580" w:type="dxa"/>
            <w:vAlign w:val="bottom"/>
          </w:tcPr>
          <w:p>
            <w:pPr>
              <w:ind w:left="3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-304165</wp:posOffset>
            </wp:positionV>
            <wp:extent cx="709803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49720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2860" w:space="720"/>
            <w:col w:w="7600"/>
          </w:cols>
          <w:pgMar w:left="360" w:top="1188" w:right="35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in</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connection with employee stock plans</w:t>
            </w:r>
          </w:p>
        </w:tc>
        <w:tc>
          <w:tcPr>
            <w:tcW w:w="10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780" w:type="dxa"/>
            <w:vAlign w:val="bottom"/>
            <w:gridSpan w:val="2"/>
            <w:shd w:val="clear" w:color="auto" w:fill="E4E4E4"/>
          </w:tcPr>
          <w:p>
            <w:pPr>
              <w:ind w:left="20"/>
              <w:spacing w:after="0"/>
              <w:rPr>
                <w:sz w:val="20"/>
                <w:szCs w:val="20"/>
                <w:color w:val="auto"/>
              </w:rPr>
            </w:pPr>
            <w:r>
              <w:rPr>
                <w:rFonts w:ascii="Arial" w:cs="Arial" w:eastAsia="Arial" w:hAnsi="Arial"/>
                <w:sz w:val="16"/>
                <w:szCs w:val="16"/>
                <w:color w:val="auto"/>
              </w:rPr>
              <w:t>Net income attributable to GE</w:t>
            </w: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4E4E4"/>
          </w:tcPr>
          <w:p>
            <w:pPr>
              <w:spacing w:after="0"/>
              <w:rPr>
                <w:sz w:val="19"/>
                <w:szCs w:val="19"/>
                <w:color w:val="auto"/>
              </w:rPr>
            </w:pPr>
          </w:p>
        </w:tc>
        <w:tc>
          <w:tcPr>
            <w:tcW w:w="3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4E4E4"/>
          </w:tcPr>
          <w:p>
            <w:pPr>
              <w:spacing w:after="0"/>
              <w:rPr>
                <w:sz w:val="19"/>
                <w:szCs w:val="19"/>
                <w:color w:val="auto"/>
              </w:rPr>
            </w:pPr>
          </w:p>
        </w:tc>
        <w:tc>
          <w:tcPr>
            <w:tcW w:w="7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4E4E4"/>
          </w:tcPr>
          <w:p>
            <w:pPr>
              <w:spacing w:after="0"/>
              <w:rPr>
                <w:sz w:val="19"/>
                <w:szCs w:val="19"/>
                <w:color w:val="auto"/>
              </w:rPr>
            </w:pPr>
          </w:p>
        </w:tc>
        <w:tc>
          <w:tcPr>
            <w:tcW w:w="7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418</w:t>
            </w:r>
          </w:p>
        </w:tc>
        <w:tc>
          <w:tcPr>
            <w:tcW w:w="300" w:type="dxa"/>
            <w:vAlign w:val="bottom"/>
            <w:shd w:val="clear" w:color="auto" w:fill="E4E4E4"/>
          </w:tcPr>
          <w:p>
            <w:pPr>
              <w:spacing w:after="0"/>
              <w:rPr>
                <w:sz w:val="19"/>
                <w:szCs w:val="19"/>
                <w:color w:val="auto"/>
              </w:rPr>
            </w:pPr>
          </w:p>
        </w:tc>
        <w:tc>
          <w:tcPr>
            <w:tcW w:w="7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19"/>
                <w:szCs w:val="19"/>
                <w:color w:val="auto"/>
              </w:rPr>
            </w:pPr>
          </w:p>
        </w:tc>
        <w:tc>
          <w:tcPr>
            <w:tcW w:w="12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19"/>
                <w:szCs w:val="19"/>
                <w:color w:val="auto"/>
              </w:rPr>
            </w:pPr>
          </w:p>
        </w:tc>
        <w:tc>
          <w:tcPr>
            <w:tcW w:w="72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418</w:t>
            </w:r>
          </w:p>
        </w:tc>
        <w:tc>
          <w:tcPr>
            <w:tcW w:w="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shd w:val="clear" w:color="auto" w:fill="E4E4E4"/>
          </w:tcPr>
          <w:p>
            <w:pPr>
              <w:ind w:left="20"/>
              <w:spacing w:after="0"/>
              <w:rPr>
                <w:sz w:val="20"/>
                <w:szCs w:val="20"/>
                <w:color w:val="auto"/>
              </w:rPr>
            </w:pPr>
            <w:r>
              <w:rPr>
                <w:rFonts w:ascii="Arial" w:cs="Arial" w:eastAsia="Arial" w:hAnsi="Arial"/>
                <w:sz w:val="16"/>
                <w:szCs w:val="16"/>
                <w:color w:val="auto"/>
              </w:rPr>
              <w:t>HealthCare</w:t>
            </w:r>
          </w:p>
        </w:tc>
        <w:tc>
          <w:tcPr>
            <w:tcW w:w="1020" w:type="dxa"/>
            <w:vAlign w:val="bottom"/>
            <w:vMerge w:val="continue"/>
            <w:shd w:val="clear" w:color="auto" w:fill="E4E4E4"/>
          </w:tcPr>
          <w:p>
            <w:pPr>
              <w:spacing w:after="0"/>
              <w:rPr>
                <w:sz w:val="8"/>
                <w:szCs w:val="8"/>
                <w:color w:val="auto"/>
              </w:rPr>
            </w:pPr>
          </w:p>
        </w:tc>
        <w:tc>
          <w:tcPr>
            <w:tcW w:w="620" w:type="dxa"/>
            <w:vAlign w:val="bottom"/>
            <w:shd w:val="clear" w:color="auto" w:fill="E4E4E4"/>
          </w:tcPr>
          <w:p>
            <w:pPr>
              <w:spacing w:after="0"/>
              <w:rPr>
                <w:sz w:val="8"/>
                <w:szCs w:val="8"/>
                <w:color w:val="auto"/>
              </w:rPr>
            </w:pPr>
          </w:p>
        </w:tc>
        <w:tc>
          <w:tcPr>
            <w:tcW w:w="300" w:type="dxa"/>
            <w:vAlign w:val="bottom"/>
            <w:vMerge w:val="continue"/>
            <w:shd w:val="clear" w:color="auto" w:fill="E4E4E4"/>
          </w:tcPr>
          <w:p>
            <w:pPr>
              <w:spacing w:after="0"/>
              <w:rPr>
                <w:sz w:val="8"/>
                <w:szCs w:val="8"/>
                <w:color w:val="auto"/>
              </w:rPr>
            </w:pPr>
          </w:p>
        </w:tc>
        <w:tc>
          <w:tcPr>
            <w:tcW w:w="180" w:type="dxa"/>
            <w:vAlign w:val="bottom"/>
            <w:shd w:val="clear" w:color="auto" w:fill="E4E4E4"/>
          </w:tcPr>
          <w:p>
            <w:pPr>
              <w:spacing w:after="0"/>
              <w:rPr>
                <w:sz w:val="8"/>
                <w:szCs w:val="8"/>
                <w:color w:val="auto"/>
              </w:rPr>
            </w:pPr>
          </w:p>
        </w:tc>
        <w:tc>
          <w:tcPr>
            <w:tcW w:w="760" w:type="dxa"/>
            <w:vAlign w:val="bottom"/>
            <w:vMerge w:val="continue"/>
            <w:shd w:val="clear" w:color="auto" w:fill="E4E4E4"/>
          </w:tcPr>
          <w:p>
            <w:pPr>
              <w:spacing w:after="0"/>
              <w:rPr>
                <w:sz w:val="8"/>
                <w:szCs w:val="8"/>
                <w:color w:val="auto"/>
              </w:rPr>
            </w:pPr>
          </w:p>
        </w:tc>
        <w:tc>
          <w:tcPr>
            <w:tcW w:w="180" w:type="dxa"/>
            <w:vAlign w:val="bottom"/>
            <w:shd w:val="clear" w:color="auto" w:fill="E4E4E4"/>
          </w:tcPr>
          <w:p>
            <w:pPr>
              <w:spacing w:after="0"/>
              <w:rPr>
                <w:sz w:val="8"/>
                <w:szCs w:val="8"/>
                <w:color w:val="auto"/>
              </w:rPr>
            </w:pPr>
          </w:p>
        </w:tc>
        <w:tc>
          <w:tcPr>
            <w:tcW w:w="780" w:type="dxa"/>
            <w:vAlign w:val="bottom"/>
            <w:vMerge w:val="continue"/>
            <w:shd w:val="clear" w:color="auto" w:fill="E4E4E4"/>
          </w:tcPr>
          <w:p>
            <w:pPr>
              <w:spacing w:after="0"/>
              <w:rPr>
                <w:sz w:val="8"/>
                <w:szCs w:val="8"/>
                <w:color w:val="auto"/>
              </w:rPr>
            </w:pPr>
          </w:p>
        </w:tc>
        <w:tc>
          <w:tcPr>
            <w:tcW w:w="300" w:type="dxa"/>
            <w:vAlign w:val="bottom"/>
            <w:shd w:val="clear" w:color="auto" w:fill="E4E4E4"/>
          </w:tcPr>
          <w:p>
            <w:pPr>
              <w:spacing w:after="0"/>
              <w:rPr>
                <w:sz w:val="8"/>
                <w:szCs w:val="8"/>
                <w:color w:val="auto"/>
              </w:rPr>
            </w:pPr>
          </w:p>
        </w:tc>
        <w:tc>
          <w:tcPr>
            <w:tcW w:w="700" w:type="dxa"/>
            <w:vAlign w:val="bottom"/>
            <w:vMerge w:val="continue"/>
            <w:shd w:val="clear" w:color="auto" w:fill="E4E4E4"/>
          </w:tcPr>
          <w:p>
            <w:pPr>
              <w:spacing w:after="0"/>
              <w:rPr>
                <w:sz w:val="8"/>
                <w:szCs w:val="8"/>
                <w:color w:val="auto"/>
              </w:rPr>
            </w:pPr>
          </w:p>
        </w:tc>
        <w:tc>
          <w:tcPr>
            <w:tcW w:w="140" w:type="dxa"/>
            <w:vAlign w:val="bottom"/>
            <w:shd w:val="clear" w:color="auto" w:fill="E4E4E4"/>
          </w:tcPr>
          <w:p>
            <w:pPr>
              <w:spacing w:after="0"/>
              <w:rPr>
                <w:sz w:val="8"/>
                <w:szCs w:val="8"/>
                <w:color w:val="auto"/>
              </w:rPr>
            </w:pPr>
          </w:p>
        </w:tc>
        <w:tc>
          <w:tcPr>
            <w:tcW w:w="1200" w:type="dxa"/>
            <w:vAlign w:val="bottom"/>
            <w:vMerge w:val="continue"/>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1040" w:type="dxa"/>
            <w:vAlign w:val="bottom"/>
            <w:vMerge w:val="continue"/>
            <w:shd w:val="clear" w:color="auto" w:fill="E4E4E4"/>
          </w:tcPr>
          <w:p>
            <w:pPr>
              <w:spacing w:after="0"/>
              <w:rPr>
                <w:sz w:val="8"/>
                <w:szCs w:val="8"/>
                <w:color w:val="auto"/>
              </w:rPr>
            </w:pPr>
          </w:p>
        </w:tc>
        <w:tc>
          <w:tcPr>
            <w:tcW w:w="200" w:type="dxa"/>
            <w:vAlign w:val="bottom"/>
            <w:shd w:val="clear" w:color="auto" w:fill="E4E4E4"/>
          </w:tcPr>
          <w:p>
            <w:pPr>
              <w:spacing w:after="0"/>
              <w:rPr>
                <w:sz w:val="8"/>
                <w:szCs w:val="8"/>
                <w:color w:val="auto"/>
              </w:rPr>
            </w:pPr>
          </w:p>
        </w:tc>
        <w:tc>
          <w:tcPr>
            <w:tcW w:w="720" w:type="dxa"/>
            <w:vAlign w:val="bottom"/>
            <w:vMerge w:val="continue"/>
            <w:shd w:val="clear" w:color="auto" w:fill="E4E4E4"/>
          </w:tcPr>
          <w:p>
            <w:pPr>
              <w:spacing w:after="0"/>
              <w:rPr>
                <w:sz w:val="8"/>
                <w:szCs w:val="8"/>
                <w:color w:val="auto"/>
              </w:rPr>
            </w:pPr>
          </w:p>
        </w:tc>
        <w:tc>
          <w:tcPr>
            <w:tcW w:w="4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780" w:type="dxa"/>
            <w:vAlign w:val="bottom"/>
            <w:tcBorders>
              <w:bottom w:val="single" w:sz="8" w:color="E4E4E4"/>
            </w:tcBorders>
            <w:gridSpan w:val="2"/>
            <w:vMerge w:val="continue"/>
            <w:shd w:val="clear" w:color="auto" w:fill="E4E4E4"/>
          </w:tcPr>
          <w:p>
            <w:pPr>
              <w:spacing w:after="0"/>
              <w:rPr>
                <w:sz w:val="10"/>
                <w:szCs w:val="10"/>
                <w:color w:val="auto"/>
              </w:rPr>
            </w:pPr>
          </w:p>
        </w:tc>
        <w:tc>
          <w:tcPr>
            <w:tcW w:w="102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shd w:val="clear" w:color="auto" w:fill="E4E4E4"/>
          </w:tcPr>
          <w:p>
            <w:pPr>
              <w:spacing w:after="0"/>
              <w:rPr>
                <w:sz w:val="10"/>
                <w:szCs w:val="10"/>
                <w:color w:val="auto"/>
              </w:rPr>
            </w:pPr>
          </w:p>
        </w:tc>
        <w:tc>
          <w:tcPr>
            <w:tcW w:w="30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76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tcBorders>
            <w:shd w:val="clear" w:color="auto" w:fill="E4E4E4"/>
          </w:tcPr>
          <w:p>
            <w:pPr>
              <w:spacing w:after="0"/>
              <w:rPr>
                <w:sz w:val="10"/>
                <w:szCs w:val="10"/>
                <w:color w:val="auto"/>
              </w:rPr>
            </w:pPr>
          </w:p>
        </w:tc>
        <w:tc>
          <w:tcPr>
            <w:tcW w:w="300" w:type="dxa"/>
            <w:vAlign w:val="bottom"/>
            <w:tcBorders>
              <w:bottom w:val="single" w:sz="8" w:color="E4E4E4"/>
            </w:tcBorders>
            <w:shd w:val="clear" w:color="auto" w:fill="E4E4E4"/>
          </w:tcPr>
          <w:p>
            <w:pPr>
              <w:spacing w:after="0"/>
              <w:rPr>
                <w:sz w:val="10"/>
                <w:szCs w:val="10"/>
                <w:color w:val="auto"/>
              </w:rPr>
            </w:pPr>
          </w:p>
        </w:tc>
        <w:tc>
          <w:tcPr>
            <w:tcW w:w="700" w:type="dxa"/>
            <w:vAlign w:val="bottom"/>
            <w:tcBorders>
              <w:bottom w:val="single" w:sz="8" w:color="E4E4E4"/>
            </w:tcBorders>
            <w:shd w:val="clear" w:color="auto" w:fill="E4E4E4"/>
          </w:tcPr>
          <w:p>
            <w:pPr>
              <w:spacing w:after="0"/>
              <w:rPr>
                <w:sz w:val="10"/>
                <w:szCs w:val="10"/>
                <w:color w:val="auto"/>
              </w:rPr>
            </w:pPr>
          </w:p>
        </w:tc>
        <w:tc>
          <w:tcPr>
            <w:tcW w:w="140" w:type="dxa"/>
            <w:vAlign w:val="bottom"/>
            <w:tcBorders>
              <w:bottom w:val="single" w:sz="8" w:color="E4E4E4"/>
            </w:tcBorders>
            <w:shd w:val="clear" w:color="auto" w:fill="E4E4E4"/>
          </w:tcPr>
          <w:p>
            <w:pPr>
              <w:spacing w:after="0"/>
              <w:rPr>
                <w:sz w:val="10"/>
                <w:szCs w:val="10"/>
                <w:color w:val="auto"/>
              </w:rPr>
            </w:pPr>
          </w:p>
        </w:tc>
        <w:tc>
          <w:tcPr>
            <w:tcW w:w="120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spacing w:after="0"/>
              <w:rPr>
                <w:sz w:val="10"/>
                <w:szCs w:val="10"/>
                <w:color w:val="auto"/>
              </w:rPr>
            </w:pPr>
          </w:p>
        </w:tc>
        <w:tc>
          <w:tcPr>
            <w:tcW w:w="1040" w:type="dxa"/>
            <w:vAlign w:val="bottom"/>
            <w:tcBorders>
              <w:bottom w:val="single" w:sz="8" w:color="E4E4E4"/>
            </w:tcBorders>
            <w:shd w:val="clear" w:color="auto" w:fill="E4E4E4"/>
          </w:tcPr>
          <w:p>
            <w:pPr>
              <w:spacing w:after="0"/>
              <w:rPr>
                <w:sz w:val="10"/>
                <w:szCs w:val="10"/>
                <w:color w:val="auto"/>
              </w:rPr>
            </w:pPr>
          </w:p>
        </w:tc>
        <w:tc>
          <w:tcPr>
            <w:tcW w:w="200" w:type="dxa"/>
            <w:vAlign w:val="bottom"/>
            <w:tcBorders>
              <w:bottom w:val="single" w:sz="8" w:color="E4E4E4"/>
            </w:tcBorders>
            <w:shd w:val="clear" w:color="auto" w:fill="E4E4E4"/>
          </w:tcPr>
          <w:p>
            <w:pPr>
              <w:spacing w:after="0"/>
              <w:rPr>
                <w:sz w:val="10"/>
                <w:szCs w:val="10"/>
                <w:color w:val="auto"/>
              </w:rPr>
            </w:pPr>
          </w:p>
        </w:tc>
        <w:tc>
          <w:tcPr>
            <w:tcW w:w="72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Dividends declared ($0.06 per</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common share)</w:t>
            </w:r>
          </w:p>
        </w:tc>
        <w:tc>
          <w:tcPr>
            <w:tcW w:w="10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780" w:type="dxa"/>
            <w:vAlign w:val="bottom"/>
            <w:gridSpan w:val="2"/>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w:t>
            </w: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4E4E4"/>
          </w:tcPr>
          <w:p>
            <w:pPr>
              <w:spacing w:after="0"/>
              <w:rPr>
                <w:sz w:val="19"/>
                <w:szCs w:val="19"/>
                <w:color w:val="auto"/>
              </w:rPr>
            </w:pPr>
          </w:p>
        </w:tc>
        <w:tc>
          <w:tcPr>
            <w:tcW w:w="3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4E4E4"/>
          </w:tcPr>
          <w:p>
            <w:pPr>
              <w:spacing w:after="0"/>
              <w:rPr>
                <w:sz w:val="19"/>
                <w:szCs w:val="19"/>
                <w:color w:val="auto"/>
              </w:rPr>
            </w:pPr>
          </w:p>
        </w:tc>
        <w:tc>
          <w:tcPr>
            <w:tcW w:w="7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4E4E4"/>
          </w:tcPr>
          <w:p>
            <w:pPr>
              <w:spacing w:after="0"/>
              <w:rPr>
                <w:sz w:val="19"/>
                <w:szCs w:val="19"/>
                <w:color w:val="auto"/>
              </w:rPr>
            </w:pPr>
          </w:p>
        </w:tc>
        <w:tc>
          <w:tcPr>
            <w:tcW w:w="7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19"/>
                <w:szCs w:val="19"/>
                <w:color w:val="auto"/>
              </w:rPr>
            </w:pPr>
          </w:p>
        </w:tc>
        <w:tc>
          <w:tcPr>
            <w:tcW w:w="7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19"/>
                <w:szCs w:val="19"/>
                <w:color w:val="auto"/>
              </w:rPr>
            </w:pPr>
          </w:p>
        </w:tc>
        <w:tc>
          <w:tcPr>
            <w:tcW w:w="12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19"/>
                <w:szCs w:val="19"/>
                <w:color w:val="auto"/>
              </w:rPr>
            </w:pPr>
          </w:p>
        </w:tc>
        <w:tc>
          <w:tcPr>
            <w:tcW w:w="72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shd w:val="clear" w:color="auto" w:fill="E4E4E4"/>
          </w:tcPr>
          <w:p>
            <w:pPr>
              <w:ind w:left="20"/>
              <w:spacing w:after="0"/>
              <w:rPr>
                <w:sz w:val="20"/>
                <w:szCs w:val="20"/>
                <w:color w:val="auto"/>
              </w:rPr>
            </w:pPr>
            <w:r>
              <w:rPr>
                <w:rFonts w:ascii="Arial" w:cs="Arial" w:eastAsia="Arial" w:hAnsi="Arial"/>
                <w:sz w:val="16"/>
                <w:szCs w:val="16"/>
                <w:color w:val="auto"/>
              </w:rPr>
              <w:t>net of taxes</w:t>
            </w:r>
          </w:p>
        </w:tc>
        <w:tc>
          <w:tcPr>
            <w:tcW w:w="1020" w:type="dxa"/>
            <w:vAlign w:val="bottom"/>
            <w:vMerge w:val="continue"/>
            <w:shd w:val="clear" w:color="auto" w:fill="E4E4E4"/>
          </w:tcPr>
          <w:p>
            <w:pPr>
              <w:spacing w:after="0"/>
              <w:rPr>
                <w:sz w:val="8"/>
                <w:szCs w:val="8"/>
                <w:color w:val="auto"/>
              </w:rPr>
            </w:pPr>
          </w:p>
        </w:tc>
        <w:tc>
          <w:tcPr>
            <w:tcW w:w="620" w:type="dxa"/>
            <w:vAlign w:val="bottom"/>
            <w:shd w:val="clear" w:color="auto" w:fill="E4E4E4"/>
          </w:tcPr>
          <w:p>
            <w:pPr>
              <w:spacing w:after="0"/>
              <w:rPr>
                <w:sz w:val="8"/>
                <w:szCs w:val="8"/>
                <w:color w:val="auto"/>
              </w:rPr>
            </w:pPr>
          </w:p>
        </w:tc>
        <w:tc>
          <w:tcPr>
            <w:tcW w:w="300" w:type="dxa"/>
            <w:vAlign w:val="bottom"/>
            <w:vMerge w:val="continue"/>
            <w:shd w:val="clear" w:color="auto" w:fill="E4E4E4"/>
          </w:tcPr>
          <w:p>
            <w:pPr>
              <w:spacing w:after="0"/>
              <w:rPr>
                <w:sz w:val="8"/>
                <w:szCs w:val="8"/>
                <w:color w:val="auto"/>
              </w:rPr>
            </w:pPr>
          </w:p>
        </w:tc>
        <w:tc>
          <w:tcPr>
            <w:tcW w:w="180" w:type="dxa"/>
            <w:vAlign w:val="bottom"/>
            <w:shd w:val="clear" w:color="auto" w:fill="E4E4E4"/>
          </w:tcPr>
          <w:p>
            <w:pPr>
              <w:spacing w:after="0"/>
              <w:rPr>
                <w:sz w:val="8"/>
                <w:szCs w:val="8"/>
                <w:color w:val="auto"/>
              </w:rPr>
            </w:pPr>
          </w:p>
        </w:tc>
        <w:tc>
          <w:tcPr>
            <w:tcW w:w="760" w:type="dxa"/>
            <w:vAlign w:val="bottom"/>
            <w:vMerge w:val="continue"/>
            <w:shd w:val="clear" w:color="auto" w:fill="E4E4E4"/>
          </w:tcPr>
          <w:p>
            <w:pPr>
              <w:spacing w:after="0"/>
              <w:rPr>
                <w:sz w:val="8"/>
                <w:szCs w:val="8"/>
                <w:color w:val="auto"/>
              </w:rPr>
            </w:pPr>
          </w:p>
        </w:tc>
        <w:tc>
          <w:tcPr>
            <w:tcW w:w="180" w:type="dxa"/>
            <w:vAlign w:val="bottom"/>
            <w:shd w:val="clear" w:color="auto" w:fill="E4E4E4"/>
          </w:tcPr>
          <w:p>
            <w:pPr>
              <w:spacing w:after="0"/>
              <w:rPr>
                <w:sz w:val="8"/>
                <w:szCs w:val="8"/>
                <w:color w:val="auto"/>
              </w:rPr>
            </w:pPr>
          </w:p>
        </w:tc>
        <w:tc>
          <w:tcPr>
            <w:tcW w:w="780" w:type="dxa"/>
            <w:vAlign w:val="bottom"/>
            <w:vMerge w:val="continue"/>
            <w:shd w:val="clear" w:color="auto" w:fill="E4E4E4"/>
          </w:tcPr>
          <w:p>
            <w:pPr>
              <w:spacing w:after="0"/>
              <w:rPr>
                <w:sz w:val="8"/>
                <w:szCs w:val="8"/>
                <w:color w:val="auto"/>
              </w:rPr>
            </w:pPr>
          </w:p>
        </w:tc>
        <w:tc>
          <w:tcPr>
            <w:tcW w:w="300" w:type="dxa"/>
            <w:vAlign w:val="bottom"/>
            <w:shd w:val="clear" w:color="auto" w:fill="E4E4E4"/>
          </w:tcPr>
          <w:p>
            <w:pPr>
              <w:spacing w:after="0"/>
              <w:rPr>
                <w:sz w:val="8"/>
                <w:szCs w:val="8"/>
                <w:color w:val="auto"/>
              </w:rPr>
            </w:pPr>
          </w:p>
        </w:tc>
        <w:tc>
          <w:tcPr>
            <w:tcW w:w="700" w:type="dxa"/>
            <w:vAlign w:val="bottom"/>
            <w:vMerge w:val="continue"/>
            <w:shd w:val="clear" w:color="auto" w:fill="E4E4E4"/>
          </w:tcPr>
          <w:p>
            <w:pPr>
              <w:spacing w:after="0"/>
              <w:rPr>
                <w:sz w:val="8"/>
                <w:szCs w:val="8"/>
                <w:color w:val="auto"/>
              </w:rPr>
            </w:pPr>
          </w:p>
        </w:tc>
        <w:tc>
          <w:tcPr>
            <w:tcW w:w="140" w:type="dxa"/>
            <w:vAlign w:val="bottom"/>
            <w:shd w:val="clear" w:color="auto" w:fill="E4E4E4"/>
          </w:tcPr>
          <w:p>
            <w:pPr>
              <w:spacing w:after="0"/>
              <w:rPr>
                <w:sz w:val="8"/>
                <w:szCs w:val="8"/>
                <w:color w:val="auto"/>
              </w:rPr>
            </w:pPr>
          </w:p>
        </w:tc>
        <w:tc>
          <w:tcPr>
            <w:tcW w:w="1200" w:type="dxa"/>
            <w:vAlign w:val="bottom"/>
            <w:vMerge w:val="continue"/>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1040" w:type="dxa"/>
            <w:vAlign w:val="bottom"/>
            <w:vMerge w:val="continue"/>
            <w:shd w:val="clear" w:color="auto" w:fill="E4E4E4"/>
          </w:tcPr>
          <w:p>
            <w:pPr>
              <w:spacing w:after="0"/>
              <w:rPr>
                <w:sz w:val="8"/>
                <w:szCs w:val="8"/>
                <w:color w:val="auto"/>
              </w:rPr>
            </w:pPr>
          </w:p>
        </w:tc>
        <w:tc>
          <w:tcPr>
            <w:tcW w:w="200" w:type="dxa"/>
            <w:vAlign w:val="bottom"/>
            <w:shd w:val="clear" w:color="auto" w:fill="E4E4E4"/>
          </w:tcPr>
          <w:p>
            <w:pPr>
              <w:spacing w:after="0"/>
              <w:rPr>
                <w:sz w:val="8"/>
                <w:szCs w:val="8"/>
                <w:color w:val="auto"/>
              </w:rPr>
            </w:pPr>
          </w:p>
        </w:tc>
        <w:tc>
          <w:tcPr>
            <w:tcW w:w="720" w:type="dxa"/>
            <w:vAlign w:val="bottom"/>
            <w:vMerge w:val="continue"/>
            <w:shd w:val="clear" w:color="auto" w:fill="E4E4E4"/>
          </w:tcPr>
          <w:p>
            <w:pPr>
              <w:spacing w:after="0"/>
              <w:rPr>
                <w:sz w:val="8"/>
                <w:szCs w:val="8"/>
                <w:color w:val="auto"/>
              </w:rPr>
            </w:pPr>
          </w:p>
        </w:tc>
        <w:tc>
          <w:tcPr>
            <w:tcW w:w="4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780" w:type="dxa"/>
            <w:vAlign w:val="bottom"/>
            <w:tcBorders>
              <w:bottom w:val="single" w:sz="8" w:color="E4E4E4"/>
            </w:tcBorders>
            <w:gridSpan w:val="2"/>
            <w:vMerge w:val="continue"/>
            <w:shd w:val="clear" w:color="auto" w:fill="E4E4E4"/>
          </w:tcPr>
          <w:p>
            <w:pPr>
              <w:spacing w:after="0"/>
              <w:rPr>
                <w:sz w:val="10"/>
                <w:szCs w:val="10"/>
                <w:color w:val="auto"/>
              </w:rPr>
            </w:pPr>
          </w:p>
        </w:tc>
        <w:tc>
          <w:tcPr>
            <w:tcW w:w="102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shd w:val="clear" w:color="auto" w:fill="E4E4E4"/>
          </w:tcPr>
          <w:p>
            <w:pPr>
              <w:spacing w:after="0"/>
              <w:rPr>
                <w:sz w:val="10"/>
                <w:szCs w:val="10"/>
                <w:color w:val="auto"/>
              </w:rPr>
            </w:pPr>
          </w:p>
        </w:tc>
        <w:tc>
          <w:tcPr>
            <w:tcW w:w="30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76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tcBorders>
            <w:shd w:val="clear" w:color="auto" w:fill="E4E4E4"/>
          </w:tcPr>
          <w:p>
            <w:pPr>
              <w:spacing w:after="0"/>
              <w:rPr>
                <w:sz w:val="10"/>
                <w:szCs w:val="10"/>
                <w:color w:val="auto"/>
              </w:rPr>
            </w:pPr>
          </w:p>
        </w:tc>
        <w:tc>
          <w:tcPr>
            <w:tcW w:w="300" w:type="dxa"/>
            <w:vAlign w:val="bottom"/>
            <w:tcBorders>
              <w:bottom w:val="single" w:sz="8" w:color="E4E4E4"/>
            </w:tcBorders>
            <w:shd w:val="clear" w:color="auto" w:fill="E4E4E4"/>
          </w:tcPr>
          <w:p>
            <w:pPr>
              <w:spacing w:after="0"/>
              <w:rPr>
                <w:sz w:val="10"/>
                <w:szCs w:val="10"/>
                <w:color w:val="auto"/>
              </w:rPr>
            </w:pPr>
          </w:p>
        </w:tc>
        <w:tc>
          <w:tcPr>
            <w:tcW w:w="700" w:type="dxa"/>
            <w:vAlign w:val="bottom"/>
            <w:tcBorders>
              <w:bottom w:val="single" w:sz="8" w:color="E4E4E4"/>
            </w:tcBorders>
            <w:shd w:val="clear" w:color="auto" w:fill="E4E4E4"/>
          </w:tcPr>
          <w:p>
            <w:pPr>
              <w:spacing w:after="0"/>
              <w:rPr>
                <w:sz w:val="10"/>
                <w:szCs w:val="10"/>
                <w:color w:val="auto"/>
              </w:rPr>
            </w:pPr>
          </w:p>
        </w:tc>
        <w:tc>
          <w:tcPr>
            <w:tcW w:w="140" w:type="dxa"/>
            <w:vAlign w:val="bottom"/>
            <w:tcBorders>
              <w:bottom w:val="single" w:sz="8" w:color="E4E4E4"/>
            </w:tcBorders>
            <w:shd w:val="clear" w:color="auto" w:fill="E4E4E4"/>
          </w:tcPr>
          <w:p>
            <w:pPr>
              <w:spacing w:after="0"/>
              <w:rPr>
                <w:sz w:val="10"/>
                <w:szCs w:val="10"/>
                <w:color w:val="auto"/>
              </w:rPr>
            </w:pPr>
          </w:p>
        </w:tc>
        <w:tc>
          <w:tcPr>
            <w:tcW w:w="120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spacing w:after="0"/>
              <w:rPr>
                <w:sz w:val="10"/>
                <w:szCs w:val="10"/>
                <w:color w:val="auto"/>
              </w:rPr>
            </w:pPr>
          </w:p>
        </w:tc>
        <w:tc>
          <w:tcPr>
            <w:tcW w:w="1040" w:type="dxa"/>
            <w:vAlign w:val="bottom"/>
            <w:tcBorders>
              <w:bottom w:val="single" w:sz="8" w:color="E4E4E4"/>
            </w:tcBorders>
            <w:shd w:val="clear" w:color="auto" w:fill="E4E4E4"/>
          </w:tcPr>
          <w:p>
            <w:pPr>
              <w:spacing w:after="0"/>
              <w:rPr>
                <w:sz w:val="10"/>
                <w:szCs w:val="10"/>
                <w:color w:val="auto"/>
              </w:rPr>
            </w:pPr>
          </w:p>
        </w:tc>
        <w:tc>
          <w:tcPr>
            <w:tcW w:w="200" w:type="dxa"/>
            <w:vAlign w:val="bottom"/>
            <w:tcBorders>
              <w:bottom w:val="single" w:sz="8" w:color="E4E4E4"/>
            </w:tcBorders>
            <w:shd w:val="clear" w:color="auto" w:fill="E4E4E4"/>
          </w:tcPr>
          <w:p>
            <w:pPr>
              <w:spacing w:after="0"/>
              <w:rPr>
                <w:sz w:val="10"/>
                <w:szCs w:val="10"/>
                <w:color w:val="auto"/>
              </w:rPr>
            </w:pPr>
          </w:p>
        </w:tc>
        <w:tc>
          <w:tcPr>
            <w:tcW w:w="72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Benefit plans – net of taxes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Changes in equity attributable to</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Borders>
              <w:bottom w:val="single" w:sz="8" w:color="auto"/>
            </w:tcBorders>
            <w:gridSpan w:val="2"/>
            <w:shd w:val="clear" w:color="auto" w:fill="E4E4E4"/>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4E4E4"/>
          </w:tcPr>
          <w:p>
            <w:pPr>
              <w:spacing w:after="0"/>
              <w:rPr>
                <w:sz w:val="20"/>
                <w:szCs w:val="20"/>
                <w:color w:val="auto"/>
              </w:rPr>
            </w:pPr>
          </w:p>
        </w:tc>
        <w:tc>
          <w:tcPr>
            <w:tcW w:w="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0"/>
                <w:szCs w:val="20"/>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auto"/>
            </w:tcBorders>
            <w:shd w:val="clear" w:color="auto" w:fill="E4E4E4"/>
          </w:tcPr>
          <w:p>
            <w:pPr>
              <w:spacing w:after="0"/>
              <w:rPr>
                <w:sz w:val="20"/>
                <w:szCs w:val="20"/>
                <w:color w:val="auto"/>
              </w:rPr>
            </w:pPr>
          </w:p>
        </w:tc>
        <w:tc>
          <w:tcPr>
            <w:tcW w:w="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E4E4E4"/>
          </w:tcPr>
          <w:p>
            <w:pPr>
              <w:spacing w:after="0"/>
              <w:rPr>
                <w:sz w:val="20"/>
                <w:szCs w:val="20"/>
                <w:color w:val="auto"/>
              </w:rPr>
            </w:pPr>
          </w:p>
        </w:tc>
        <w:tc>
          <w:tcPr>
            <w:tcW w:w="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0"/>
                <w:szCs w:val="20"/>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0"/>
                <w:szCs w:val="20"/>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4E4E4"/>
          </w:tcPr>
          <w:p>
            <w:pPr>
              <w:spacing w:after="0"/>
              <w:rPr>
                <w:sz w:val="20"/>
                <w:szCs w:val="20"/>
                <w:color w:val="auto"/>
              </w:rPr>
            </w:pPr>
          </w:p>
        </w:tc>
        <w:tc>
          <w:tcPr>
            <w:tcW w:w="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auto"/>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as of June 30, 2023</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455</w:t>
            </w:r>
          </w:p>
        </w:tc>
        <w:tc>
          <w:tcPr>
            <w:tcW w:w="6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6,451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576</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7,114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300" w:type="dxa"/>
            <w:vAlign w:val="bottom"/>
            <w:tcBorders>
              <w:bottom w:val="single" w:sz="8" w:color="454545"/>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39"/>
              <w:spacing w:after="0" w:line="171" w:lineRule="exact"/>
              <w:rPr>
                <w:sz w:val="20"/>
                <w:szCs w:val="20"/>
                <w:color w:val="auto"/>
              </w:rPr>
            </w:pPr>
            <w:r>
              <w:rPr>
                <w:rFonts w:ascii="Arial" w:cs="Arial" w:eastAsia="Arial" w:hAnsi="Arial"/>
                <w:sz w:val="16"/>
                <w:szCs w:val="16"/>
                <w:b w:val="1"/>
                <w:bCs w:val="1"/>
                <w:color w:val="454545"/>
                <w:w w:val="99"/>
              </w:rPr>
              <w:t>Accumulated</w:t>
            </w:r>
          </w:p>
        </w:tc>
        <w:tc>
          <w:tcPr>
            <w:tcW w:w="220" w:type="dxa"/>
            <w:vAlign w:val="bottom"/>
          </w:tcPr>
          <w:p>
            <w:pPr>
              <w:spacing w:after="0"/>
              <w:rPr>
                <w:sz w:val="14"/>
                <w:szCs w:val="14"/>
                <w:color w:val="auto"/>
              </w:rPr>
            </w:pPr>
          </w:p>
        </w:tc>
        <w:tc>
          <w:tcPr>
            <w:tcW w:w="10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w w:val="98"/>
              </w:rPr>
              <w:t>Equity</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Common</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2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shares</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Par value</w:t>
            </w:r>
          </w:p>
        </w:tc>
        <w:tc>
          <w:tcPr>
            <w:tcW w:w="180" w:type="dxa"/>
            <w:vAlign w:val="bottom"/>
          </w:tcPr>
          <w:p>
            <w:pPr>
              <w:spacing w:after="0"/>
              <w:rPr>
                <w:sz w:val="15"/>
                <w:szCs w:val="15"/>
                <w:color w:val="auto"/>
              </w:rPr>
            </w:pPr>
          </w:p>
        </w:tc>
        <w:tc>
          <w:tcPr>
            <w:tcW w:w="7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paid-in</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b w:val="1"/>
                <w:bCs w:val="1"/>
                <w:color w:val="454545"/>
              </w:rPr>
              <w:t>Retained</w:t>
            </w:r>
          </w:p>
        </w:tc>
        <w:tc>
          <w:tcPr>
            <w:tcW w:w="100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454545"/>
              </w:rPr>
              <w:t>Net parent</w:t>
            </w:r>
          </w:p>
        </w:tc>
        <w:tc>
          <w:tcPr>
            <w:tcW w:w="13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income (loss) –</w:t>
            </w:r>
          </w:p>
        </w:tc>
        <w:tc>
          <w:tcPr>
            <w:tcW w:w="12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noncontrolling</w:t>
            </w:r>
          </w:p>
        </w:tc>
        <w:tc>
          <w:tcPr>
            <w:tcW w:w="200" w:type="dxa"/>
            <w:vAlign w:val="bottom"/>
          </w:tcPr>
          <w:p>
            <w:pPr>
              <w:spacing w:after="0"/>
              <w:rPr>
                <w:sz w:val="15"/>
                <w:szCs w:val="15"/>
                <w:color w:val="auto"/>
              </w:rPr>
            </w:pPr>
          </w:p>
        </w:tc>
        <w:tc>
          <w:tcPr>
            <w:tcW w:w="7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60" w:type="dxa"/>
            <w:vAlign w:val="bottom"/>
            <w:vMerge w:val="continue"/>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454545"/>
              </w:rPr>
              <w:t>outstanding</w:t>
            </w: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454545"/>
              </w:rPr>
              <w:t>capital</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454545"/>
                <w:w w:val="98"/>
              </w:rPr>
              <w:t>earnings</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investment</w:t>
            </w:r>
          </w:p>
        </w:tc>
        <w:tc>
          <w:tcPr>
            <w:tcW w:w="140" w:type="dxa"/>
            <w:vAlign w:val="bottom"/>
          </w:tcPr>
          <w:p>
            <w:pPr>
              <w:spacing w:after="0"/>
              <w:rPr>
                <w:sz w:val="19"/>
                <w:szCs w:val="19"/>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220" w:type="dxa"/>
            <w:vAlign w:val="bottom"/>
          </w:tcPr>
          <w:p>
            <w:pPr>
              <w:spacing w:after="0"/>
              <w:rPr>
                <w:sz w:val="19"/>
                <w:szCs w:val="19"/>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interests</w:t>
            </w:r>
          </w:p>
        </w:tc>
        <w:tc>
          <w:tcPr>
            <w:tcW w:w="20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gridSpan w:val="2"/>
          </w:tcPr>
          <w:p>
            <w:pPr>
              <w:spacing w:after="0" w:line="20" w:lineRule="exact"/>
              <w:rPr>
                <w:sz w:val="1"/>
                <w:szCs w:val="1"/>
                <w:color w:val="auto"/>
              </w:rPr>
            </w:pPr>
          </w:p>
        </w:tc>
        <w:tc>
          <w:tcPr>
            <w:tcW w:w="480" w:type="dxa"/>
            <w:vAlign w:val="bottom"/>
            <w:tcBorders>
              <w:bottom w:val="single" w:sz="8" w:color="6022A6"/>
            </w:tcBorders>
            <w:gridSpan w:val="2"/>
          </w:tcPr>
          <w:p>
            <w:pPr>
              <w:spacing w:after="0" w:line="20" w:lineRule="exact"/>
              <w:rPr>
                <w:sz w:val="1"/>
                <w:szCs w:val="1"/>
                <w:color w:val="auto"/>
              </w:rPr>
            </w:pPr>
          </w:p>
        </w:tc>
        <w:tc>
          <w:tcPr>
            <w:tcW w:w="940" w:type="dxa"/>
            <w:vAlign w:val="bottom"/>
            <w:tcBorders>
              <w:bottom w:val="single" w:sz="8" w:color="6022A6"/>
            </w:tcBorders>
            <w:gridSpan w:val="2"/>
          </w:tcPr>
          <w:p>
            <w:pPr>
              <w:spacing w:after="0" w:line="20" w:lineRule="exact"/>
              <w:rPr>
                <w:sz w:val="1"/>
                <w:szCs w:val="1"/>
                <w:color w:val="auto"/>
              </w:rPr>
            </w:pPr>
          </w:p>
        </w:tc>
        <w:tc>
          <w:tcPr>
            <w:tcW w:w="1080" w:type="dxa"/>
            <w:vAlign w:val="bottom"/>
            <w:tcBorders>
              <w:bottom w:val="single" w:sz="8" w:color="6022A6"/>
            </w:tcBorders>
            <w:gridSpan w:val="2"/>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March 31, 2022</w:t>
            </w:r>
          </w:p>
        </w:tc>
        <w:tc>
          <w:tcPr>
            <w:tcW w:w="1640" w:type="dxa"/>
            <w:vAlign w:val="bottom"/>
            <w:gridSpan w:val="2"/>
            <w:shd w:val="clear" w:color="auto" w:fill="E4E4E4"/>
          </w:tcPr>
          <w:p>
            <w:pPr>
              <w:jc w:val="right"/>
              <w:ind w:right="419"/>
              <w:spacing w:after="0"/>
              <w:rPr>
                <w:sz w:val="20"/>
                <w:szCs w:val="20"/>
                <w:color w:val="auto"/>
              </w:rPr>
            </w:pPr>
            <w:r>
              <w:rPr>
                <w:rFonts w:ascii="Arial" w:cs="Arial" w:eastAsia="Arial" w:hAnsi="Arial"/>
                <w:sz w:val="16"/>
                <w:szCs w:val="16"/>
                <w:b w:val="1"/>
                <w:bCs w:val="1"/>
                <w:color w:val="auto"/>
              </w:rPr>
              <w:t>— $</w:t>
            </w:r>
          </w:p>
        </w:tc>
        <w:tc>
          <w:tcPr>
            <w:tcW w:w="48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94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1080" w:type="dxa"/>
            <w:vAlign w:val="bottom"/>
            <w:gridSpan w:val="2"/>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 $</w:t>
            </w: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17,728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(1,171)</w:t>
            </w:r>
          </w:p>
        </w:tc>
        <w:tc>
          <w:tcPr>
            <w:tcW w:w="22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16,578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20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104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180"/>
          </w:cols>
          <w:pgMar w:left="360" w:top="1188" w:right="359" w:bottom="1440" w:gutter="0" w:footer="0" w:header="0"/>
          <w:type w:val="continuous"/>
        </w:sectPr>
      </w:pPr>
    </w:p>
    <w:p>
      <w:pPr>
        <w:ind w:left="40" w:right="700"/>
        <w:spacing w:after="0" w:line="293" w:lineRule="auto"/>
        <w:rPr>
          <w:sz w:val="20"/>
          <w:szCs w:val="20"/>
          <w:color w:val="auto"/>
        </w:rPr>
      </w:pPr>
      <w:r>
        <w:rPr>
          <w:rFonts w:ascii="Arial" w:cs="Arial" w:eastAsia="Arial" w:hAnsi="Arial"/>
          <w:sz w:val="16"/>
          <w:szCs w:val="16"/>
          <w:color w:val="auto"/>
        </w:rPr>
        <w:t>Net income attributable to GE HealthCare</w:t>
      </w:r>
    </w:p>
    <w:p>
      <w:pPr>
        <w:spacing w:after="0" w:line="10" w:lineRule="exact"/>
        <w:rPr>
          <w:sz w:val="20"/>
          <w:szCs w:val="20"/>
          <w:color w:val="auto"/>
        </w:rPr>
      </w:pPr>
    </w:p>
    <w:p>
      <w:pPr>
        <w:ind w:left="40" w:right="320"/>
        <w:spacing w:after="0" w:line="293" w:lineRule="auto"/>
        <w:rPr>
          <w:sz w:val="20"/>
          <w:szCs w:val="20"/>
          <w:color w:val="auto"/>
        </w:rPr>
      </w:pPr>
      <w:r>
        <w:rPr>
          <w:rFonts w:ascii="Arial" w:cs="Arial" w:eastAsia="Arial" w:hAnsi="Arial"/>
          <w:sz w:val="16"/>
          <w:szCs w:val="16"/>
          <w:color w:val="auto"/>
        </w:rPr>
        <w:t>Currency translation adjustments – net of taxes</w:t>
      </w:r>
    </w:p>
    <w:p>
      <w:pPr>
        <w:spacing w:after="0" w:line="10" w:lineRule="exact"/>
        <w:rPr>
          <w:sz w:val="20"/>
          <w:szCs w:val="20"/>
          <w:color w:val="auto"/>
        </w:rPr>
      </w:pPr>
    </w:p>
    <w:p>
      <w:pPr>
        <w:ind w:left="40" w:right="520"/>
        <w:spacing w:after="0" w:line="334" w:lineRule="auto"/>
        <w:rPr>
          <w:sz w:val="20"/>
          <w:szCs w:val="20"/>
          <w:color w:val="auto"/>
        </w:rPr>
      </w:pPr>
      <w:r>
        <w:rPr>
          <w:rFonts w:ascii="Arial" w:cs="Arial" w:eastAsia="Arial" w:hAnsi="Arial"/>
          <w:sz w:val="16"/>
          <w:szCs w:val="16"/>
          <w:color w:val="auto"/>
        </w:rPr>
        <w:t>Benefit plans – net of taxes Cash flow hedges – net of taxes Transfers (to) from GE</w:t>
      </w:r>
    </w:p>
    <w:p>
      <w:pPr>
        <w:spacing w:after="0" w:line="1" w:lineRule="exact"/>
        <w:rPr>
          <w:sz w:val="20"/>
          <w:szCs w:val="20"/>
          <w:color w:val="auto"/>
        </w:rPr>
      </w:pPr>
    </w:p>
    <w:p>
      <w:pPr>
        <w:ind w:left="40" w:right="500"/>
        <w:spacing w:after="0" w:line="293" w:lineRule="auto"/>
        <w:rPr>
          <w:sz w:val="20"/>
          <w:szCs w:val="20"/>
          <w:color w:val="auto"/>
        </w:rPr>
      </w:pPr>
      <w:r>
        <w:rPr>
          <w:rFonts w:ascii="Arial" w:cs="Arial" w:eastAsia="Arial" w:hAnsi="Arial"/>
          <w:sz w:val="16"/>
          <w:szCs w:val="16"/>
          <w:color w:val="auto"/>
        </w:rPr>
        <w:t>Changes in equity attributable to noncontrolling interests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485</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459"/>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(472)</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3</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6"/>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(9)</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467</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351"/>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-981075</wp:posOffset>
            </wp:positionV>
            <wp:extent cx="706374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29146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-527050</wp:posOffset>
            </wp:positionV>
            <wp:extent cx="706374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16319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-201295</wp:posOffset>
            </wp:positionV>
            <wp:extent cx="706374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3003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860" w:space="720"/>
            <w:col w:w="7600"/>
          </w:cols>
          <w:pgMar w:left="360" w:top="1188" w:right="359" w:bottom="1440" w:gutter="0" w:footer="0" w:header="0"/>
          <w:type w:val="continuous"/>
        </w:sectPr>
      </w:pPr>
    </w:p>
    <w:p>
      <w:pPr>
        <w:ind w:left="40"/>
        <w:spacing w:after="0"/>
        <w:tabs>
          <w:tab w:leader="none" w:pos="3560" w:val="left"/>
          <w:tab w:leader="none" w:pos="4460" w:val="left"/>
          <w:tab w:leader="none" w:pos="5460" w:val="left"/>
          <w:tab w:leader="none" w:pos="6420" w:val="left"/>
          <w:tab w:leader="none" w:pos="7060" w:val="left"/>
          <w:tab w:leader="none" w:pos="8400" w:val="left"/>
          <w:tab w:leader="none" w:pos="9960" w:val="left"/>
          <w:tab w:leader="none" w:pos="10560" w:val="left"/>
        </w:tabs>
        <w:rPr>
          <w:sz w:val="20"/>
          <w:szCs w:val="20"/>
          <w:color w:val="auto"/>
        </w:rPr>
      </w:pPr>
      <w:r>
        <w:rPr>
          <w:rFonts w:ascii="Arial" w:cs="Arial" w:eastAsia="Arial" w:hAnsi="Arial"/>
          <w:sz w:val="16"/>
          <w:szCs w:val="16"/>
          <w:b w:val="1"/>
          <w:bCs w:val="1"/>
          <w:color w:val="auto"/>
        </w:rPr>
        <w:t>Balances as of June 30, 2022</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18,680 $</w:t>
      </w:r>
      <w:r>
        <w:rPr>
          <w:sz w:val="20"/>
          <w:szCs w:val="20"/>
          <w:color w:val="auto"/>
        </w:rPr>
        <w:tab/>
      </w:r>
      <w:r>
        <w:rPr>
          <w:rFonts w:ascii="Arial" w:cs="Arial" w:eastAsia="Arial" w:hAnsi="Arial"/>
          <w:sz w:val="16"/>
          <w:szCs w:val="16"/>
          <w:b w:val="1"/>
          <w:bCs w:val="1"/>
          <w:color w:val="auto"/>
        </w:rPr>
        <w:t>(1,649) $</w:t>
      </w:r>
      <w:r>
        <w:rPr>
          <w:sz w:val="20"/>
          <w:szCs w:val="20"/>
          <w:color w:val="auto"/>
        </w:rPr>
        <w:tab/>
      </w:r>
      <w:r>
        <w:rPr>
          <w:rFonts w:ascii="Arial" w:cs="Arial" w:eastAsia="Arial" w:hAnsi="Arial"/>
          <w:sz w:val="16"/>
          <w:szCs w:val="16"/>
          <w:b w:val="1"/>
          <w:bCs w:val="1"/>
          <w:color w:val="auto"/>
        </w:rPr>
        <w:t>23 $</w:t>
        <w:tab/>
        <w:t>17,054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7063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88" w:right="3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1660" w:type="dxa"/>
            <w:vAlign w:val="bottom"/>
            <w:tcBorders>
              <w:bottom w:val="single" w:sz="8" w:color="454545"/>
            </w:tcBorders>
          </w:tcPr>
          <w:p>
            <w:pPr>
              <w:jc w:val="center"/>
              <w:ind w:left="259"/>
              <w:spacing w:after="0"/>
              <w:rPr>
                <w:sz w:val="20"/>
                <w:szCs w:val="20"/>
                <w:color w:val="auto"/>
              </w:rPr>
            </w:pPr>
            <w:r>
              <w:rPr>
                <w:rFonts w:ascii="Arial" w:cs="Arial" w:eastAsia="Arial" w:hAnsi="Arial"/>
                <w:sz w:val="16"/>
                <w:szCs w:val="16"/>
                <w:b w:val="1"/>
                <w:bCs w:val="1"/>
                <w:color w:val="454545"/>
              </w:rPr>
              <w:t>Common stock</w:t>
            </w:r>
          </w:p>
        </w:tc>
        <w:tc>
          <w:tcPr>
            <w:tcW w:w="320" w:type="dxa"/>
            <w:vAlign w:val="bottom"/>
            <w:tcBorders>
              <w:bottom w:val="single" w:sz="8" w:color="454545"/>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39"/>
              <w:spacing w:after="0" w:line="171" w:lineRule="exact"/>
              <w:rPr>
                <w:sz w:val="20"/>
                <w:szCs w:val="20"/>
                <w:color w:val="auto"/>
              </w:rPr>
            </w:pPr>
            <w:r>
              <w:rPr>
                <w:rFonts w:ascii="Arial" w:cs="Arial" w:eastAsia="Arial" w:hAnsi="Arial"/>
                <w:sz w:val="16"/>
                <w:szCs w:val="16"/>
                <w:b w:val="1"/>
                <w:bCs w:val="1"/>
                <w:color w:val="454545"/>
              </w:rPr>
              <w:t>Accumulated</w:t>
            </w:r>
          </w:p>
        </w:tc>
        <w:tc>
          <w:tcPr>
            <w:tcW w:w="220" w:type="dxa"/>
            <w:vAlign w:val="bottom"/>
          </w:tcPr>
          <w:p>
            <w:pPr>
              <w:spacing w:after="0"/>
              <w:rPr>
                <w:sz w:val="14"/>
                <w:szCs w:val="14"/>
                <w:color w:val="auto"/>
              </w:rPr>
            </w:pPr>
          </w:p>
        </w:tc>
        <w:tc>
          <w:tcPr>
            <w:tcW w:w="10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rPr>
              <w:t>Equity</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454545"/>
              </w:rPr>
              <w:t>other</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660" w:type="dxa"/>
            <w:vAlign w:val="bottom"/>
          </w:tcPr>
          <w:p>
            <w:pPr>
              <w:jc w:val="center"/>
              <w:ind w:right="479"/>
              <w:spacing w:after="0" w:line="175" w:lineRule="exact"/>
              <w:rPr>
                <w:sz w:val="20"/>
                <w:szCs w:val="20"/>
                <w:color w:val="auto"/>
              </w:rPr>
            </w:pPr>
            <w:r>
              <w:rPr>
                <w:rFonts w:ascii="Arial" w:cs="Arial" w:eastAsia="Arial" w:hAnsi="Arial"/>
                <w:sz w:val="16"/>
                <w:szCs w:val="16"/>
                <w:b w:val="1"/>
                <w:bCs w:val="1"/>
                <w:color w:val="454545"/>
              </w:rPr>
              <w:t>Common</w:t>
            </w:r>
          </w:p>
        </w:tc>
        <w:tc>
          <w:tcPr>
            <w:tcW w:w="320" w:type="dxa"/>
            <w:vAlign w:val="bottom"/>
          </w:tcPr>
          <w:p>
            <w:pPr>
              <w:spacing w:after="0"/>
              <w:rPr>
                <w:sz w:val="15"/>
                <w:szCs w:val="15"/>
                <w:color w:val="auto"/>
              </w:rPr>
            </w:pPr>
          </w:p>
        </w:tc>
        <w:tc>
          <w:tcPr>
            <w:tcW w:w="1100" w:type="dxa"/>
            <w:vAlign w:val="bottom"/>
            <w:gridSpan w:val="2"/>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Additional</w:t>
            </w:r>
          </w:p>
        </w:tc>
        <w:tc>
          <w:tcPr>
            <w:tcW w:w="780" w:type="dxa"/>
            <w:vAlign w:val="bottom"/>
            <w:vMerge w:val="restart"/>
          </w:tcPr>
          <w:p>
            <w:pPr>
              <w:spacing w:after="0"/>
              <w:rPr>
                <w:sz w:val="20"/>
                <w:szCs w:val="20"/>
                <w:color w:val="auto"/>
              </w:rPr>
            </w:pPr>
            <w:r>
              <w:rPr>
                <w:rFonts w:ascii="Arial" w:cs="Arial" w:eastAsia="Arial" w:hAnsi="Arial"/>
                <w:sz w:val="16"/>
                <w:szCs w:val="16"/>
                <w:b w:val="1"/>
                <w:bCs w:val="1"/>
                <w:color w:val="454545"/>
              </w:rPr>
              <w:t>Retained</w:t>
            </w:r>
          </w:p>
        </w:tc>
        <w:tc>
          <w:tcPr>
            <w:tcW w:w="10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Net parent</w:t>
            </w:r>
          </w:p>
        </w:tc>
        <w:tc>
          <w:tcPr>
            <w:tcW w:w="13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200" w:type="dxa"/>
            <w:vAlign w:val="bottom"/>
          </w:tcPr>
          <w:p>
            <w:pPr>
              <w:spacing w:after="0"/>
              <w:rPr>
                <w:sz w:val="15"/>
                <w:szCs w:val="15"/>
                <w:color w:val="auto"/>
              </w:rPr>
            </w:pPr>
          </w:p>
        </w:tc>
        <w:tc>
          <w:tcPr>
            <w:tcW w:w="7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660" w:type="dxa"/>
            <w:vAlign w:val="bottom"/>
          </w:tcPr>
          <w:p>
            <w:pPr>
              <w:jc w:val="center"/>
              <w:ind w:right="499"/>
              <w:spacing w:after="0"/>
              <w:rPr>
                <w:sz w:val="20"/>
                <w:szCs w:val="20"/>
                <w:color w:val="auto"/>
              </w:rPr>
            </w:pPr>
            <w:r>
              <w:rPr>
                <w:rFonts w:ascii="Arial" w:cs="Arial" w:eastAsia="Arial" w:hAnsi="Arial"/>
                <w:sz w:val="16"/>
                <w:szCs w:val="16"/>
                <w:b w:val="1"/>
                <w:bCs w:val="1"/>
                <w:color w:val="454545"/>
              </w:rPr>
              <w:t>shares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paid-in</w:t>
            </w:r>
          </w:p>
        </w:tc>
        <w:tc>
          <w:tcPr>
            <w:tcW w:w="7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income (loss) –</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noncontrolling</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140" w:type="dxa"/>
            <w:vAlign w:val="bottom"/>
            <w:tcBorders>
              <w:bottom w:val="single" w:sz="8" w:color="6022A6"/>
            </w:tcBorders>
            <w:gridSpan w:val="3"/>
          </w:tcPr>
          <w:p>
            <w:pPr>
              <w:jc w:val="center"/>
              <w:ind w:right="79"/>
              <w:spacing w:after="0"/>
              <w:rPr>
                <w:sz w:val="20"/>
                <w:szCs w:val="20"/>
                <w:color w:val="auto"/>
              </w:rPr>
            </w:pPr>
            <w:r>
              <w:rPr>
                <w:rFonts w:ascii="Arial" w:cs="Arial" w:eastAsia="Arial" w:hAnsi="Arial"/>
                <w:sz w:val="16"/>
                <w:szCs w:val="16"/>
                <w:b w:val="1"/>
                <w:bCs w:val="1"/>
                <w:color w:val="454545"/>
              </w:rPr>
              <w:t>outstanding  Par value</w:t>
            </w:r>
          </w:p>
        </w:tc>
        <w:tc>
          <w:tcPr>
            <w:tcW w:w="940" w:type="dxa"/>
            <w:vAlign w:val="bottom"/>
            <w:tcBorders>
              <w:bottom w:val="single" w:sz="8" w:color="6022A6"/>
            </w:tcBorders>
          </w:tcPr>
          <w:p>
            <w:pPr>
              <w:jc w:val="center"/>
              <w:ind w:right="199"/>
              <w:spacing w:after="0"/>
              <w:rPr>
                <w:sz w:val="20"/>
                <w:szCs w:val="20"/>
                <w:color w:val="auto"/>
              </w:rPr>
            </w:pPr>
            <w:r>
              <w:rPr>
                <w:rFonts w:ascii="Arial" w:cs="Arial" w:eastAsia="Arial" w:hAnsi="Arial"/>
                <w:sz w:val="16"/>
                <w:szCs w:val="16"/>
                <w:b w:val="1"/>
                <w:bCs w:val="1"/>
                <w:color w:val="454545"/>
                <w:w w:val="98"/>
              </w:rPr>
              <w:t>capital</w:t>
            </w:r>
          </w:p>
        </w:tc>
        <w:tc>
          <w:tcPr>
            <w:tcW w:w="780" w:type="dxa"/>
            <w:vAlign w:val="bottom"/>
            <w:tcBorders>
              <w:bottom w:val="single" w:sz="8" w:color="6022A6"/>
            </w:tcBorders>
          </w:tcPr>
          <w:p>
            <w:pPr>
              <w:spacing w:after="0"/>
              <w:rPr>
                <w:sz w:val="20"/>
                <w:szCs w:val="20"/>
                <w:color w:val="auto"/>
              </w:rPr>
            </w:pPr>
            <w:r>
              <w:rPr>
                <w:rFonts w:ascii="Arial" w:cs="Arial" w:eastAsia="Arial" w:hAnsi="Arial"/>
                <w:sz w:val="16"/>
                <w:szCs w:val="16"/>
                <w:b w:val="1"/>
                <w:bCs w:val="1"/>
                <w:color w:val="454545"/>
              </w:rPr>
              <w:t>earnings</w:t>
            </w:r>
          </w:p>
        </w:tc>
        <w:tc>
          <w:tcPr>
            <w:tcW w:w="10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investment</w:t>
            </w:r>
          </w:p>
        </w:tc>
        <w:tc>
          <w:tcPr>
            <w:tcW w:w="140" w:type="dxa"/>
            <w:vAlign w:val="bottom"/>
            <w:tcBorders>
              <w:bottom w:val="single" w:sz="8" w:color="6022A6"/>
            </w:tcBorders>
          </w:tcPr>
          <w:p>
            <w:pPr>
              <w:spacing w:after="0"/>
              <w:rPr>
                <w:sz w:val="20"/>
                <w:szCs w:val="20"/>
                <w:color w:val="auto"/>
              </w:rPr>
            </w:pPr>
          </w:p>
        </w:tc>
        <w:tc>
          <w:tcPr>
            <w:tcW w:w="118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w w:val="99"/>
              </w:rPr>
              <w:t>net</w:t>
            </w:r>
          </w:p>
        </w:tc>
        <w:tc>
          <w:tcPr>
            <w:tcW w:w="220" w:type="dxa"/>
            <w:vAlign w:val="bottom"/>
            <w:tcBorders>
              <w:bottom w:val="single" w:sz="8" w:color="6022A6"/>
            </w:tcBorders>
          </w:tcPr>
          <w:p>
            <w:pPr>
              <w:spacing w:after="0"/>
              <w:rPr>
                <w:sz w:val="20"/>
                <w:szCs w:val="20"/>
                <w:color w:val="auto"/>
              </w:rPr>
            </w:pPr>
          </w:p>
        </w:tc>
        <w:tc>
          <w:tcPr>
            <w:tcW w:w="104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interests</w:t>
            </w:r>
          </w:p>
        </w:tc>
        <w:tc>
          <w:tcPr>
            <w:tcW w:w="200" w:type="dxa"/>
            <w:vAlign w:val="bottom"/>
            <w:tcBorders>
              <w:bottom w:val="single" w:sz="8" w:color="6022A6"/>
            </w:tcBorders>
          </w:tcPr>
          <w:p>
            <w:pPr>
              <w:spacing w:after="0"/>
              <w:rPr>
                <w:sz w:val="20"/>
                <w:szCs w:val="20"/>
                <w:color w:val="auto"/>
              </w:rPr>
            </w:pPr>
          </w:p>
        </w:tc>
        <w:tc>
          <w:tcPr>
            <w:tcW w:w="7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27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2022</w:t>
            </w:r>
          </w:p>
        </w:tc>
        <w:tc>
          <w:tcPr>
            <w:tcW w:w="1660" w:type="dxa"/>
            <w:vAlign w:val="bottom"/>
            <w:shd w:val="clear" w:color="auto" w:fill="E4E4E4"/>
          </w:tcPr>
          <w:p>
            <w:pPr>
              <w:jc w:val="center"/>
              <w:ind w:left="279"/>
              <w:spacing w:after="0"/>
              <w:rPr>
                <w:sz w:val="20"/>
                <w:szCs w:val="20"/>
                <w:color w:val="auto"/>
              </w:rPr>
            </w:pPr>
            <w:r>
              <w:rPr>
                <w:rFonts w:ascii="Arial" w:cs="Arial" w:eastAsia="Arial" w:hAnsi="Arial"/>
                <w:sz w:val="16"/>
                <w:szCs w:val="16"/>
                <w:b w:val="1"/>
                <w:bCs w:val="1"/>
                <w:color w:val="auto"/>
              </w:rPr>
              <w:t>— $</w:t>
            </w:r>
          </w:p>
        </w:tc>
        <w:tc>
          <w:tcPr>
            <w:tcW w:w="480" w:type="dxa"/>
            <w:vAlign w:val="bottom"/>
            <w:gridSpan w:val="2"/>
            <w:shd w:val="clear" w:color="auto" w:fill="E4E4E4"/>
          </w:tcPr>
          <w:p>
            <w:pPr>
              <w:ind w:left="80"/>
              <w:spacing w:after="0"/>
              <w:rPr>
                <w:sz w:val="20"/>
                <w:szCs w:val="20"/>
                <w:color w:val="auto"/>
              </w:rPr>
            </w:pPr>
            <w:r>
              <w:rPr>
                <w:rFonts w:ascii="Arial" w:cs="Arial" w:eastAsia="Arial" w:hAnsi="Arial"/>
                <w:sz w:val="16"/>
                <w:szCs w:val="16"/>
                <w:b w:val="1"/>
                <w:bCs w:val="1"/>
                <w:color w:val="auto"/>
              </w:rPr>
              <w:t>— $</w:t>
            </w:r>
          </w:p>
        </w:tc>
        <w:tc>
          <w:tcPr>
            <w:tcW w:w="940" w:type="dxa"/>
            <w:vAlign w:val="bottom"/>
            <w:shd w:val="clear" w:color="auto" w:fill="E4E4E4"/>
          </w:tcPr>
          <w:p>
            <w:pPr>
              <w:ind w:left="580"/>
              <w:spacing w:after="0"/>
              <w:rPr>
                <w:sz w:val="20"/>
                <w:szCs w:val="20"/>
                <w:color w:val="auto"/>
              </w:rPr>
            </w:pPr>
            <w:r>
              <w:rPr>
                <w:rFonts w:ascii="Arial" w:cs="Arial" w:eastAsia="Arial" w:hAnsi="Arial"/>
                <w:sz w:val="16"/>
                <w:szCs w:val="16"/>
                <w:b w:val="1"/>
                <w:bCs w:val="1"/>
                <w:color w:val="auto"/>
              </w:rPr>
              <w:t>— $</w:t>
            </w:r>
          </w:p>
        </w:tc>
        <w:tc>
          <w:tcPr>
            <w:tcW w:w="1080" w:type="dxa"/>
            <w:vAlign w:val="bottom"/>
            <w:gridSpan w:val="2"/>
            <w:shd w:val="clear" w:color="auto" w:fill="E4E4E4"/>
          </w:tcPr>
          <w:p>
            <w:pPr>
              <w:ind w:left="580"/>
              <w:spacing w:after="0"/>
              <w:rPr>
                <w:sz w:val="20"/>
                <w:szCs w:val="20"/>
                <w:color w:val="auto"/>
              </w:rPr>
            </w:pPr>
            <w:r>
              <w:rPr>
                <w:rFonts w:ascii="Arial" w:cs="Arial" w:eastAsia="Arial" w:hAnsi="Arial"/>
                <w:sz w:val="16"/>
                <w:szCs w:val="16"/>
                <w:b w:val="1"/>
                <w:bCs w:val="1"/>
                <w:color w:val="auto"/>
              </w:rPr>
              <w:t>— $</w:t>
            </w: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11,235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22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1"/>
        </w:trPr>
        <w:tc>
          <w:tcPr>
            <w:tcW w:w="2780" w:type="dxa"/>
            <w:vAlign w:val="bottom"/>
            <w:shd w:val="clear" w:color="auto" w:fill="E4E4E4"/>
          </w:tcPr>
          <w:p>
            <w:pPr>
              <w:spacing w:after="0" w:line="20" w:lineRule="exact"/>
              <w:rPr>
                <w:sz w:val="1"/>
                <w:szCs w:val="1"/>
                <w:color w:val="auto"/>
              </w:rPr>
            </w:pPr>
          </w:p>
        </w:tc>
        <w:tc>
          <w:tcPr>
            <w:tcW w:w="1660" w:type="dxa"/>
            <w:vAlign w:val="bottom"/>
            <w:shd w:val="clear" w:color="auto" w:fill="E4E4E4"/>
          </w:tcPr>
          <w:p>
            <w:pPr>
              <w:spacing w:after="0" w:line="20" w:lineRule="exact"/>
              <w:rPr>
                <w:sz w:val="1"/>
                <w:szCs w:val="1"/>
                <w:color w:val="auto"/>
              </w:rPr>
            </w:pPr>
          </w:p>
        </w:tc>
        <w:tc>
          <w:tcPr>
            <w:tcW w:w="32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94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8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104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76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1180"/>
          </w:cols>
          <w:pgMar w:left="360" w:top="1134" w:right="359" w:bottom="1440" w:gutter="0" w:footer="0" w:header="0"/>
        </w:sectPr>
      </w:pPr>
    </w:p>
    <w:p>
      <w:pPr>
        <w:ind w:left="20" w:right="220"/>
        <w:spacing w:after="0" w:line="272" w:lineRule="auto"/>
        <w:rPr>
          <w:sz w:val="20"/>
          <w:szCs w:val="20"/>
          <w:color w:val="auto"/>
        </w:rPr>
      </w:pPr>
      <w:r>
        <w:rPr>
          <w:rFonts w:ascii="Arial" w:cs="Arial" w:eastAsia="Arial" w:hAnsi="Arial"/>
          <w:sz w:val="16"/>
          <w:szCs w:val="16"/>
          <w:color w:val="auto"/>
        </w:rPr>
        <w:t>Net transfers from Parent, including Spin-Off-related adjustments</w:t>
      </w:r>
    </w:p>
    <w:p>
      <w:pPr>
        <w:spacing w:after="0" w:line="1" w:lineRule="exact"/>
        <w:rPr>
          <w:sz w:val="20"/>
          <w:szCs w:val="20"/>
          <w:color w:val="auto"/>
        </w:rPr>
      </w:pPr>
    </w:p>
    <w:p>
      <w:pPr>
        <w:ind w:left="20" w:right="420"/>
        <w:spacing w:after="0" w:line="24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00" w:type="dxa"/>
            <w:vAlign w:val="bottom"/>
          </w:tcPr>
          <w:p>
            <w:pPr>
              <w:ind w:lef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(4,842)</w:t>
            </w: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2,000</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740" w:type="dxa"/>
            <w:vAlign w:val="bottom"/>
          </w:tcPr>
          <w:p>
            <w:pPr>
              <w:jc w:val="right"/>
              <w:spacing w:after="0"/>
              <w:rPr>
                <w:sz w:val="20"/>
                <w:szCs w:val="20"/>
                <w:color w:val="auto"/>
              </w:rPr>
            </w:pPr>
            <w:r>
              <w:rPr>
                <w:rFonts w:ascii="Arial" w:cs="Arial" w:eastAsia="Arial" w:hAnsi="Arial"/>
                <w:sz w:val="16"/>
                <w:szCs w:val="16"/>
                <w:color w:val="auto"/>
              </w:rPr>
              <w:t>(2,840)</w:t>
            </w:r>
          </w:p>
        </w:tc>
      </w:tr>
      <w:tr>
        <w:trPr>
          <w:trHeight w:val="594"/>
        </w:trPr>
        <w:tc>
          <w:tcPr>
            <w:tcW w:w="660" w:type="dxa"/>
            <w:vAlign w:val="bottom"/>
          </w:tcPr>
          <w:p>
            <w:pPr>
              <w:jc w:val="right"/>
              <w:ind w:right="299"/>
              <w:spacing w:after="0"/>
              <w:rPr>
                <w:sz w:val="20"/>
                <w:szCs w:val="20"/>
                <w:color w:val="auto"/>
              </w:rPr>
            </w:pPr>
            <w:r>
              <w:rPr>
                <w:rFonts w:ascii="Arial" w:cs="Arial" w:eastAsia="Arial" w:hAnsi="Arial"/>
                <w:sz w:val="16"/>
                <w:szCs w:val="16"/>
                <w:color w:val="auto"/>
                <w:w w:val="97"/>
              </w:rPr>
              <w:t>454</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6,388</w:t>
            </w:r>
          </w:p>
        </w:tc>
        <w:tc>
          <w:tcPr>
            <w:tcW w:w="800" w:type="dxa"/>
            <w:vAlign w:val="bottom"/>
          </w:tcPr>
          <w:p>
            <w:pPr>
              <w:ind w:lef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(6,393)</w:t>
            </w: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-304165</wp:posOffset>
            </wp:positionV>
            <wp:extent cx="709803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49720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2780" w:space="720"/>
            <w:col w:w="7680"/>
          </w:cols>
          <w:pgMar w:left="360" w:top="1134" w:right="35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in</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connection with employee stock plans</w:t>
            </w:r>
          </w:p>
        </w:tc>
        <w:tc>
          <w:tcPr>
            <w:tcW w:w="10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780" w:type="dxa"/>
            <w:vAlign w:val="bottom"/>
            <w:gridSpan w:val="2"/>
            <w:shd w:val="clear" w:color="auto" w:fill="E4E4E4"/>
          </w:tcPr>
          <w:p>
            <w:pPr>
              <w:ind w:left="20"/>
              <w:spacing w:after="0"/>
              <w:rPr>
                <w:sz w:val="20"/>
                <w:szCs w:val="20"/>
                <w:color w:val="auto"/>
              </w:rPr>
            </w:pPr>
            <w:r>
              <w:rPr>
                <w:rFonts w:ascii="Arial" w:cs="Arial" w:eastAsia="Arial" w:hAnsi="Arial"/>
                <w:sz w:val="16"/>
                <w:szCs w:val="16"/>
                <w:color w:val="auto"/>
              </w:rPr>
              <w:t>Net income attributable to GE</w:t>
            </w: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E4E4E4"/>
          </w:tcPr>
          <w:p>
            <w:pPr>
              <w:spacing w:after="0"/>
              <w:rPr>
                <w:sz w:val="19"/>
                <w:szCs w:val="19"/>
                <w:color w:val="auto"/>
              </w:rPr>
            </w:pPr>
          </w:p>
        </w:tc>
        <w:tc>
          <w:tcPr>
            <w:tcW w:w="3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19"/>
                <w:szCs w:val="19"/>
                <w:color w:val="auto"/>
              </w:rPr>
            </w:pPr>
          </w:p>
        </w:tc>
        <w:tc>
          <w:tcPr>
            <w:tcW w:w="7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19"/>
                <w:szCs w:val="19"/>
                <w:color w:val="auto"/>
              </w:rPr>
            </w:pPr>
          </w:p>
        </w:tc>
        <w:tc>
          <w:tcPr>
            <w:tcW w:w="8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790</w:t>
            </w:r>
          </w:p>
        </w:tc>
        <w:tc>
          <w:tcPr>
            <w:tcW w:w="260" w:type="dxa"/>
            <w:vAlign w:val="bottom"/>
            <w:shd w:val="clear" w:color="auto" w:fill="E4E4E4"/>
          </w:tcPr>
          <w:p>
            <w:pPr>
              <w:spacing w:after="0"/>
              <w:rPr>
                <w:sz w:val="19"/>
                <w:szCs w:val="19"/>
                <w:color w:val="auto"/>
              </w:rPr>
            </w:pPr>
          </w:p>
        </w:tc>
        <w:tc>
          <w:tcPr>
            <w:tcW w:w="680" w:type="dxa"/>
            <w:vAlign w:val="bottom"/>
            <w:vMerge w:val="restart"/>
            <w:shd w:val="clear" w:color="auto" w:fill="E4E4E4"/>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4E4E4"/>
          </w:tcPr>
          <w:p>
            <w:pPr>
              <w:spacing w:after="0"/>
              <w:rPr>
                <w:sz w:val="19"/>
                <w:szCs w:val="19"/>
                <w:color w:val="auto"/>
              </w:rPr>
            </w:pPr>
          </w:p>
        </w:tc>
        <w:tc>
          <w:tcPr>
            <w:tcW w:w="11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4E4E4"/>
          </w:tcPr>
          <w:p>
            <w:pPr>
              <w:spacing w:after="0"/>
              <w:rPr>
                <w:sz w:val="19"/>
                <w:szCs w:val="19"/>
                <w:color w:val="auto"/>
              </w:rPr>
            </w:pPr>
          </w:p>
        </w:tc>
        <w:tc>
          <w:tcPr>
            <w:tcW w:w="7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790</w:t>
            </w:r>
          </w:p>
        </w:tc>
        <w:tc>
          <w:tcPr>
            <w:tcW w:w="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shd w:val="clear" w:color="auto" w:fill="E4E4E4"/>
          </w:tcPr>
          <w:p>
            <w:pPr>
              <w:ind w:left="20"/>
              <w:spacing w:after="0"/>
              <w:rPr>
                <w:sz w:val="20"/>
                <w:szCs w:val="20"/>
                <w:color w:val="auto"/>
              </w:rPr>
            </w:pPr>
            <w:r>
              <w:rPr>
                <w:rFonts w:ascii="Arial" w:cs="Arial" w:eastAsia="Arial" w:hAnsi="Arial"/>
                <w:sz w:val="16"/>
                <w:szCs w:val="16"/>
                <w:color w:val="auto"/>
              </w:rPr>
              <w:t>HealthCare</w:t>
            </w:r>
          </w:p>
        </w:tc>
        <w:tc>
          <w:tcPr>
            <w:tcW w:w="1040" w:type="dxa"/>
            <w:vAlign w:val="bottom"/>
            <w:vMerge w:val="continue"/>
            <w:shd w:val="clear" w:color="auto" w:fill="E4E4E4"/>
          </w:tcPr>
          <w:p>
            <w:pPr>
              <w:spacing w:after="0"/>
              <w:rPr>
                <w:sz w:val="8"/>
                <w:szCs w:val="8"/>
                <w:color w:val="auto"/>
              </w:rPr>
            </w:pPr>
          </w:p>
        </w:tc>
        <w:tc>
          <w:tcPr>
            <w:tcW w:w="600" w:type="dxa"/>
            <w:vAlign w:val="bottom"/>
            <w:shd w:val="clear" w:color="auto" w:fill="E4E4E4"/>
          </w:tcPr>
          <w:p>
            <w:pPr>
              <w:spacing w:after="0"/>
              <w:rPr>
                <w:sz w:val="8"/>
                <w:szCs w:val="8"/>
                <w:color w:val="auto"/>
              </w:rPr>
            </w:pPr>
          </w:p>
        </w:tc>
        <w:tc>
          <w:tcPr>
            <w:tcW w:w="300" w:type="dxa"/>
            <w:vAlign w:val="bottom"/>
            <w:vMerge w:val="continue"/>
            <w:shd w:val="clear" w:color="auto" w:fill="E4E4E4"/>
          </w:tcPr>
          <w:p>
            <w:pPr>
              <w:spacing w:after="0"/>
              <w:rPr>
                <w:sz w:val="8"/>
                <w:szCs w:val="8"/>
                <w:color w:val="auto"/>
              </w:rPr>
            </w:pPr>
          </w:p>
        </w:tc>
        <w:tc>
          <w:tcPr>
            <w:tcW w:w="200" w:type="dxa"/>
            <w:vAlign w:val="bottom"/>
            <w:shd w:val="clear" w:color="auto" w:fill="E4E4E4"/>
          </w:tcPr>
          <w:p>
            <w:pPr>
              <w:spacing w:after="0"/>
              <w:rPr>
                <w:sz w:val="8"/>
                <w:szCs w:val="8"/>
                <w:color w:val="auto"/>
              </w:rPr>
            </w:pPr>
          </w:p>
        </w:tc>
        <w:tc>
          <w:tcPr>
            <w:tcW w:w="780" w:type="dxa"/>
            <w:vAlign w:val="bottom"/>
            <w:vMerge w:val="continue"/>
            <w:shd w:val="clear" w:color="auto" w:fill="E4E4E4"/>
          </w:tcPr>
          <w:p>
            <w:pPr>
              <w:spacing w:after="0"/>
              <w:rPr>
                <w:sz w:val="8"/>
                <w:szCs w:val="8"/>
                <w:color w:val="auto"/>
              </w:rPr>
            </w:pPr>
          </w:p>
        </w:tc>
        <w:tc>
          <w:tcPr>
            <w:tcW w:w="140" w:type="dxa"/>
            <w:vAlign w:val="bottom"/>
            <w:shd w:val="clear" w:color="auto" w:fill="E4E4E4"/>
          </w:tcPr>
          <w:p>
            <w:pPr>
              <w:spacing w:after="0"/>
              <w:rPr>
                <w:sz w:val="8"/>
                <w:szCs w:val="8"/>
                <w:color w:val="auto"/>
              </w:rPr>
            </w:pPr>
          </w:p>
        </w:tc>
        <w:tc>
          <w:tcPr>
            <w:tcW w:w="840" w:type="dxa"/>
            <w:vAlign w:val="bottom"/>
            <w:vMerge w:val="continue"/>
            <w:shd w:val="clear" w:color="auto" w:fill="E4E4E4"/>
          </w:tcPr>
          <w:p>
            <w:pPr>
              <w:spacing w:after="0"/>
              <w:rPr>
                <w:sz w:val="8"/>
                <w:szCs w:val="8"/>
                <w:color w:val="auto"/>
              </w:rPr>
            </w:pPr>
          </w:p>
        </w:tc>
        <w:tc>
          <w:tcPr>
            <w:tcW w:w="260" w:type="dxa"/>
            <w:vAlign w:val="bottom"/>
            <w:shd w:val="clear" w:color="auto" w:fill="E4E4E4"/>
          </w:tcPr>
          <w:p>
            <w:pPr>
              <w:spacing w:after="0"/>
              <w:rPr>
                <w:sz w:val="8"/>
                <w:szCs w:val="8"/>
                <w:color w:val="auto"/>
              </w:rPr>
            </w:pPr>
          </w:p>
        </w:tc>
        <w:tc>
          <w:tcPr>
            <w:tcW w:w="680" w:type="dxa"/>
            <w:vAlign w:val="bottom"/>
            <w:vMerge w:val="continue"/>
            <w:shd w:val="clear" w:color="auto" w:fill="E4E4E4"/>
          </w:tcPr>
          <w:p>
            <w:pPr>
              <w:spacing w:after="0"/>
              <w:rPr>
                <w:sz w:val="8"/>
                <w:szCs w:val="8"/>
                <w:color w:val="auto"/>
              </w:rPr>
            </w:pPr>
          </w:p>
        </w:tc>
        <w:tc>
          <w:tcPr>
            <w:tcW w:w="160" w:type="dxa"/>
            <w:vAlign w:val="bottom"/>
            <w:shd w:val="clear" w:color="auto" w:fill="E4E4E4"/>
          </w:tcPr>
          <w:p>
            <w:pPr>
              <w:spacing w:after="0"/>
              <w:rPr>
                <w:sz w:val="8"/>
                <w:szCs w:val="8"/>
                <w:color w:val="auto"/>
              </w:rPr>
            </w:pPr>
          </w:p>
        </w:tc>
        <w:tc>
          <w:tcPr>
            <w:tcW w:w="1180" w:type="dxa"/>
            <w:vAlign w:val="bottom"/>
            <w:vMerge w:val="continue"/>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1040" w:type="dxa"/>
            <w:vAlign w:val="bottom"/>
            <w:vMerge w:val="continue"/>
            <w:shd w:val="clear" w:color="auto" w:fill="E4E4E4"/>
          </w:tcPr>
          <w:p>
            <w:pPr>
              <w:spacing w:after="0"/>
              <w:rPr>
                <w:sz w:val="8"/>
                <w:szCs w:val="8"/>
                <w:color w:val="auto"/>
              </w:rPr>
            </w:pPr>
          </w:p>
        </w:tc>
        <w:tc>
          <w:tcPr>
            <w:tcW w:w="180" w:type="dxa"/>
            <w:vAlign w:val="bottom"/>
            <w:shd w:val="clear" w:color="auto" w:fill="E4E4E4"/>
          </w:tcPr>
          <w:p>
            <w:pPr>
              <w:spacing w:after="0"/>
              <w:rPr>
                <w:sz w:val="8"/>
                <w:szCs w:val="8"/>
                <w:color w:val="auto"/>
              </w:rPr>
            </w:pPr>
          </w:p>
        </w:tc>
        <w:tc>
          <w:tcPr>
            <w:tcW w:w="740" w:type="dxa"/>
            <w:vAlign w:val="bottom"/>
            <w:vMerge w:val="continue"/>
            <w:shd w:val="clear" w:color="auto" w:fill="E4E4E4"/>
          </w:tcPr>
          <w:p>
            <w:pPr>
              <w:spacing w:after="0"/>
              <w:rPr>
                <w:sz w:val="8"/>
                <w:szCs w:val="8"/>
                <w:color w:val="auto"/>
              </w:rPr>
            </w:pPr>
          </w:p>
        </w:tc>
        <w:tc>
          <w:tcPr>
            <w:tcW w:w="4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780" w:type="dxa"/>
            <w:vAlign w:val="bottom"/>
            <w:tcBorders>
              <w:bottom w:val="single" w:sz="8" w:color="E4E4E4"/>
            </w:tcBorders>
            <w:gridSpan w:val="2"/>
            <w:vMerge w:val="continue"/>
            <w:shd w:val="clear" w:color="auto" w:fill="E4E4E4"/>
          </w:tcPr>
          <w:p>
            <w:pPr>
              <w:spacing w:after="0"/>
              <w:rPr>
                <w:sz w:val="10"/>
                <w:szCs w:val="10"/>
                <w:color w:val="auto"/>
              </w:rPr>
            </w:pPr>
          </w:p>
        </w:tc>
        <w:tc>
          <w:tcPr>
            <w:tcW w:w="104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tcBorders>
            <w:shd w:val="clear" w:color="auto" w:fill="E4E4E4"/>
          </w:tcPr>
          <w:p>
            <w:pPr>
              <w:spacing w:after="0"/>
              <w:rPr>
                <w:sz w:val="10"/>
                <w:szCs w:val="10"/>
                <w:color w:val="auto"/>
              </w:rPr>
            </w:pPr>
          </w:p>
        </w:tc>
        <w:tc>
          <w:tcPr>
            <w:tcW w:w="300" w:type="dxa"/>
            <w:vAlign w:val="bottom"/>
            <w:tcBorders>
              <w:bottom w:val="single" w:sz="8" w:color="E4E4E4"/>
            </w:tcBorders>
            <w:shd w:val="clear" w:color="auto" w:fill="E4E4E4"/>
          </w:tcPr>
          <w:p>
            <w:pPr>
              <w:spacing w:after="0"/>
              <w:rPr>
                <w:sz w:val="10"/>
                <w:szCs w:val="10"/>
                <w:color w:val="auto"/>
              </w:rPr>
            </w:pPr>
          </w:p>
        </w:tc>
        <w:tc>
          <w:tcPr>
            <w:tcW w:w="20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tcBorders>
            <w:shd w:val="clear" w:color="auto" w:fill="E4E4E4"/>
          </w:tcPr>
          <w:p>
            <w:pPr>
              <w:spacing w:after="0"/>
              <w:rPr>
                <w:sz w:val="10"/>
                <w:szCs w:val="10"/>
                <w:color w:val="auto"/>
              </w:rPr>
            </w:pPr>
          </w:p>
        </w:tc>
        <w:tc>
          <w:tcPr>
            <w:tcW w:w="14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shd w:val="clear" w:color="auto" w:fill="E4E4E4"/>
          </w:tcPr>
          <w:p>
            <w:pPr>
              <w:spacing w:after="0"/>
              <w:rPr>
                <w:sz w:val="10"/>
                <w:szCs w:val="10"/>
                <w:color w:val="auto"/>
              </w:rPr>
            </w:pPr>
          </w:p>
        </w:tc>
        <w:tc>
          <w:tcPr>
            <w:tcW w:w="26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shd w:val="clear" w:color="auto" w:fill="E4E4E4"/>
          </w:tcPr>
          <w:p>
            <w:pPr>
              <w:spacing w:after="0"/>
              <w:rPr>
                <w:sz w:val="10"/>
                <w:szCs w:val="10"/>
                <w:color w:val="auto"/>
              </w:rPr>
            </w:pPr>
          </w:p>
        </w:tc>
        <w:tc>
          <w:tcPr>
            <w:tcW w:w="160" w:type="dxa"/>
            <w:vAlign w:val="bottom"/>
            <w:tcBorders>
              <w:bottom w:val="single" w:sz="8" w:color="E4E4E4"/>
            </w:tcBorders>
            <w:shd w:val="clear" w:color="auto" w:fill="E4E4E4"/>
          </w:tcPr>
          <w:p>
            <w:pPr>
              <w:spacing w:after="0"/>
              <w:rPr>
                <w:sz w:val="10"/>
                <w:szCs w:val="10"/>
                <w:color w:val="auto"/>
              </w:rPr>
            </w:pPr>
          </w:p>
        </w:tc>
        <w:tc>
          <w:tcPr>
            <w:tcW w:w="1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spacing w:after="0"/>
              <w:rPr>
                <w:sz w:val="10"/>
                <w:szCs w:val="10"/>
                <w:color w:val="auto"/>
              </w:rPr>
            </w:pPr>
          </w:p>
        </w:tc>
        <w:tc>
          <w:tcPr>
            <w:tcW w:w="10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74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Dividends declared ($0.06 per</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9"/>
                <w:szCs w:val="19"/>
                <w:color w:val="auto"/>
              </w:rPr>
            </w:pP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common share)</w:t>
            </w:r>
          </w:p>
        </w:tc>
        <w:tc>
          <w:tcPr>
            <w:tcW w:w="10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780" w:type="dxa"/>
            <w:vAlign w:val="bottom"/>
            <w:gridSpan w:val="2"/>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w:t>
            </w: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E4E4E4"/>
          </w:tcPr>
          <w:p>
            <w:pPr>
              <w:spacing w:after="0"/>
              <w:rPr>
                <w:sz w:val="19"/>
                <w:szCs w:val="19"/>
                <w:color w:val="auto"/>
              </w:rPr>
            </w:pPr>
          </w:p>
        </w:tc>
        <w:tc>
          <w:tcPr>
            <w:tcW w:w="3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19"/>
                <w:szCs w:val="19"/>
                <w:color w:val="auto"/>
              </w:rPr>
            </w:pPr>
          </w:p>
        </w:tc>
        <w:tc>
          <w:tcPr>
            <w:tcW w:w="7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19"/>
                <w:szCs w:val="19"/>
                <w:color w:val="auto"/>
              </w:rPr>
            </w:pPr>
          </w:p>
        </w:tc>
        <w:tc>
          <w:tcPr>
            <w:tcW w:w="8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19"/>
                <w:szCs w:val="19"/>
                <w:color w:val="auto"/>
              </w:rPr>
            </w:pPr>
          </w:p>
        </w:tc>
        <w:tc>
          <w:tcPr>
            <w:tcW w:w="680" w:type="dxa"/>
            <w:vAlign w:val="bottom"/>
            <w:vMerge w:val="restart"/>
            <w:shd w:val="clear" w:color="auto" w:fill="E4E4E4"/>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4E4E4"/>
          </w:tcPr>
          <w:p>
            <w:pPr>
              <w:spacing w:after="0"/>
              <w:rPr>
                <w:sz w:val="19"/>
                <w:szCs w:val="19"/>
                <w:color w:val="auto"/>
              </w:rPr>
            </w:pPr>
          </w:p>
        </w:tc>
        <w:tc>
          <w:tcPr>
            <w:tcW w:w="11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4E4E4"/>
          </w:tcPr>
          <w:p>
            <w:pPr>
              <w:spacing w:after="0"/>
              <w:rPr>
                <w:sz w:val="19"/>
                <w:szCs w:val="19"/>
                <w:color w:val="auto"/>
              </w:rPr>
            </w:pPr>
          </w:p>
        </w:tc>
        <w:tc>
          <w:tcPr>
            <w:tcW w:w="7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shd w:val="clear" w:color="auto" w:fill="E4E4E4"/>
          </w:tcPr>
          <w:p>
            <w:pPr>
              <w:ind w:left="20"/>
              <w:spacing w:after="0"/>
              <w:rPr>
                <w:sz w:val="20"/>
                <w:szCs w:val="20"/>
                <w:color w:val="auto"/>
              </w:rPr>
            </w:pPr>
            <w:r>
              <w:rPr>
                <w:rFonts w:ascii="Arial" w:cs="Arial" w:eastAsia="Arial" w:hAnsi="Arial"/>
                <w:sz w:val="16"/>
                <w:szCs w:val="16"/>
                <w:color w:val="auto"/>
              </w:rPr>
              <w:t>net of taxes</w:t>
            </w:r>
          </w:p>
        </w:tc>
        <w:tc>
          <w:tcPr>
            <w:tcW w:w="1040" w:type="dxa"/>
            <w:vAlign w:val="bottom"/>
            <w:vMerge w:val="continue"/>
            <w:shd w:val="clear" w:color="auto" w:fill="E4E4E4"/>
          </w:tcPr>
          <w:p>
            <w:pPr>
              <w:spacing w:after="0"/>
              <w:rPr>
                <w:sz w:val="8"/>
                <w:szCs w:val="8"/>
                <w:color w:val="auto"/>
              </w:rPr>
            </w:pPr>
          </w:p>
        </w:tc>
        <w:tc>
          <w:tcPr>
            <w:tcW w:w="600" w:type="dxa"/>
            <w:vAlign w:val="bottom"/>
            <w:shd w:val="clear" w:color="auto" w:fill="E4E4E4"/>
          </w:tcPr>
          <w:p>
            <w:pPr>
              <w:spacing w:after="0"/>
              <w:rPr>
                <w:sz w:val="8"/>
                <w:szCs w:val="8"/>
                <w:color w:val="auto"/>
              </w:rPr>
            </w:pPr>
          </w:p>
        </w:tc>
        <w:tc>
          <w:tcPr>
            <w:tcW w:w="300" w:type="dxa"/>
            <w:vAlign w:val="bottom"/>
            <w:vMerge w:val="continue"/>
            <w:shd w:val="clear" w:color="auto" w:fill="E4E4E4"/>
          </w:tcPr>
          <w:p>
            <w:pPr>
              <w:spacing w:after="0"/>
              <w:rPr>
                <w:sz w:val="8"/>
                <w:szCs w:val="8"/>
                <w:color w:val="auto"/>
              </w:rPr>
            </w:pPr>
          </w:p>
        </w:tc>
        <w:tc>
          <w:tcPr>
            <w:tcW w:w="200" w:type="dxa"/>
            <w:vAlign w:val="bottom"/>
            <w:shd w:val="clear" w:color="auto" w:fill="E4E4E4"/>
          </w:tcPr>
          <w:p>
            <w:pPr>
              <w:spacing w:after="0"/>
              <w:rPr>
                <w:sz w:val="8"/>
                <w:szCs w:val="8"/>
                <w:color w:val="auto"/>
              </w:rPr>
            </w:pPr>
          </w:p>
        </w:tc>
        <w:tc>
          <w:tcPr>
            <w:tcW w:w="780" w:type="dxa"/>
            <w:vAlign w:val="bottom"/>
            <w:vMerge w:val="continue"/>
            <w:shd w:val="clear" w:color="auto" w:fill="E4E4E4"/>
          </w:tcPr>
          <w:p>
            <w:pPr>
              <w:spacing w:after="0"/>
              <w:rPr>
                <w:sz w:val="8"/>
                <w:szCs w:val="8"/>
                <w:color w:val="auto"/>
              </w:rPr>
            </w:pPr>
          </w:p>
        </w:tc>
        <w:tc>
          <w:tcPr>
            <w:tcW w:w="140" w:type="dxa"/>
            <w:vAlign w:val="bottom"/>
            <w:shd w:val="clear" w:color="auto" w:fill="E4E4E4"/>
          </w:tcPr>
          <w:p>
            <w:pPr>
              <w:spacing w:after="0"/>
              <w:rPr>
                <w:sz w:val="8"/>
                <w:szCs w:val="8"/>
                <w:color w:val="auto"/>
              </w:rPr>
            </w:pPr>
          </w:p>
        </w:tc>
        <w:tc>
          <w:tcPr>
            <w:tcW w:w="840" w:type="dxa"/>
            <w:vAlign w:val="bottom"/>
            <w:vMerge w:val="continue"/>
            <w:shd w:val="clear" w:color="auto" w:fill="E4E4E4"/>
          </w:tcPr>
          <w:p>
            <w:pPr>
              <w:spacing w:after="0"/>
              <w:rPr>
                <w:sz w:val="8"/>
                <w:szCs w:val="8"/>
                <w:color w:val="auto"/>
              </w:rPr>
            </w:pPr>
          </w:p>
        </w:tc>
        <w:tc>
          <w:tcPr>
            <w:tcW w:w="260" w:type="dxa"/>
            <w:vAlign w:val="bottom"/>
            <w:shd w:val="clear" w:color="auto" w:fill="E4E4E4"/>
          </w:tcPr>
          <w:p>
            <w:pPr>
              <w:spacing w:after="0"/>
              <w:rPr>
                <w:sz w:val="8"/>
                <w:szCs w:val="8"/>
                <w:color w:val="auto"/>
              </w:rPr>
            </w:pPr>
          </w:p>
        </w:tc>
        <w:tc>
          <w:tcPr>
            <w:tcW w:w="680" w:type="dxa"/>
            <w:vAlign w:val="bottom"/>
            <w:vMerge w:val="continue"/>
            <w:shd w:val="clear" w:color="auto" w:fill="E4E4E4"/>
          </w:tcPr>
          <w:p>
            <w:pPr>
              <w:spacing w:after="0"/>
              <w:rPr>
                <w:sz w:val="8"/>
                <w:szCs w:val="8"/>
                <w:color w:val="auto"/>
              </w:rPr>
            </w:pPr>
          </w:p>
        </w:tc>
        <w:tc>
          <w:tcPr>
            <w:tcW w:w="160" w:type="dxa"/>
            <w:vAlign w:val="bottom"/>
            <w:shd w:val="clear" w:color="auto" w:fill="E4E4E4"/>
          </w:tcPr>
          <w:p>
            <w:pPr>
              <w:spacing w:after="0"/>
              <w:rPr>
                <w:sz w:val="8"/>
                <w:szCs w:val="8"/>
                <w:color w:val="auto"/>
              </w:rPr>
            </w:pPr>
          </w:p>
        </w:tc>
        <w:tc>
          <w:tcPr>
            <w:tcW w:w="1180" w:type="dxa"/>
            <w:vAlign w:val="bottom"/>
            <w:vMerge w:val="continue"/>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1040" w:type="dxa"/>
            <w:vAlign w:val="bottom"/>
            <w:vMerge w:val="continue"/>
            <w:shd w:val="clear" w:color="auto" w:fill="E4E4E4"/>
          </w:tcPr>
          <w:p>
            <w:pPr>
              <w:spacing w:after="0"/>
              <w:rPr>
                <w:sz w:val="8"/>
                <w:szCs w:val="8"/>
                <w:color w:val="auto"/>
              </w:rPr>
            </w:pPr>
          </w:p>
        </w:tc>
        <w:tc>
          <w:tcPr>
            <w:tcW w:w="180" w:type="dxa"/>
            <w:vAlign w:val="bottom"/>
            <w:shd w:val="clear" w:color="auto" w:fill="E4E4E4"/>
          </w:tcPr>
          <w:p>
            <w:pPr>
              <w:spacing w:after="0"/>
              <w:rPr>
                <w:sz w:val="8"/>
                <w:szCs w:val="8"/>
                <w:color w:val="auto"/>
              </w:rPr>
            </w:pPr>
          </w:p>
        </w:tc>
        <w:tc>
          <w:tcPr>
            <w:tcW w:w="740" w:type="dxa"/>
            <w:vAlign w:val="bottom"/>
            <w:vMerge w:val="continue"/>
            <w:shd w:val="clear" w:color="auto" w:fill="E4E4E4"/>
          </w:tcPr>
          <w:p>
            <w:pPr>
              <w:spacing w:after="0"/>
              <w:rPr>
                <w:sz w:val="8"/>
                <w:szCs w:val="8"/>
                <w:color w:val="auto"/>
              </w:rPr>
            </w:pPr>
          </w:p>
        </w:tc>
        <w:tc>
          <w:tcPr>
            <w:tcW w:w="4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780" w:type="dxa"/>
            <w:vAlign w:val="bottom"/>
            <w:tcBorders>
              <w:bottom w:val="single" w:sz="8" w:color="E4E4E4"/>
            </w:tcBorders>
            <w:gridSpan w:val="2"/>
            <w:vMerge w:val="continue"/>
            <w:shd w:val="clear" w:color="auto" w:fill="E4E4E4"/>
          </w:tcPr>
          <w:p>
            <w:pPr>
              <w:spacing w:after="0"/>
              <w:rPr>
                <w:sz w:val="10"/>
                <w:szCs w:val="10"/>
                <w:color w:val="auto"/>
              </w:rPr>
            </w:pPr>
          </w:p>
        </w:tc>
        <w:tc>
          <w:tcPr>
            <w:tcW w:w="104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tcBorders>
            <w:shd w:val="clear" w:color="auto" w:fill="E4E4E4"/>
          </w:tcPr>
          <w:p>
            <w:pPr>
              <w:spacing w:after="0"/>
              <w:rPr>
                <w:sz w:val="10"/>
                <w:szCs w:val="10"/>
                <w:color w:val="auto"/>
              </w:rPr>
            </w:pPr>
          </w:p>
        </w:tc>
        <w:tc>
          <w:tcPr>
            <w:tcW w:w="300" w:type="dxa"/>
            <w:vAlign w:val="bottom"/>
            <w:tcBorders>
              <w:bottom w:val="single" w:sz="8" w:color="E4E4E4"/>
            </w:tcBorders>
            <w:shd w:val="clear" w:color="auto" w:fill="E4E4E4"/>
          </w:tcPr>
          <w:p>
            <w:pPr>
              <w:spacing w:after="0"/>
              <w:rPr>
                <w:sz w:val="10"/>
                <w:szCs w:val="10"/>
                <w:color w:val="auto"/>
              </w:rPr>
            </w:pPr>
          </w:p>
        </w:tc>
        <w:tc>
          <w:tcPr>
            <w:tcW w:w="20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tcBorders>
            <w:shd w:val="clear" w:color="auto" w:fill="E4E4E4"/>
          </w:tcPr>
          <w:p>
            <w:pPr>
              <w:spacing w:after="0"/>
              <w:rPr>
                <w:sz w:val="10"/>
                <w:szCs w:val="10"/>
                <w:color w:val="auto"/>
              </w:rPr>
            </w:pPr>
          </w:p>
        </w:tc>
        <w:tc>
          <w:tcPr>
            <w:tcW w:w="14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shd w:val="clear" w:color="auto" w:fill="E4E4E4"/>
          </w:tcPr>
          <w:p>
            <w:pPr>
              <w:spacing w:after="0"/>
              <w:rPr>
                <w:sz w:val="10"/>
                <w:szCs w:val="10"/>
                <w:color w:val="auto"/>
              </w:rPr>
            </w:pPr>
          </w:p>
        </w:tc>
        <w:tc>
          <w:tcPr>
            <w:tcW w:w="26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shd w:val="clear" w:color="auto" w:fill="E4E4E4"/>
          </w:tcPr>
          <w:p>
            <w:pPr>
              <w:spacing w:after="0"/>
              <w:rPr>
                <w:sz w:val="10"/>
                <w:szCs w:val="10"/>
                <w:color w:val="auto"/>
              </w:rPr>
            </w:pPr>
          </w:p>
        </w:tc>
        <w:tc>
          <w:tcPr>
            <w:tcW w:w="160" w:type="dxa"/>
            <w:vAlign w:val="bottom"/>
            <w:tcBorders>
              <w:bottom w:val="single" w:sz="8" w:color="E4E4E4"/>
            </w:tcBorders>
            <w:shd w:val="clear" w:color="auto" w:fill="E4E4E4"/>
          </w:tcPr>
          <w:p>
            <w:pPr>
              <w:spacing w:after="0"/>
              <w:rPr>
                <w:sz w:val="10"/>
                <w:szCs w:val="10"/>
                <w:color w:val="auto"/>
              </w:rPr>
            </w:pPr>
          </w:p>
        </w:tc>
        <w:tc>
          <w:tcPr>
            <w:tcW w:w="1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spacing w:after="0"/>
              <w:rPr>
                <w:sz w:val="10"/>
                <w:szCs w:val="10"/>
                <w:color w:val="auto"/>
              </w:rPr>
            </w:pPr>
          </w:p>
        </w:tc>
        <w:tc>
          <w:tcPr>
            <w:tcW w:w="10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74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Benefit plans – net of taxes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Changes in equity attributable to</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noncontrolling interests</w:t>
            </w:r>
          </w:p>
        </w:tc>
        <w:tc>
          <w:tcPr>
            <w:tcW w:w="10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Changes in equity due to redemption</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value adjustments on redeemable</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w:t>
            </w:r>
          </w:p>
        </w:tc>
        <w:tc>
          <w:tcPr>
            <w:tcW w:w="26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2023</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60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6,451</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gridSpan w:val="2"/>
            <w:shd w:val="clear" w:color="auto" w:fill="E4E4E4"/>
          </w:tcPr>
          <w:p>
            <w:pPr>
              <w:ind w:left="480"/>
              <w:spacing w:after="0"/>
              <w:rPr>
                <w:sz w:val="20"/>
                <w:szCs w:val="20"/>
                <w:color w:val="auto"/>
              </w:rPr>
            </w:pPr>
            <w:r>
              <w:rPr>
                <w:rFonts w:ascii="Arial" w:cs="Arial" w:eastAsia="Arial" w:hAnsi="Arial"/>
                <w:sz w:val="16"/>
                <w:szCs w:val="16"/>
                <w:b w:val="1"/>
                <w:bCs w:val="1"/>
                <w:color w:val="auto"/>
              </w:rPr>
              <w:t>— $</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7,114</w:t>
            </w:r>
          </w:p>
        </w:tc>
        <w:tc>
          <w:tcPr>
            <w:tcW w:w="4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2"/>
          </w:tcPr>
          <w:p>
            <w:pPr>
              <w:jc w:val="center"/>
              <w:ind w:left="219"/>
              <w:spacing w:after="0"/>
              <w:rPr>
                <w:sz w:val="20"/>
                <w:szCs w:val="20"/>
                <w:color w:val="auto"/>
              </w:rPr>
            </w:pPr>
            <w:r>
              <w:rPr>
                <w:rFonts w:ascii="Arial" w:cs="Arial" w:eastAsia="Arial" w:hAnsi="Arial"/>
                <w:sz w:val="16"/>
                <w:szCs w:val="16"/>
                <w:b w:val="1"/>
                <w:bCs w:val="1"/>
                <w:color w:val="454545"/>
              </w:rPr>
              <w:t>Common stock</w:t>
            </w: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w w:val="99"/>
              </w:rPr>
              <w:t>Accumulated</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Common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other</w:t>
            </w:r>
          </w:p>
        </w:tc>
        <w:tc>
          <w:tcPr>
            <w:tcW w:w="220" w:type="dxa"/>
            <w:vAlign w:val="bottom"/>
          </w:tcPr>
          <w:p>
            <w:pPr>
              <w:spacing w:after="0"/>
              <w:rPr>
                <w:sz w:val="15"/>
                <w:szCs w:val="15"/>
                <w:color w:val="auto"/>
              </w:rPr>
            </w:pPr>
          </w:p>
        </w:tc>
        <w:tc>
          <w:tcPr>
            <w:tcW w:w="1040" w:type="dxa"/>
            <w:vAlign w:val="bottom"/>
          </w:tcPr>
          <w:p>
            <w:pPr>
              <w:jc w:val="center"/>
              <w:ind w:right="119"/>
              <w:spacing w:after="0" w:line="175" w:lineRule="exact"/>
              <w:rPr>
                <w:sz w:val="20"/>
                <w:szCs w:val="20"/>
                <w:color w:val="auto"/>
              </w:rPr>
            </w:pPr>
            <w:r>
              <w:rPr>
                <w:rFonts w:ascii="Arial" w:cs="Arial" w:eastAsia="Arial" w:hAnsi="Arial"/>
                <w:sz w:val="16"/>
                <w:szCs w:val="16"/>
                <w:b w:val="1"/>
                <w:bCs w:val="1"/>
                <w:color w:val="454545"/>
                <w:w w:val="98"/>
              </w:rPr>
              <w:t>Equity</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454545"/>
              </w:rPr>
              <w:t>Retained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Net parent</w:t>
            </w:r>
          </w:p>
        </w:tc>
        <w:tc>
          <w:tcPr>
            <w:tcW w:w="13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80" w:type="dxa"/>
            <w:vAlign w:val="bottom"/>
          </w:tcPr>
          <w:p>
            <w:pPr>
              <w:spacing w:after="0"/>
              <w:rPr>
                <w:sz w:val="15"/>
                <w:szCs w:val="15"/>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shares</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paid-in</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income (loss) –</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noncontrolling</w:t>
            </w: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outstanding</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Par value</w:t>
            </w:r>
          </w:p>
        </w:tc>
        <w:tc>
          <w:tcPr>
            <w:tcW w:w="200" w:type="dxa"/>
            <w:vAlign w:val="bottom"/>
          </w:tcPr>
          <w:p>
            <w:pPr>
              <w:spacing w:after="0"/>
              <w:rPr>
                <w:sz w:val="20"/>
                <w:szCs w:val="20"/>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b w:val="1"/>
                <w:bCs w:val="1"/>
                <w:color w:val="454545"/>
              </w:rPr>
              <w:t>capital</w:t>
            </w:r>
          </w:p>
        </w:tc>
        <w:tc>
          <w:tcPr>
            <w:tcW w:w="1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w w:val="98"/>
              </w:rPr>
              <w:t>earnings</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investment</w:t>
            </w:r>
          </w:p>
        </w:tc>
        <w:tc>
          <w:tcPr>
            <w:tcW w:w="160" w:type="dxa"/>
            <w:vAlign w:val="bottom"/>
          </w:tcPr>
          <w:p>
            <w:pPr>
              <w:spacing w:after="0"/>
              <w:rPr>
                <w:sz w:val="20"/>
                <w:szCs w:val="20"/>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net</w:t>
            </w:r>
          </w:p>
        </w:tc>
        <w:tc>
          <w:tcPr>
            <w:tcW w:w="220" w:type="dxa"/>
            <w:vAlign w:val="bottom"/>
          </w:tcPr>
          <w:p>
            <w:pPr>
              <w:spacing w:after="0"/>
              <w:rPr>
                <w:sz w:val="20"/>
                <w:szCs w:val="20"/>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interests</w:t>
            </w:r>
          </w:p>
        </w:tc>
        <w:tc>
          <w:tcPr>
            <w:tcW w:w="180" w:type="dxa"/>
            <w:vAlign w:val="bottom"/>
          </w:tcPr>
          <w:p>
            <w:pPr>
              <w:spacing w:after="0"/>
              <w:rPr>
                <w:sz w:val="20"/>
                <w:szCs w:val="2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tcBorders>
              <w:top w:val="single" w:sz="8" w:color="6022A6"/>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2021</w:t>
            </w:r>
          </w:p>
        </w:tc>
        <w:tc>
          <w:tcPr>
            <w:tcW w:w="1640" w:type="dxa"/>
            <w:vAlign w:val="bottom"/>
            <w:tcBorders>
              <w:top w:val="single" w:sz="8" w:color="6022A6"/>
            </w:tcBorders>
            <w:gridSpan w:val="2"/>
            <w:shd w:val="clear" w:color="auto" w:fill="E4E4E4"/>
          </w:tcPr>
          <w:p>
            <w:pPr>
              <w:jc w:val="center"/>
              <w:ind w:left="219"/>
              <w:spacing w:after="0"/>
              <w:rPr>
                <w:sz w:val="20"/>
                <w:szCs w:val="20"/>
                <w:color w:val="auto"/>
              </w:rPr>
            </w:pPr>
            <w:r>
              <w:rPr>
                <w:rFonts w:ascii="Arial" w:cs="Arial" w:eastAsia="Arial" w:hAnsi="Arial"/>
                <w:sz w:val="16"/>
                <w:szCs w:val="16"/>
                <w:b w:val="1"/>
                <w:bCs w:val="1"/>
                <w:color w:val="auto"/>
              </w:rPr>
              <w:t>— $</w:t>
            </w:r>
          </w:p>
        </w:tc>
        <w:tc>
          <w:tcPr>
            <w:tcW w:w="500" w:type="dxa"/>
            <w:vAlign w:val="bottom"/>
            <w:tcBorders>
              <w:top w:val="single" w:sz="8" w:color="6022A6"/>
            </w:tcBorders>
            <w:gridSpan w:val="2"/>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 $</w:t>
            </w:r>
          </w:p>
        </w:tc>
        <w:tc>
          <w:tcPr>
            <w:tcW w:w="920" w:type="dxa"/>
            <w:vAlign w:val="bottom"/>
            <w:tcBorders>
              <w:top w:val="single" w:sz="8" w:color="6022A6"/>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1100" w:type="dxa"/>
            <w:vAlign w:val="bottom"/>
            <w:tcBorders>
              <w:top w:val="single" w:sz="8" w:color="6022A6"/>
            </w:tcBorders>
            <w:gridSpan w:val="2"/>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 $</w:t>
            </w:r>
          </w:p>
        </w:tc>
        <w:tc>
          <w:tcPr>
            <w:tcW w:w="680" w:type="dxa"/>
            <w:vAlign w:val="bottom"/>
            <w:tcBorders>
              <w:top w:val="single" w:sz="8" w:color="6022A6"/>
            </w:tcBorders>
            <w:shd w:val="clear" w:color="auto" w:fill="E4E4E4"/>
          </w:tcPr>
          <w:p>
            <w:pPr>
              <w:ind w:left="140"/>
              <w:spacing w:after="0"/>
              <w:rPr>
                <w:sz w:val="20"/>
                <w:szCs w:val="20"/>
                <w:color w:val="auto"/>
              </w:rPr>
            </w:pPr>
            <w:r>
              <w:rPr>
                <w:rFonts w:ascii="Arial" w:cs="Arial" w:eastAsia="Arial" w:hAnsi="Arial"/>
                <w:sz w:val="16"/>
                <w:szCs w:val="16"/>
                <w:b w:val="1"/>
                <w:bCs w:val="1"/>
                <w:color w:val="auto"/>
              </w:rPr>
              <w:t>17,692</w:t>
            </w:r>
          </w:p>
        </w:tc>
        <w:tc>
          <w:tcPr>
            <w:tcW w:w="160" w:type="dxa"/>
            <w:vAlign w:val="bottom"/>
            <w:tcBorders>
              <w:top w:val="single" w:sz="8" w:color="6022A6"/>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6022A6"/>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w:t>
            </w:r>
          </w:p>
        </w:tc>
        <w:tc>
          <w:tcPr>
            <w:tcW w:w="220" w:type="dxa"/>
            <w:vAlign w:val="bottom"/>
            <w:tcBorders>
              <w:top w:val="single" w:sz="8" w:color="6022A6"/>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6022A6"/>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180" w:type="dxa"/>
            <w:vAlign w:val="bottom"/>
            <w:tcBorders>
              <w:top w:val="single" w:sz="8" w:color="6022A6"/>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6022A6"/>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16,676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shd w:val="clear" w:color="auto" w:fill="E4E4E4"/>
          </w:tcPr>
          <w:p>
            <w:pPr>
              <w:spacing w:after="0" w:line="20" w:lineRule="exact"/>
              <w:rPr>
                <w:sz w:val="1"/>
                <w:szCs w:val="1"/>
                <w:color w:val="auto"/>
              </w:rPr>
            </w:pPr>
          </w:p>
        </w:tc>
        <w:tc>
          <w:tcPr>
            <w:tcW w:w="1040" w:type="dxa"/>
            <w:vAlign w:val="bottom"/>
            <w:shd w:val="clear" w:color="auto" w:fill="E4E4E4"/>
          </w:tcPr>
          <w:p>
            <w:pPr>
              <w:spacing w:after="0" w:line="20" w:lineRule="exact"/>
              <w:rPr>
                <w:sz w:val="1"/>
                <w:szCs w:val="1"/>
                <w:color w:val="auto"/>
              </w:rPr>
            </w:pPr>
          </w:p>
        </w:tc>
        <w:tc>
          <w:tcPr>
            <w:tcW w:w="60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84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118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104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180"/>
          </w:cols>
          <w:pgMar w:left="360" w:top="1134" w:right="359" w:bottom="1440" w:gutter="0" w:footer="0" w:header="0"/>
          <w:type w:val="continuous"/>
        </w:sectPr>
      </w:pPr>
    </w:p>
    <w:p>
      <w:pPr>
        <w:ind w:left="40" w:right="700"/>
        <w:spacing w:after="0" w:line="293" w:lineRule="auto"/>
        <w:rPr>
          <w:sz w:val="20"/>
          <w:szCs w:val="20"/>
          <w:color w:val="auto"/>
        </w:rPr>
      </w:pPr>
      <w:r>
        <w:rPr>
          <w:rFonts w:ascii="Arial" w:cs="Arial" w:eastAsia="Arial" w:hAnsi="Arial"/>
          <w:sz w:val="16"/>
          <w:szCs w:val="16"/>
          <w:color w:val="auto"/>
        </w:rPr>
        <w:t>Net income attributable to GE HealthCare</w:t>
      </w:r>
    </w:p>
    <w:p>
      <w:pPr>
        <w:spacing w:after="0" w:line="10" w:lineRule="exact"/>
        <w:rPr>
          <w:sz w:val="20"/>
          <w:szCs w:val="20"/>
          <w:color w:val="auto"/>
        </w:rPr>
      </w:pPr>
    </w:p>
    <w:p>
      <w:pPr>
        <w:ind w:left="40" w:right="320"/>
        <w:spacing w:after="0" w:line="293" w:lineRule="auto"/>
        <w:rPr>
          <w:sz w:val="20"/>
          <w:szCs w:val="20"/>
          <w:color w:val="auto"/>
        </w:rPr>
      </w:pPr>
      <w:r>
        <w:rPr>
          <w:rFonts w:ascii="Arial" w:cs="Arial" w:eastAsia="Arial" w:hAnsi="Arial"/>
          <w:sz w:val="16"/>
          <w:szCs w:val="16"/>
          <w:color w:val="auto"/>
        </w:rPr>
        <w:t>Currency translation adjustments – net of taxes</w:t>
      </w:r>
    </w:p>
    <w:p>
      <w:pPr>
        <w:spacing w:after="0" w:line="10" w:lineRule="exact"/>
        <w:rPr>
          <w:sz w:val="20"/>
          <w:szCs w:val="20"/>
          <w:color w:val="auto"/>
        </w:rPr>
      </w:pPr>
    </w:p>
    <w:p>
      <w:pPr>
        <w:ind w:left="40" w:right="520"/>
        <w:spacing w:after="0" w:line="327" w:lineRule="auto"/>
        <w:rPr>
          <w:sz w:val="20"/>
          <w:szCs w:val="20"/>
          <w:color w:val="auto"/>
        </w:rPr>
      </w:pPr>
      <w:r>
        <w:rPr>
          <w:rFonts w:ascii="Arial" w:cs="Arial" w:eastAsia="Arial" w:hAnsi="Arial"/>
          <w:sz w:val="16"/>
          <w:szCs w:val="16"/>
          <w:color w:val="auto"/>
        </w:rPr>
        <w:t>Benefit plans – net of taxes Cash flow hedges – net of taxes Transfers (to) from GE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874</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459"/>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(625)</w:t>
            </w: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351"/>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(2)</w:t>
            </w: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7"/>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15</w:t>
            </w: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6"/>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360"/>
              <w:spacing w:after="0"/>
              <w:rPr>
                <w:sz w:val="20"/>
                <w:szCs w:val="20"/>
                <w:color w:val="auto"/>
              </w:rPr>
            </w:pPr>
            <w:r>
              <w:rPr>
                <w:rFonts w:ascii="Arial" w:cs="Arial" w:eastAsia="Arial" w:hAnsi="Arial"/>
                <w:sz w:val="16"/>
                <w:szCs w:val="16"/>
                <w:color w:val="auto"/>
              </w:rPr>
              <w:t>—</w:t>
            </w:r>
          </w:p>
        </w:tc>
        <w:tc>
          <w:tcPr>
            <w:tcW w:w="98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114</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-758190</wp:posOffset>
            </wp:positionV>
            <wp:extent cx="706374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29146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-304165</wp:posOffset>
            </wp:positionV>
            <wp:extent cx="706374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16256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2860" w:space="720"/>
            <w:col w:w="7600"/>
          </w:cols>
          <w:pgMar w:left="360" w:top="1134" w:right="359" w:bottom="1440" w:gutter="0" w:footer="0" w:header="0"/>
          <w:type w:val="continuous"/>
        </w:sectPr>
      </w:pPr>
    </w:p>
    <w:tbl>
      <w:tblPr>
        <w:tblLayout w:type="fixed"/>
        <w:tblInd w:w="20" w:type="dxa"/>
        <w:tblCellMar>
          <w:top w:w="0" w:type="dxa"/>
          <w:left w:w="0" w:type="dxa"/>
          <w:bottom w:w="0" w:type="dxa"/>
          <w:right w:w="0" w:type="dxa"/>
        </w:tblCellMar>
      </w:tblPr>
      <w:tr>
        <w:trPr>
          <w:trHeight w:val="219"/>
        </w:trPr>
        <w:tc>
          <w:tcPr>
            <w:tcW w:w="2960" w:type="dxa"/>
            <w:vAlign w:val="bottom"/>
            <w:shd w:val="clear" w:color="auto" w:fill="E4E4E4"/>
          </w:tcPr>
          <w:p>
            <w:pPr>
              <w:ind w:left="20"/>
              <w:spacing w:after="0"/>
              <w:rPr>
                <w:sz w:val="20"/>
                <w:szCs w:val="20"/>
                <w:color w:val="auto"/>
              </w:rPr>
            </w:pPr>
            <w:r>
              <w:rPr>
                <w:rFonts w:ascii="Arial" w:cs="Arial" w:eastAsia="Arial" w:hAnsi="Arial"/>
                <w:sz w:val="16"/>
                <w:szCs w:val="16"/>
                <w:color w:val="auto"/>
              </w:rPr>
              <w:t>Changes in equity attributable to</w:t>
            </w:r>
          </w:p>
        </w:tc>
        <w:tc>
          <w:tcPr>
            <w:tcW w:w="800" w:type="dxa"/>
            <w:vAlign w:val="bottom"/>
            <w:vMerge w:val="restart"/>
            <w:shd w:val="clear" w:color="auto" w:fill="E4E4E4"/>
          </w:tcPr>
          <w:p>
            <w:pPr>
              <w:ind w:left="600"/>
              <w:spacing w:after="0"/>
              <w:rPr>
                <w:sz w:val="20"/>
                <w:szCs w:val="20"/>
                <w:color w:val="auto"/>
              </w:rPr>
            </w:pPr>
            <w:r>
              <w:rPr>
                <w:rFonts w:ascii="Arial" w:cs="Arial" w:eastAsia="Arial" w:hAnsi="Arial"/>
                <w:sz w:val="16"/>
                <w:szCs w:val="16"/>
                <w:color w:val="auto"/>
              </w:rPr>
              <w:t>—</w:t>
            </w:r>
          </w:p>
        </w:tc>
        <w:tc>
          <w:tcPr>
            <w:tcW w:w="420" w:type="dxa"/>
            <w:vAlign w:val="bottom"/>
            <w:shd w:val="clear" w:color="auto" w:fill="E4E4E4"/>
          </w:tcPr>
          <w:p>
            <w:pPr>
              <w:spacing w:after="0"/>
              <w:rPr>
                <w:sz w:val="19"/>
                <w:szCs w:val="19"/>
                <w:color w:val="auto"/>
              </w:rPr>
            </w:pPr>
          </w:p>
        </w:tc>
        <w:tc>
          <w:tcPr>
            <w:tcW w:w="500" w:type="dxa"/>
            <w:vAlign w:val="bottom"/>
            <w:vMerge w:val="restart"/>
            <w:shd w:val="clear" w:color="auto" w:fill="E4E4E4"/>
          </w:tcPr>
          <w:p>
            <w:pPr>
              <w:ind w:lef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4E4E4"/>
          </w:tcPr>
          <w:p>
            <w:pPr>
              <w:spacing w:after="0"/>
              <w:rPr>
                <w:sz w:val="19"/>
                <w:szCs w:val="19"/>
                <w:color w:val="auto"/>
              </w:rPr>
            </w:pPr>
          </w:p>
        </w:tc>
        <w:tc>
          <w:tcPr>
            <w:tcW w:w="540" w:type="dxa"/>
            <w:vAlign w:val="bottom"/>
            <w:vMerge w:val="restart"/>
            <w:shd w:val="clear" w:color="auto" w:fill="E4E4E4"/>
          </w:tcPr>
          <w:p>
            <w:pPr>
              <w:ind w:left="340"/>
              <w:spacing w:after="0"/>
              <w:rPr>
                <w:sz w:val="20"/>
                <w:szCs w:val="20"/>
                <w:color w:val="auto"/>
              </w:rPr>
            </w:pPr>
            <w:r>
              <w:rPr>
                <w:rFonts w:ascii="Arial" w:cs="Arial" w:eastAsia="Arial" w:hAnsi="Arial"/>
                <w:sz w:val="16"/>
                <w:szCs w:val="16"/>
                <w:color w:val="auto"/>
              </w:rPr>
              <w:t>—</w:t>
            </w:r>
          </w:p>
        </w:tc>
        <w:tc>
          <w:tcPr>
            <w:tcW w:w="440" w:type="dxa"/>
            <w:vAlign w:val="bottom"/>
            <w:shd w:val="clear" w:color="auto" w:fill="E4E4E4"/>
          </w:tcPr>
          <w:p>
            <w:pPr>
              <w:spacing w:after="0"/>
              <w:rPr>
                <w:sz w:val="19"/>
                <w:szCs w:val="19"/>
                <w:color w:val="auto"/>
              </w:rPr>
            </w:pPr>
          </w:p>
        </w:tc>
        <w:tc>
          <w:tcPr>
            <w:tcW w:w="520" w:type="dxa"/>
            <w:vAlign w:val="bottom"/>
            <w:vMerge w:val="restart"/>
            <w:shd w:val="clear" w:color="auto" w:fill="E4E4E4"/>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19"/>
                <w:szCs w:val="19"/>
                <w:color w:val="auto"/>
              </w:rPr>
            </w:pPr>
          </w:p>
        </w:tc>
        <w:tc>
          <w:tcPr>
            <w:tcW w:w="70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4E4E4"/>
          </w:tcPr>
          <w:p>
            <w:pPr>
              <w:spacing w:after="0"/>
              <w:rPr>
                <w:sz w:val="19"/>
                <w:szCs w:val="19"/>
                <w:color w:val="auto"/>
              </w:rPr>
            </w:pPr>
          </w:p>
        </w:tc>
        <w:tc>
          <w:tcPr>
            <w:tcW w:w="8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4E4E4"/>
          </w:tcPr>
          <w:p>
            <w:pPr>
              <w:spacing w:after="0"/>
              <w:rPr>
                <w:sz w:val="19"/>
                <w:szCs w:val="19"/>
                <w:color w:val="auto"/>
              </w:rPr>
            </w:pPr>
          </w:p>
        </w:tc>
        <w:tc>
          <w:tcPr>
            <w:tcW w:w="6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E4E4E4"/>
          </w:tcPr>
          <w:p>
            <w:pPr>
              <w:spacing w:after="0"/>
              <w:rPr>
                <w:sz w:val="19"/>
                <w:szCs w:val="19"/>
                <w:color w:val="auto"/>
              </w:rPr>
            </w:pPr>
          </w:p>
        </w:tc>
        <w:tc>
          <w:tcPr>
            <w:tcW w:w="6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12"/>
        </w:trPr>
        <w:tc>
          <w:tcPr>
            <w:tcW w:w="2960" w:type="dxa"/>
            <w:vAlign w:val="bottom"/>
            <w:vMerge w:val="restart"/>
            <w:shd w:val="clear" w:color="auto" w:fill="E4E4E4"/>
          </w:tcPr>
          <w:p>
            <w:pPr>
              <w:ind w:left="20"/>
              <w:spacing w:after="0"/>
              <w:rPr>
                <w:sz w:val="20"/>
                <w:szCs w:val="20"/>
                <w:color w:val="auto"/>
              </w:rPr>
            </w:pPr>
            <w:r>
              <w:rPr>
                <w:rFonts w:ascii="Arial" w:cs="Arial" w:eastAsia="Arial" w:hAnsi="Arial"/>
                <w:sz w:val="16"/>
                <w:szCs w:val="16"/>
                <w:color w:val="auto"/>
              </w:rPr>
              <w:t>noncontrolling interests</w:t>
            </w:r>
          </w:p>
        </w:tc>
        <w:tc>
          <w:tcPr>
            <w:tcW w:w="800" w:type="dxa"/>
            <w:vAlign w:val="bottom"/>
            <w:vMerge w:val="continue"/>
            <w:shd w:val="clear" w:color="auto" w:fill="E4E4E4"/>
          </w:tcPr>
          <w:p>
            <w:pPr>
              <w:spacing w:after="0"/>
              <w:rPr>
                <w:sz w:val="9"/>
                <w:szCs w:val="9"/>
                <w:color w:val="auto"/>
              </w:rPr>
            </w:pPr>
          </w:p>
        </w:tc>
        <w:tc>
          <w:tcPr>
            <w:tcW w:w="420" w:type="dxa"/>
            <w:vAlign w:val="bottom"/>
            <w:shd w:val="clear" w:color="auto" w:fill="E4E4E4"/>
          </w:tcPr>
          <w:p>
            <w:pPr>
              <w:spacing w:after="0"/>
              <w:rPr>
                <w:sz w:val="9"/>
                <w:szCs w:val="9"/>
                <w:color w:val="auto"/>
              </w:rPr>
            </w:pPr>
          </w:p>
        </w:tc>
        <w:tc>
          <w:tcPr>
            <w:tcW w:w="500" w:type="dxa"/>
            <w:vAlign w:val="bottom"/>
            <w:vMerge w:val="continue"/>
            <w:shd w:val="clear" w:color="auto" w:fill="E4E4E4"/>
          </w:tcPr>
          <w:p>
            <w:pPr>
              <w:spacing w:after="0"/>
              <w:rPr>
                <w:sz w:val="9"/>
                <w:szCs w:val="9"/>
                <w:color w:val="auto"/>
              </w:rPr>
            </w:pPr>
          </w:p>
        </w:tc>
        <w:tc>
          <w:tcPr>
            <w:tcW w:w="440" w:type="dxa"/>
            <w:vAlign w:val="bottom"/>
            <w:shd w:val="clear" w:color="auto" w:fill="E4E4E4"/>
          </w:tcPr>
          <w:p>
            <w:pPr>
              <w:spacing w:after="0"/>
              <w:rPr>
                <w:sz w:val="9"/>
                <w:szCs w:val="9"/>
                <w:color w:val="auto"/>
              </w:rPr>
            </w:pPr>
          </w:p>
        </w:tc>
        <w:tc>
          <w:tcPr>
            <w:tcW w:w="540" w:type="dxa"/>
            <w:vAlign w:val="bottom"/>
            <w:vMerge w:val="continue"/>
            <w:shd w:val="clear" w:color="auto" w:fill="E4E4E4"/>
          </w:tcPr>
          <w:p>
            <w:pPr>
              <w:spacing w:after="0"/>
              <w:rPr>
                <w:sz w:val="9"/>
                <w:szCs w:val="9"/>
                <w:color w:val="auto"/>
              </w:rPr>
            </w:pPr>
          </w:p>
        </w:tc>
        <w:tc>
          <w:tcPr>
            <w:tcW w:w="440" w:type="dxa"/>
            <w:vAlign w:val="bottom"/>
            <w:shd w:val="clear" w:color="auto" w:fill="E4E4E4"/>
          </w:tcPr>
          <w:p>
            <w:pPr>
              <w:spacing w:after="0"/>
              <w:rPr>
                <w:sz w:val="9"/>
                <w:szCs w:val="9"/>
                <w:color w:val="auto"/>
              </w:rPr>
            </w:pPr>
          </w:p>
        </w:tc>
        <w:tc>
          <w:tcPr>
            <w:tcW w:w="520" w:type="dxa"/>
            <w:vAlign w:val="bottom"/>
            <w:vMerge w:val="continue"/>
            <w:shd w:val="clear" w:color="auto" w:fill="E4E4E4"/>
          </w:tcPr>
          <w:p>
            <w:pPr>
              <w:spacing w:after="0"/>
              <w:rPr>
                <w:sz w:val="9"/>
                <w:szCs w:val="9"/>
                <w:color w:val="auto"/>
              </w:rPr>
            </w:pPr>
          </w:p>
        </w:tc>
        <w:tc>
          <w:tcPr>
            <w:tcW w:w="280" w:type="dxa"/>
            <w:vAlign w:val="bottom"/>
            <w:shd w:val="clear" w:color="auto" w:fill="E4E4E4"/>
          </w:tcPr>
          <w:p>
            <w:pPr>
              <w:spacing w:after="0"/>
              <w:rPr>
                <w:sz w:val="9"/>
                <w:szCs w:val="9"/>
                <w:color w:val="auto"/>
              </w:rPr>
            </w:pPr>
          </w:p>
        </w:tc>
        <w:tc>
          <w:tcPr>
            <w:tcW w:w="700" w:type="dxa"/>
            <w:vAlign w:val="bottom"/>
            <w:vMerge w:val="continue"/>
            <w:shd w:val="clear" w:color="auto" w:fill="E4E4E4"/>
          </w:tcPr>
          <w:p>
            <w:pPr>
              <w:spacing w:after="0"/>
              <w:rPr>
                <w:sz w:val="9"/>
                <w:szCs w:val="9"/>
                <w:color w:val="auto"/>
              </w:rPr>
            </w:pPr>
          </w:p>
        </w:tc>
        <w:tc>
          <w:tcPr>
            <w:tcW w:w="460" w:type="dxa"/>
            <w:vAlign w:val="bottom"/>
            <w:shd w:val="clear" w:color="auto" w:fill="E4E4E4"/>
          </w:tcPr>
          <w:p>
            <w:pPr>
              <w:spacing w:after="0"/>
              <w:rPr>
                <w:sz w:val="9"/>
                <w:szCs w:val="9"/>
                <w:color w:val="auto"/>
              </w:rPr>
            </w:pPr>
          </w:p>
        </w:tc>
        <w:tc>
          <w:tcPr>
            <w:tcW w:w="880" w:type="dxa"/>
            <w:vAlign w:val="bottom"/>
            <w:vMerge w:val="continue"/>
            <w:shd w:val="clear" w:color="auto" w:fill="E4E4E4"/>
          </w:tcPr>
          <w:p>
            <w:pPr>
              <w:spacing w:after="0"/>
              <w:rPr>
                <w:sz w:val="9"/>
                <w:szCs w:val="9"/>
                <w:color w:val="auto"/>
              </w:rPr>
            </w:pPr>
          </w:p>
        </w:tc>
        <w:tc>
          <w:tcPr>
            <w:tcW w:w="560" w:type="dxa"/>
            <w:vAlign w:val="bottom"/>
            <w:shd w:val="clear" w:color="auto" w:fill="E4E4E4"/>
          </w:tcPr>
          <w:p>
            <w:pPr>
              <w:spacing w:after="0"/>
              <w:rPr>
                <w:sz w:val="9"/>
                <w:szCs w:val="9"/>
                <w:color w:val="auto"/>
              </w:rPr>
            </w:pPr>
          </w:p>
        </w:tc>
        <w:tc>
          <w:tcPr>
            <w:tcW w:w="680" w:type="dxa"/>
            <w:vAlign w:val="bottom"/>
            <w:vMerge w:val="continue"/>
            <w:shd w:val="clear" w:color="auto" w:fill="E4E4E4"/>
          </w:tcPr>
          <w:p>
            <w:pPr>
              <w:spacing w:after="0"/>
              <w:rPr>
                <w:sz w:val="9"/>
                <w:szCs w:val="9"/>
                <w:color w:val="auto"/>
              </w:rPr>
            </w:pPr>
          </w:p>
        </w:tc>
        <w:tc>
          <w:tcPr>
            <w:tcW w:w="260" w:type="dxa"/>
            <w:vAlign w:val="bottom"/>
            <w:shd w:val="clear" w:color="auto" w:fill="E4E4E4"/>
          </w:tcPr>
          <w:p>
            <w:pPr>
              <w:spacing w:after="0"/>
              <w:rPr>
                <w:sz w:val="9"/>
                <w:szCs w:val="9"/>
                <w:color w:val="auto"/>
              </w:rPr>
            </w:pPr>
          </w:p>
        </w:tc>
        <w:tc>
          <w:tcPr>
            <w:tcW w:w="680" w:type="dxa"/>
            <w:vAlign w:val="bottom"/>
            <w:vMerge w:val="continue"/>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E4E4E4"/>
            </w:tcBorders>
            <w:vMerge w:val="continue"/>
            <w:shd w:val="clear" w:color="auto" w:fill="E4E4E4"/>
          </w:tcPr>
          <w:p>
            <w:pPr>
              <w:spacing w:after="0"/>
              <w:rPr>
                <w:sz w:val="11"/>
                <w:szCs w:val="11"/>
                <w:color w:val="auto"/>
              </w:rPr>
            </w:pPr>
          </w:p>
        </w:tc>
        <w:tc>
          <w:tcPr>
            <w:tcW w:w="800" w:type="dxa"/>
            <w:vAlign w:val="bottom"/>
            <w:tcBorders>
              <w:bottom w:val="single" w:sz="8" w:color="E4E4E4"/>
            </w:tcBorders>
            <w:shd w:val="clear" w:color="auto" w:fill="E4E4E4"/>
          </w:tcPr>
          <w:p>
            <w:pPr>
              <w:spacing w:after="0"/>
              <w:rPr>
                <w:sz w:val="11"/>
                <w:szCs w:val="11"/>
                <w:color w:val="auto"/>
              </w:rPr>
            </w:pPr>
          </w:p>
        </w:tc>
        <w:tc>
          <w:tcPr>
            <w:tcW w:w="420" w:type="dxa"/>
            <w:vAlign w:val="bottom"/>
            <w:tcBorders>
              <w:bottom w:val="single" w:sz="8" w:color="E4E4E4"/>
            </w:tcBorders>
            <w:shd w:val="clear" w:color="auto" w:fill="E4E4E4"/>
          </w:tcPr>
          <w:p>
            <w:pPr>
              <w:spacing w:after="0"/>
              <w:rPr>
                <w:sz w:val="11"/>
                <w:szCs w:val="11"/>
                <w:color w:val="auto"/>
              </w:rPr>
            </w:pPr>
          </w:p>
        </w:tc>
        <w:tc>
          <w:tcPr>
            <w:tcW w:w="500" w:type="dxa"/>
            <w:vAlign w:val="bottom"/>
            <w:tcBorders>
              <w:bottom w:val="single" w:sz="8" w:color="E4E4E4"/>
            </w:tcBorders>
            <w:shd w:val="clear" w:color="auto" w:fill="E4E4E4"/>
          </w:tcPr>
          <w:p>
            <w:pPr>
              <w:spacing w:after="0"/>
              <w:rPr>
                <w:sz w:val="11"/>
                <w:szCs w:val="11"/>
                <w:color w:val="auto"/>
              </w:rPr>
            </w:pPr>
          </w:p>
        </w:tc>
        <w:tc>
          <w:tcPr>
            <w:tcW w:w="440" w:type="dxa"/>
            <w:vAlign w:val="bottom"/>
            <w:tcBorders>
              <w:bottom w:val="single" w:sz="8" w:color="E4E4E4"/>
            </w:tcBorders>
            <w:shd w:val="clear" w:color="auto" w:fill="E4E4E4"/>
          </w:tcPr>
          <w:p>
            <w:pPr>
              <w:spacing w:after="0"/>
              <w:rPr>
                <w:sz w:val="11"/>
                <w:szCs w:val="11"/>
                <w:color w:val="auto"/>
              </w:rPr>
            </w:pPr>
          </w:p>
        </w:tc>
        <w:tc>
          <w:tcPr>
            <w:tcW w:w="540" w:type="dxa"/>
            <w:vAlign w:val="bottom"/>
            <w:tcBorders>
              <w:bottom w:val="single" w:sz="8" w:color="E4E4E4"/>
            </w:tcBorders>
            <w:shd w:val="clear" w:color="auto" w:fill="E4E4E4"/>
          </w:tcPr>
          <w:p>
            <w:pPr>
              <w:spacing w:after="0"/>
              <w:rPr>
                <w:sz w:val="11"/>
                <w:szCs w:val="11"/>
                <w:color w:val="auto"/>
              </w:rPr>
            </w:pPr>
          </w:p>
        </w:tc>
        <w:tc>
          <w:tcPr>
            <w:tcW w:w="440" w:type="dxa"/>
            <w:vAlign w:val="bottom"/>
            <w:tcBorders>
              <w:bottom w:val="single" w:sz="8" w:color="E4E4E4"/>
            </w:tcBorders>
            <w:shd w:val="clear" w:color="auto" w:fill="E4E4E4"/>
          </w:tcPr>
          <w:p>
            <w:pPr>
              <w:spacing w:after="0"/>
              <w:rPr>
                <w:sz w:val="11"/>
                <w:szCs w:val="11"/>
                <w:color w:val="auto"/>
              </w:rPr>
            </w:pPr>
          </w:p>
        </w:tc>
        <w:tc>
          <w:tcPr>
            <w:tcW w:w="520" w:type="dxa"/>
            <w:vAlign w:val="bottom"/>
            <w:tcBorders>
              <w:bottom w:val="single" w:sz="8" w:color="E4E4E4"/>
            </w:tcBorders>
            <w:shd w:val="clear" w:color="auto" w:fill="E4E4E4"/>
          </w:tcPr>
          <w:p>
            <w:pPr>
              <w:spacing w:after="0"/>
              <w:rPr>
                <w:sz w:val="11"/>
                <w:szCs w:val="11"/>
                <w:color w:val="auto"/>
              </w:rPr>
            </w:pPr>
          </w:p>
        </w:tc>
        <w:tc>
          <w:tcPr>
            <w:tcW w:w="280" w:type="dxa"/>
            <w:vAlign w:val="bottom"/>
            <w:tcBorders>
              <w:bottom w:val="single" w:sz="8" w:color="E4E4E4"/>
            </w:tcBorders>
            <w:shd w:val="clear" w:color="auto" w:fill="E4E4E4"/>
          </w:tcPr>
          <w:p>
            <w:pPr>
              <w:spacing w:after="0"/>
              <w:rPr>
                <w:sz w:val="11"/>
                <w:szCs w:val="11"/>
                <w:color w:val="auto"/>
              </w:rPr>
            </w:pPr>
          </w:p>
        </w:tc>
        <w:tc>
          <w:tcPr>
            <w:tcW w:w="700" w:type="dxa"/>
            <w:vAlign w:val="bottom"/>
            <w:tcBorders>
              <w:bottom w:val="single" w:sz="8" w:color="E4E4E4"/>
            </w:tcBorders>
            <w:shd w:val="clear" w:color="auto" w:fill="E4E4E4"/>
          </w:tcPr>
          <w:p>
            <w:pPr>
              <w:spacing w:after="0"/>
              <w:rPr>
                <w:sz w:val="11"/>
                <w:szCs w:val="11"/>
                <w:color w:val="auto"/>
              </w:rPr>
            </w:pPr>
          </w:p>
        </w:tc>
        <w:tc>
          <w:tcPr>
            <w:tcW w:w="460" w:type="dxa"/>
            <w:vAlign w:val="bottom"/>
            <w:tcBorders>
              <w:bottom w:val="single" w:sz="8" w:color="E4E4E4"/>
            </w:tcBorders>
            <w:shd w:val="clear" w:color="auto" w:fill="E4E4E4"/>
          </w:tcPr>
          <w:p>
            <w:pPr>
              <w:spacing w:after="0"/>
              <w:rPr>
                <w:sz w:val="11"/>
                <w:szCs w:val="11"/>
                <w:color w:val="auto"/>
              </w:rPr>
            </w:pPr>
          </w:p>
        </w:tc>
        <w:tc>
          <w:tcPr>
            <w:tcW w:w="880" w:type="dxa"/>
            <w:vAlign w:val="bottom"/>
            <w:tcBorders>
              <w:bottom w:val="single" w:sz="8" w:color="E4E4E4"/>
            </w:tcBorders>
            <w:shd w:val="clear" w:color="auto" w:fill="E4E4E4"/>
          </w:tcPr>
          <w:p>
            <w:pPr>
              <w:spacing w:after="0"/>
              <w:rPr>
                <w:sz w:val="11"/>
                <w:szCs w:val="11"/>
                <w:color w:val="auto"/>
              </w:rPr>
            </w:pPr>
          </w:p>
        </w:tc>
        <w:tc>
          <w:tcPr>
            <w:tcW w:w="560" w:type="dxa"/>
            <w:vAlign w:val="bottom"/>
            <w:tcBorders>
              <w:bottom w:val="single" w:sz="8" w:color="E4E4E4"/>
            </w:tcBorders>
            <w:shd w:val="clear" w:color="auto" w:fill="E4E4E4"/>
          </w:tcPr>
          <w:p>
            <w:pPr>
              <w:spacing w:after="0"/>
              <w:rPr>
                <w:sz w:val="11"/>
                <w:szCs w:val="11"/>
                <w:color w:val="auto"/>
              </w:rPr>
            </w:pPr>
          </w:p>
        </w:tc>
        <w:tc>
          <w:tcPr>
            <w:tcW w:w="680" w:type="dxa"/>
            <w:vAlign w:val="bottom"/>
            <w:tcBorders>
              <w:bottom w:val="single" w:sz="8" w:color="E4E4E4"/>
            </w:tcBorders>
            <w:shd w:val="clear" w:color="auto" w:fill="E4E4E4"/>
          </w:tcPr>
          <w:p>
            <w:pPr>
              <w:spacing w:after="0"/>
              <w:rPr>
                <w:sz w:val="11"/>
                <w:szCs w:val="11"/>
                <w:color w:val="auto"/>
              </w:rPr>
            </w:pPr>
          </w:p>
        </w:tc>
        <w:tc>
          <w:tcPr>
            <w:tcW w:w="260" w:type="dxa"/>
            <w:vAlign w:val="bottom"/>
            <w:tcBorders>
              <w:bottom w:val="single" w:sz="8" w:color="E4E4E4"/>
            </w:tcBorders>
            <w:shd w:val="clear" w:color="auto" w:fill="E4E4E4"/>
          </w:tcPr>
          <w:p>
            <w:pPr>
              <w:spacing w:after="0"/>
              <w:rPr>
                <w:sz w:val="11"/>
                <w:szCs w:val="11"/>
                <w:color w:val="auto"/>
              </w:rPr>
            </w:pPr>
          </w:p>
        </w:tc>
        <w:tc>
          <w:tcPr>
            <w:tcW w:w="680" w:type="dxa"/>
            <w:vAlign w:val="bottom"/>
            <w:tcBorders>
              <w:bottom w:val="single" w:sz="8" w:color="E4E4E4"/>
            </w:tcBorders>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Balances as of June 30, 2022</w:t>
            </w: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ind w:left="340"/>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ind w:left="3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18,680</w:t>
            </w: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(1,649)</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17,054</w:t>
            </w:r>
          </w:p>
        </w:tc>
        <w:tc>
          <w:tcPr>
            <w:tcW w:w="0" w:type="dxa"/>
            <w:vAlign w:val="bottom"/>
          </w:tcPr>
          <w:p>
            <w:pPr>
              <w:spacing w:after="0"/>
              <w:rPr>
                <w:sz w:val="1"/>
                <w:szCs w:val="1"/>
                <w:color w:val="auto"/>
              </w:rPr>
            </w:pP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7"/>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Cash Flows (Unaudited)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87"/>
        </w:trPr>
        <w:tc>
          <w:tcPr>
            <w:tcW w:w="8240" w:type="dxa"/>
            <w:vAlign w:val="bottom"/>
          </w:tcPr>
          <w:p>
            <w:pPr>
              <w:spacing w:after="0"/>
              <w:rPr>
                <w:sz w:val="24"/>
                <w:szCs w:val="24"/>
                <w:color w:val="auto"/>
              </w:rPr>
            </w:pPr>
          </w:p>
        </w:tc>
        <w:tc>
          <w:tcPr>
            <w:tcW w:w="120" w:type="dxa"/>
            <w:vAlign w:val="bottom"/>
            <w:tcBorders>
              <w:bottom w:val="single" w:sz="8" w:color="454545"/>
            </w:tcBorders>
          </w:tcPr>
          <w:p>
            <w:pPr>
              <w:spacing w:after="0"/>
              <w:rPr>
                <w:sz w:val="24"/>
                <w:szCs w:val="24"/>
                <w:color w:val="auto"/>
              </w:rPr>
            </w:pPr>
          </w:p>
        </w:tc>
        <w:tc>
          <w:tcPr>
            <w:tcW w:w="2800" w:type="dxa"/>
            <w:vAlign w:val="bottom"/>
            <w:tcBorders>
              <w:bottom w:val="single" w:sz="8" w:color="454545"/>
            </w:tcBorders>
            <w:gridSpan w:val="3"/>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54"/>
        </w:trPr>
        <w:tc>
          <w:tcPr>
            <w:tcW w:w="82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20" w:type="dxa"/>
            <w:vAlign w:val="bottom"/>
            <w:tcBorders>
              <w:bottom w:val="single" w:sz="8" w:color="6022A6"/>
            </w:tcBorders>
          </w:tcPr>
          <w:p>
            <w:pPr>
              <w:spacing w:after="0"/>
              <w:rPr>
                <w:sz w:val="22"/>
                <w:szCs w:val="22"/>
                <w:color w:val="auto"/>
              </w:rPr>
            </w:pPr>
          </w:p>
        </w:tc>
        <w:tc>
          <w:tcPr>
            <w:tcW w:w="134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2023</w:t>
            </w:r>
          </w:p>
        </w:tc>
        <w:tc>
          <w:tcPr>
            <w:tcW w:w="320" w:type="dxa"/>
            <w:vAlign w:val="bottom"/>
            <w:tcBorders>
              <w:bottom w:val="single" w:sz="8" w:color="6022A6"/>
            </w:tcBorders>
          </w:tcPr>
          <w:p>
            <w:pPr>
              <w:spacing w:after="0"/>
              <w:rPr>
                <w:sz w:val="22"/>
                <w:szCs w:val="22"/>
                <w:color w:val="auto"/>
              </w:rPr>
            </w:pPr>
          </w:p>
        </w:tc>
        <w:tc>
          <w:tcPr>
            <w:tcW w:w="114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2022</w:t>
            </w:r>
          </w:p>
        </w:tc>
      </w:tr>
      <w:tr>
        <w:trPr>
          <w:trHeight w:val="230"/>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816</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900</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816</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888</w:t>
            </w:r>
          </w:p>
        </w:tc>
      </w:tr>
      <w:tr>
        <w:trPr>
          <w:trHeight w:val="224"/>
        </w:trPr>
        <w:tc>
          <w:tcPr>
            <w:tcW w:w="82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Depreciation and amortization of property, plant, and equipment</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w:t>
            </w:r>
          </w:p>
        </w:tc>
      </w:tr>
      <w:tr>
        <w:trPr>
          <w:trHeight w:val="224"/>
        </w:trPr>
        <w:tc>
          <w:tcPr>
            <w:tcW w:w="82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2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Gain on fair value remeasurement of contingent consideration</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140"/>
              <w:spacing w:after="0"/>
              <w:rPr>
                <w:sz w:val="20"/>
                <w:szCs w:val="20"/>
                <w:color w:val="auto"/>
              </w:rPr>
            </w:pPr>
            <w:r>
              <w:rPr>
                <w:rFonts w:ascii="Arial" w:cs="Arial" w:eastAsia="Arial" w:hAnsi="Arial"/>
                <w:sz w:val="16"/>
                <w:szCs w:val="16"/>
                <w:color w:val="auto"/>
              </w:rPr>
              <w:t>Net periodic postretirement benefit plan (income) expense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Postretirement plan contributions</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(180)</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4"/>
        </w:trPr>
        <w:tc>
          <w:tcPr>
            <w:tcW w:w="824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Share-based compensation</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r>
      <w:tr>
        <w:trPr>
          <w:trHeight w:val="223"/>
        </w:trPr>
        <w:tc>
          <w:tcPr>
            <w:tcW w:w="8240" w:type="dxa"/>
            <w:vAlign w:val="bottom"/>
          </w:tcPr>
          <w:p>
            <w:pPr>
              <w:ind w:left="140"/>
              <w:spacing w:after="0"/>
              <w:rPr>
                <w:sz w:val="20"/>
                <w:szCs w:val="20"/>
                <w:color w:val="auto"/>
              </w:rPr>
            </w:pPr>
            <w:r>
              <w:rPr>
                <w:rFonts w:ascii="Arial" w:cs="Arial" w:eastAsia="Arial" w:hAnsi="Arial"/>
                <w:sz w:val="16"/>
                <w:szCs w:val="16"/>
                <w:color w:val="auto"/>
              </w:rPr>
              <w:t>Cash paid during the year for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Cash paid during the year for interest</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 excluding the effects of acquisitions and dispositions: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Receivables</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(161)</w:t>
            </w:r>
          </w:p>
        </w:tc>
      </w:tr>
      <w:tr>
        <w:trPr>
          <w:trHeight w:val="223"/>
        </w:trPr>
        <w:tc>
          <w:tcPr>
            <w:tcW w:w="8240" w:type="dxa"/>
            <w:vAlign w:val="bottom"/>
          </w:tcPr>
          <w:p>
            <w:pPr>
              <w:ind w:left="240"/>
              <w:spacing w:after="0"/>
              <w:rPr>
                <w:sz w:val="20"/>
                <w:szCs w:val="20"/>
                <w:color w:val="auto"/>
              </w:rPr>
            </w:pPr>
            <w:r>
              <w:rPr>
                <w:rFonts w:ascii="Arial" w:cs="Arial" w:eastAsia="Arial" w:hAnsi="Arial"/>
                <w:sz w:val="16"/>
                <w:szCs w:val="16"/>
                <w:color w:val="auto"/>
              </w:rPr>
              <w:t>Due from related parties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2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(172)</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w:t>
            </w:r>
          </w:p>
        </w:tc>
      </w:tr>
      <w:tr>
        <w:trPr>
          <w:trHeight w:val="224"/>
        </w:trPr>
        <w:tc>
          <w:tcPr>
            <w:tcW w:w="8240" w:type="dxa"/>
            <w:vAlign w:val="bottom"/>
          </w:tcPr>
          <w:p>
            <w:pPr>
              <w:ind w:left="240"/>
              <w:spacing w:after="0"/>
              <w:rPr>
                <w:sz w:val="20"/>
                <w:szCs w:val="20"/>
                <w:color w:val="auto"/>
              </w:rPr>
            </w:pPr>
            <w:r>
              <w:rPr>
                <w:rFonts w:ascii="Arial" w:cs="Arial" w:eastAsia="Arial" w:hAnsi="Arial"/>
                <w:sz w:val="16"/>
                <w:szCs w:val="16"/>
                <w:color w:val="auto"/>
              </w:rPr>
              <w:t>Contract and other deferred assets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282</w:t>
            </w:r>
          </w:p>
        </w:tc>
      </w:tr>
      <w:tr>
        <w:trPr>
          <w:trHeight w:val="223"/>
        </w:trPr>
        <w:tc>
          <w:tcPr>
            <w:tcW w:w="8240" w:type="dxa"/>
            <w:vAlign w:val="bottom"/>
          </w:tcPr>
          <w:p>
            <w:pPr>
              <w:ind w:left="240"/>
              <w:spacing w:after="0"/>
              <w:rPr>
                <w:sz w:val="20"/>
                <w:szCs w:val="20"/>
                <w:color w:val="auto"/>
              </w:rPr>
            </w:pPr>
            <w:r>
              <w:rPr>
                <w:rFonts w:ascii="Arial" w:cs="Arial" w:eastAsia="Arial" w:hAnsi="Arial"/>
                <w:sz w:val="16"/>
                <w:szCs w:val="16"/>
                <w:color w:val="auto"/>
              </w:rPr>
              <w:t>Due to related parties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2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Contract liabilities</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All other operating activities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401</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449</w:t>
            </w:r>
          </w:p>
        </w:tc>
      </w:tr>
      <w:tr>
        <w:trPr>
          <w:trHeight w:val="229"/>
        </w:trPr>
        <w:tc>
          <w:tcPr>
            <w:tcW w:w="8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Dispositions of property, plant, and equipment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20"/>
              <w:spacing w:after="0"/>
              <w:rPr>
                <w:sz w:val="20"/>
                <w:szCs w:val="20"/>
                <w:color w:val="auto"/>
              </w:rPr>
            </w:pPr>
            <w:r>
              <w:rPr>
                <w:rFonts w:ascii="Arial" w:cs="Arial" w:eastAsia="Arial" w:hAnsi="Arial"/>
                <w:sz w:val="16"/>
                <w:szCs w:val="16"/>
                <w:color w:val="auto"/>
              </w:rPr>
              <w:t>All other investing activities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1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(350)</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(185)</w:t>
            </w:r>
          </w:p>
        </w:tc>
      </w:tr>
      <w:tr>
        <w:trPr>
          <w:trHeight w:val="229"/>
        </w:trPr>
        <w:tc>
          <w:tcPr>
            <w:tcW w:w="8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Dividends paid to shareholders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Redemption of noncontrolling interests</w:t>
            </w:r>
          </w:p>
        </w:tc>
        <w:tc>
          <w:tcPr>
            <w:tcW w:w="1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Net transfers (to) from GE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financing activities</w:t>
            </w:r>
          </w:p>
        </w:tc>
        <w:tc>
          <w:tcPr>
            <w:tcW w:w="12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8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(280)</w:t>
            </w:r>
          </w:p>
        </w:tc>
      </w:tr>
      <w:tr>
        <w:trPr>
          <w:trHeight w:val="21"/>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12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8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494</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r>
      <w:tr>
        <w:trPr>
          <w:trHeight w:val="21"/>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2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1,451</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561</w:t>
            </w:r>
          </w:p>
        </w:tc>
      </w:tr>
      <w:tr>
        <w:trPr>
          <w:trHeight w:val="217"/>
        </w:trPr>
        <w:tc>
          <w:tcPr>
            <w:tcW w:w="8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as of June 30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and combined financial statements.</w:t>
      </w:r>
    </w:p>
    <w:p>
      <w:pPr>
        <w:sectPr>
          <w:pgSz w:w="11900" w:h="16838" w:orient="portrait"/>
          <w:cols w:equalWidth="0" w:num="1">
            <w:col w:w="11160"/>
          </w:cols>
          <w:pgMar w:left="360" w:top="11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188"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5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GE HealthCare Technologies Inc. (“GE HealthCare,” the “Company,” “our,” or “we”) is a leading global medical technology, pharmaceutical diagnostics, and digital solutions innovator. We operate at the center of the healthcare ecosystem, helping enable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diagnosis to therapy to monitoring.</w:t>
      </w:r>
    </w:p>
    <w:p>
      <w:pPr>
        <w:spacing w:after="0" w:line="211"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On January 3, 2023 (the “Distribution Date”), the General Electric Company (“GE” or “Parent”) completed the previously announced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Our common stock is listed under the symbol “GEHC” on the Nasdaq Stock Market LLC (“Nasdaq”). In the quarter ended June 30, 2023, GE disposed of approximately 29 million shares of its retained interest in GE HealthCare, reducing its beneficial ownership to approximately 13.5% of the Company’s outstanding common stock.</w:t>
      </w:r>
    </w:p>
    <w:p>
      <w:pPr>
        <w:spacing w:after="0" w:line="213"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$2,840 million. These items substantially consisted of the transfer of: (a) certain pension plan liabilities and assets as described in Note 9, “Postretirement Benefit Plans,” (b) certain deferred income taxes as described in Note 10, “Income Taxes,” (c) deferred compensation liabilities of $548 million, and (d) employee termination obligations as described in Note 14, “Restructuring and Other Activities – Net.”</w:t>
      </w:r>
    </w:p>
    <w:p>
      <w:pPr>
        <w:spacing w:after="0" w:line="211" w:lineRule="exact"/>
        <w:rPr>
          <w:sz w:val="20"/>
          <w:szCs w:val="20"/>
          <w:color w:val="auto"/>
        </w:rPr>
      </w:pPr>
    </w:p>
    <w:p>
      <w:pPr>
        <w:ind w:right="640"/>
        <w:spacing w:after="0" w:line="293"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See Note 18, “Related Parties” for more information on these agreements.</w:t>
      </w:r>
    </w:p>
    <w:p>
      <w:pPr>
        <w:spacing w:after="0" w:line="185"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(i) GE’s healthcare business prior to the Spin-Off as a carve-out business of GE with related condensed combined financial statements and (ii) GE HealthCare Technologies Inc. and its subsidiaries following the Spin-Off with related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7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condensed consolidated and combined financial statements have been prepared in accordance with United States (“U.S.”) generally accepted accounting principles (“U.S. GAAP”) and present the historical results of operations and comprehensive income for the three and six months ended June 30, 2023 and 2022, cash flows for the six months ended June 30, 2023 and 2022, and the financial position as of June 30, 2023 and December 31, 2022. It is management’s opinion that these financial statements include all normal and recurring adjustments necessary for a fair presentation of the Company’s financial position and operating results. The following tables are presented in millions of U.S dollars (“USD”) unless otherwise stated.</w:t>
      </w:r>
    </w:p>
    <w:p>
      <w:pPr>
        <w:spacing w:after="0" w:line="22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All intercompany balances and transactions within the Company have been eliminated in the condensed consolidated and combined financial statements. These financial statements include certain transactions with GE, which are disclosed as related party transactions. See Note 18, “Related Parties” for further information.</w:t>
      </w:r>
    </w:p>
    <w:p>
      <w:pPr>
        <w:spacing w:after="0" w:line="20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Prior to the Spin-Off, the condensed combined financial statements were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 condensed combined financial statements do not purport to reflect what the results of operations, comprehensive income, financial position, or cash flows would have been had the Company operated as a separate, stand-alone entity during the periods presented.</w:t>
      </w:r>
    </w:p>
    <w:p>
      <w:pPr>
        <w:spacing w:after="0" w:line="226"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The condensed consolidated and combined financial statements should be read in conjunction with the Company’s audited combined financial statements and notes included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ESTIMATES AND ASSUMPTIONS.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preparation of the condensed consolidated and combined financial statements in conformity with U.S. GAAP requires management to make estimates based on assumptions about current, and for some estimates, future, economic and market conditions, which affect the reported amounts and related disclosures in the condensed consolidated and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2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There have been no material impacts to our accounting estimates as of June 30, 2023 and December 31, 2022, or the results for the three and six months ended June 30, 2023 and 2022, from the COVID-19 pandemic. The federal COVID-19 Public Health Emergency declaration in the U.S. ended in May 2023, and COVID-19 restrictions have been lifted in many locations globally. We do not expect future material economic consequences from the COVID-19 pandemic.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CHANGES.</w:t>
      </w:r>
    </w:p>
    <w:p>
      <w:pPr>
        <w:spacing w:after="0" w:line="26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interest and penalties related to unrecognized income tax benefits may either be classified as income tax expense or interest expense in the condensed consolidated statements of operations. In the first quarter of 2023, the Company changed its accounting policy for presentation of interest expense on uncertain tax positions. The interest was previously presented within “Interest and other financial charges – net” and has changed to being presented within “Benefit (provision) for income taxes.” The Company believes this presentation is preferable because the cost is related to income tax matters and this presentation enhances comparability with our peers. The effects of the change in accounting have been prospectively applied to periods beginning in the first quarter of 2023 and were not material to any previously reported periods prior to March 31, 2023.</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reflected in the Condensed Consolidated and Combined Financial Statements</w:t>
      </w:r>
    </w:p>
    <w:p>
      <w:pPr>
        <w:spacing w:after="0" w:line="262"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 xml:space="preserve">In September 2022, the Financial Accounting Standards Board (“FASB”) issued Accounting Standards Update (“ASU”) No. 2022-04, </w:t>
      </w:r>
      <w:r>
        <w:rPr>
          <w:rFonts w:ascii="Arial" w:cs="Arial" w:eastAsia="Arial" w:hAnsi="Arial"/>
          <w:sz w:val="16"/>
          <w:szCs w:val="16"/>
          <w:i w:val="1"/>
          <w:iCs w:val="1"/>
          <w:color w:val="auto"/>
        </w:rPr>
        <w:t>Liabilities – Supplier</w:t>
      </w:r>
      <w:r>
        <w:rPr>
          <w:rFonts w:ascii="Arial" w:cs="Arial" w:eastAsia="Arial" w:hAnsi="Arial"/>
          <w:sz w:val="16"/>
          <w:szCs w:val="16"/>
          <w:color w:val="auto"/>
        </w:rPr>
        <w:t xml:space="preserve"> </w:t>
      </w:r>
      <w:r>
        <w:rPr>
          <w:rFonts w:ascii="Arial" w:cs="Arial" w:eastAsia="Arial" w:hAnsi="Arial"/>
          <w:sz w:val="16"/>
          <w:szCs w:val="16"/>
          <w:i w:val="1"/>
          <w:iCs w:val="1"/>
          <w:color w:val="auto"/>
        </w:rPr>
        <w:t>Finance Programs (Subtopic 405-50)</w:t>
      </w:r>
      <w:r>
        <w:rPr>
          <w:rFonts w:ascii="Arial" w:cs="Arial" w:eastAsia="Arial" w:hAnsi="Arial"/>
          <w:sz w:val="16"/>
          <w:szCs w:val="16"/>
          <w:color w:val="auto"/>
        </w:rPr>
        <w:t>. The ASU requires companies to disclose information about supplier finance programs, including key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outstanding confirmed amounts as of the end of the period, a rollforward of such amounts during each annual period, and a description of where the amounts are presented. The new standard does not affect the recognition, measurement, or financial statement presentation of supplier finance obligations. The ASU is effective for fiscal years beginning after December 15, 2022, including interim periods, except for rollforward information, which is effective for fiscal years beginning after December 15, 2023. The Company adopted this guidance on January 1, 2023. See Note 17, “Supplemental Financial Information” for further information.</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ASU requires companies to apply the definition of a performance obligation under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to recognize and measure contract assets and contract liabilities relating to contracts with customers acquired in a business combination.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adoption of this ASU, an acquirer generally recognized assets acquired and liabilities assumed in a business combination, including contract assets and contract liabilities arising from revenue contracts with customers, at fair value on the acquisition date. The ASU results in the acquirer recording acquired contract assets and liabilities on the same basis that would have been recorded by the acquiree before the acquisition under ASC 606. The ASU is effective for fiscal years beginning after December 15, 2022, with early adoption permitted. The Company adopted this guidance on January 1, 2023 using a prospective method, and the adoption did not have a material impact on the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6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7"/>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56"/>
        </w:trPr>
        <w:tc>
          <w:tcPr>
            <w:tcW w:w="7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259"/>
              <w:spacing w:after="0"/>
              <w:rPr>
                <w:sz w:val="20"/>
                <w:szCs w:val="20"/>
                <w:color w:val="auto"/>
              </w:rPr>
            </w:pPr>
            <w:r>
              <w:rPr>
                <w:rFonts w:ascii="Arial" w:cs="Arial" w:eastAsia="Arial" w:hAnsi="Arial"/>
                <w:sz w:val="16"/>
                <w:szCs w:val="16"/>
                <w:b w:val="1"/>
                <w:bCs w:val="1"/>
                <w:color w:val="454545"/>
              </w:rPr>
              <w:t>June 30, 2023</w:t>
            </w:r>
          </w:p>
        </w:tc>
        <w:tc>
          <w:tcPr>
            <w:tcW w:w="160" w:type="dxa"/>
            <w:vAlign w:val="bottom"/>
          </w:tcPr>
          <w:p>
            <w:pPr>
              <w:spacing w:after="0"/>
              <w:rPr>
                <w:sz w:val="19"/>
                <w:szCs w:val="19"/>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68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584</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402</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7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40" w:type="dxa"/>
            <w:vAlign w:val="bottom"/>
            <w:tcBorders>
              <w:bottom w:val="single" w:sz="8" w:color="E4E4E4"/>
            </w:tcBorders>
            <w:shd w:val="clear" w:color="auto" w:fill="E4E4E4"/>
          </w:tcPr>
          <w:p>
            <w:pPr>
              <w:spacing w:after="0"/>
              <w:rPr>
                <w:sz w:val="20"/>
                <w:szCs w:val="20"/>
                <w:color w:val="auto"/>
              </w:rPr>
            </w:pP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1,044</w:t>
            </w:r>
          </w:p>
        </w:tc>
        <w:tc>
          <w:tcPr>
            <w:tcW w:w="160" w:type="dxa"/>
            <w:vAlign w:val="bottom"/>
            <w:tcBorders>
              <w:bottom w:val="single" w:sz="8" w:color="E4E4E4"/>
            </w:tcBorders>
            <w:shd w:val="clear" w:color="auto" w:fill="E4E4E4"/>
          </w:tcPr>
          <w:p>
            <w:pPr>
              <w:spacing w:after="0"/>
              <w:rPr>
                <w:sz w:val="20"/>
                <w:szCs w:val="20"/>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989</w:t>
            </w:r>
          </w:p>
        </w:tc>
      </w:tr>
      <w:tr>
        <w:trPr>
          <w:trHeight w:val="257"/>
        </w:trPr>
        <w:tc>
          <w:tcPr>
            <w:tcW w:w="762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(a)</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E4E4E4"/>
          </w:tcPr>
          <w:p>
            <w:pPr>
              <w:spacing w:after="0"/>
              <w:rPr>
                <w:sz w:val="22"/>
                <w:szCs w:val="22"/>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160" w:type="dxa"/>
            <w:vAlign w:val="bottom"/>
            <w:tcBorders>
              <w:bottom w:val="single" w:sz="8" w:color="auto"/>
            </w:tcBorders>
            <w:shd w:val="clear" w:color="auto" w:fill="E4E4E4"/>
          </w:tcPr>
          <w:p>
            <w:pPr>
              <w:spacing w:after="0"/>
              <w:rPr>
                <w:sz w:val="22"/>
                <w:szCs w:val="22"/>
                <w:color w:val="auto"/>
              </w:rPr>
            </w:pP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82</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1,182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1,108</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right="460" w:hanging="252"/>
        <w:spacing w:after="0" w:line="276"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assets in the Condensed Consolidated and Combined Statements of Financial Position.</w:t>
      </w:r>
    </w:p>
    <w:p>
      <w:pPr>
        <w:spacing w:after="0" w:line="21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Contract assets primarily reflect revenue recognized on contracts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56" w:lineRule="exact"/>
        <w:rPr>
          <w:sz w:val="20"/>
          <w:szCs w:val="20"/>
          <w:color w:val="auto"/>
        </w:rPr>
      </w:pPr>
    </w:p>
    <w:p>
      <w:pPr>
        <w:jc w:val="both"/>
        <w:ind w:right="220"/>
        <w:spacing w:after="0" w:line="257" w:lineRule="auto"/>
        <w:rPr>
          <w:sz w:val="20"/>
          <w:szCs w:val="20"/>
          <w:color w:val="auto"/>
        </w:rPr>
      </w:pPr>
      <w:r>
        <w:rPr>
          <w:rFonts w:ascii="Arial" w:cs="Arial" w:eastAsia="Arial" w:hAnsi="Arial"/>
          <w:sz w:val="16"/>
          <w:szCs w:val="16"/>
          <w:color w:val="auto"/>
        </w:rPr>
        <w:t>Contract liabilities primarily include customer advances and deposits received when orders are placed and billed in advance of completion of performance obligations. Contract liabilities are classified as current or non-current based on the periods over which remaining performance obligations are expected to be satisfied and fulfilled with our customers.</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 of June 30, 2023 and December 31, 2022, contract liabilities were approximately $2,673 million and $2,526 million, respectively, of which the non-current portion of $670 million and $630 million, respectively, was recognized in All other liabilities in the Condensed Consolidated and Combined Statements of Financial Position. Contract liabilities increased by $147 million in 2023 primarily due to an increase in customer advances and deposits as a result of product orders growth relative to fulfillment and the normal annual service contract billing cycle. Revenue recognized related to the contract liabilities balance at the beginning of the year was approximately $1,105 million and $1,083 million for the six months ended June 30, 2023 and 2022,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7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Remaining performance obligations represent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As of June 30, 2023, the aggregate amount of the contracted revenues allocated to our unsatisfied (or partially unsatisfied) performance obligations was $14,309 million. We expect to recognize revenue as we satisfy our remaining performance obligations as follows: a) product-related remaining performance obligations of $4,992 million of which 99% is expected to be recognized within two years, and the remaining thereafter; and</w:t>
      </w:r>
    </w:p>
    <w:p>
      <w:pPr>
        <w:spacing w:after="0" w:line="3" w:lineRule="exact"/>
        <w:rPr>
          <w:sz w:val="20"/>
          <w:szCs w:val="20"/>
          <w:color w:val="auto"/>
        </w:rPr>
      </w:pPr>
    </w:p>
    <w:p>
      <w:pPr>
        <w:ind w:right="40" w:firstLine="8"/>
        <w:spacing w:after="0" w:line="270" w:lineRule="auto"/>
        <w:tabs>
          <w:tab w:leader="none" w:pos="189"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services-related remaining performance obligations of $9,317 million of which 67% and 97% is expected to be recognized within two years and five years, respectively, and the remaining thereafter.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265"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the “Business” section of our Annual Report on Form 10-K for the year ended December 31, 2022.</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performance of these segments is principally measured based on Total revenues and an earnings metric defined as “Segment EBIT.” Segment EBIT is calculated as Income from continuing operations before income taxes in our Condensed Consolidated and Combined Statements of Income less the following: Interest and other financial charges – net, Non-operating benefit (income) costs, restructuring costs, acquisition and disposition-related benefits (charges), gains and losses of business and asset dispositions, Spin-Off and separation costs, amortization of acquisition-related intangible assets, and investment revaluation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7"/>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6"/>
        </w:trPr>
        <w:tc>
          <w:tcPr>
            <w:tcW w:w="4900" w:type="dxa"/>
            <w:vAlign w:val="bottom"/>
          </w:tcPr>
          <w:p>
            <w:pPr>
              <w:spacing w:after="0"/>
              <w:rPr>
                <w:sz w:val="22"/>
                <w:szCs w:val="22"/>
                <w:color w:val="auto"/>
              </w:rPr>
            </w:pPr>
          </w:p>
        </w:tc>
        <w:tc>
          <w:tcPr>
            <w:tcW w:w="3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three months ended June 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90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r>
      <w:tr>
        <w:trPr>
          <w:trHeight w:val="229"/>
        </w:trPr>
        <w:tc>
          <w:tcPr>
            <w:tcW w:w="4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2023</w:t>
            </w:r>
          </w:p>
        </w:tc>
        <w:tc>
          <w:tcPr>
            <w:tcW w:w="38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2022</w:t>
            </w:r>
          </w:p>
        </w:tc>
      </w:tr>
      <w:tr>
        <w:trPr>
          <w:trHeight w:val="21"/>
        </w:trPr>
        <w:tc>
          <w:tcPr>
            <w:tcW w:w="49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r>
      <w:tr>
        <w:trPr>
          <w:trHeight w:val="209"/>
        </w:trPr>
        <w:tc>
          <w:tcPr>
            <w:tcW w:w="4900" w:type="dxa"/>
            <w:vAlign w:val="bottom"/>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020" w:type="dxa"/>
            <w:vAlign w:val="bottom"/>
            <w:shd w:val="clear" w:color="auto" w:fill="E4E4E4"/>
          </w:tcPr>
          <w:p>
            <w:pPr>
              <w:spacing w:after="0"/>
              <w:rPr>
                <w:sz w:val="18"/>
                <w:szCs w:val="18"/>
                <w:color w:val="auto"/>
              </w:rPr>
            </w:pPr>
          </w:p>
        </w:tc>
        <w:tc>
          <w:tcPr>
            <w:tcW w:w="520" w:type="dxa"/>
            <w:vAlign w:val="bottom"/>
            <w:shd w:val="clear" w:color="auto" w:fill="E4E4E4"/>
          </w:tcPr>
          <w:p>
            <w:pPr>
              <w:spacing w:after="0"/>
              <w:rPr>
                <w:sz w:val="18"/>
                <w:szCs w:val="18"/>
                <w:color w:val="auto"/>
              </w:rPr>
            </w:pPr>
          </w:p>
        </w:tc>
        <w:tc>
          <w:tcPr>
            <w:tcW w:w="38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38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r>
      <w:tr>
        <w:trPr>
          <w:trHeight w:val="224"/>
        </w:trPr>
        <w:tc>
          <w:tcPr>
            <w:tcW w:w="4900" w:type="dxa"/>
            <w:vAlign w:val="bottom"/>
          </w:tcPr>
          <w:p>
            <w:pPr>
              <w:ind w:left="200"/>
              <w:spacing w:after="0"/>
              <w:rPr>
                <w:sz w:val="20"/>
                <w:szCs w:val="20"/>
                <w:color w:val="auto"/>
              </w:rPr>
            </w:pPr>
            <w:r>
              <w:rPr>
                <w:rFonts w:ascii="Arial" w:cs="Arial" w:eastAsia="Arial" w:hAnsi="Arial"/>
                <w:sz w:val="16"/>
                <w:szCs w:val="16"/>
                <w:color w:val="auto"/>
              </w:rPr>
              <w:t>Radiology</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2,227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2,064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4,315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3,982</w:t>
            </w:r>
          </w:p>
        </w:tc>
      </w:tr>
      <w:tr>
        <w:trPr>
          <w:trHeight w:val="33"/>
        </w:trPr>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490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Interventional Guidance</w:t>
            </w:r>
          </w:p>
        </w:tc>
        <w:tc>
          <w:tcPr>
            <w:tcW w:w="102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393</w:t>
            </w:r>
          </w:p>
        </w:tc>
        <w:tc>
          <w:tcPr>
            <w:tcW w:w="3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801</w:t>
            </w:r>
          </w:p>
        </w:tc>
        <w:tc>
          <w:tcPr>
            <w:tcW w:w="3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778</w:t>
            </w:r>
          </w:p>
        </w:tc>
      </w:tr>
      <w:tr>
        <w:trPr>
          <w:trHeight w:val="229"/>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Imaging</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2,620</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2,449</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5,116</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4,760</w:t>
            </w:r>
          </w:p>
        </w:tc>
      </w:tr>
      <w:tr>
        <w:trPr>
          <w:trHeight w:val="21"/>
        </w:trPr>
        <w:tc>
          <w:tcPr>
            <w:tcW w:w="4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6"/>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Ultrasound</w:t>
            </w:r>
          </w:p>
        </w:tc>
        <w:tc>
          <w:tcPr>
            <w:tcW w:w="102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839</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828</w:t>
            </w:r>
          </w:p>
        </w:tc>
        <w:tc>
          <w:tcPr>
            <w:tcW w:w="10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1,698</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1,643</w:t>
            </w:r>
          </w:p>
        </w:tc>
      </w:tr>
      <w:tr>
        <w:trPr>
          <w:trHeight w:val="224"/>
        </w:trPr>
        <w:tc>
          <w:tcPr>
            <w:tcW w:w="4900" w:type="dxa"/>
            <w:vAlign w:val="bottom"/>
          </w:tcPr>
          <w:p>
            <w:pPr>
              <w:ind w:left="20"/>
              <w:spacing w:after="0"/>
              <w:rPr>
                <w:sz w:val="20"/>
                <w:szCs w:val="20"/>
                <w:color w:val="auto"/>
              </w:rPr>
            </w:pPr>
            <w:r>
              <w:rPr>
                <w:rFonts w:ascii="Arial" w:cs="Arial" w:eastAsia="Arial" w:hAnsi="Arial"/>
                <w:sz w:val="16"/>
                <w:szCs w:val="16"/>
                <w:color w:val="auto"/>
              </w:rPr>
              <w:t>PCS: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90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6"/>
                <w:szCs w:val="16"/>
                <w:color w:val="auto"/>
              </w:rPr>
              <w:t>Monitoring Solutions</w:t>
            </w:r>
          </w:p>
        </w:tc>
        <w:tc>
          <w:tcPr>
            <w:tcW w:w="102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1,115</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1,033</w:t>
            </w:r>
          </w:p>
        </w:tc>
      </w:tr>
      <w:tr>
        <w:trPr>
          <w:trHeight w:val="224"/>
        </w:trPr>
        <w:tc>
          <w:tcPr>
            <w:tcW w:w="4900" w:type="dxa"/>
            <w:vAlign w:val="bottom"/>
          </w:tcPr>
          <w:p>
            <w:pPr>
              <w:ind w:left="260"/>
              <w:spacing w:after="0"/>
              <w:rPr>
                <w:sz w:val="20"/>
                <w:szCs w:val="20"/>
                <w:color w:val="auto"/>
              </w:rPr>
            </w:pPr>
            <w:r>
              <w:rPr>
                <w:rFonts w:ascii="Arial" w:cs="Arial" w:eastAsia="Arial" w:hAnsi="Arial"/>
                <w:sz w:val="16"/>
                <w:szCs w:val="16"/>
                <w:color w:val="auto"/>
              </w:rPr>
              <w:t>Life Support Solutions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33"/>
        </w:trPr>
        <w:tc>
          <w:tcPr>
            <w:tcW w:w="4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102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770</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713</w:t>
            </w:r>
          </w:p>
        </w:tc>
        <w:tc>
          <w:tcPr>
            <w:tcW w:w="10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1,551</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1,429</w:t>
            </w:r>
          </w:p>
        </w:tc>
      </w:tr>
      <w:tr>
        <w:trPr>
          <w:trHeight w:val="235"/>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568</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1,126</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962</w:t>
            </w:r>
          </w:p>
        </w:tc>
      </w:tr>
      <w:tr>
        <w:trPr>
          <w:trHeight w:val="21"/>
        </w:trPr>
        <w:tc>
          <w:tcPr>
            <w:tcW w:w="4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6"/>
        </w:trPr>
        <w:tc>
          <w:tcPr>
            <w:tcW w:w="49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(a)</w:t>
            </w:r>
          </w:p>
        </w:tc>
        <w:tc>
          <w:tcPr>
            <w:tcW w:w="1020" w:type="dxa"/>
            <w:vAlign w:val="bottom"/>
            <w:tcBorders>
              <w:bottom w:val="single" w:sz="8" w:color="auto"/>
            </w:tcBorders>
            <w:shd w:val="clear" w:color="auto" w:fill="E4E4E4"/>
          </w:tcPr>
          <w:p>
            <w:pPr>
              <w:spacing w:after="0"/>
              <w:rPr>
                <w:sz w:val="22"/>
                <w:szCs w:val="22"/>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380" w:type="dxa"/>
            <w:vAlign w:val="bottom"/>
            <w:tcBorders>
              <w:bottom w:val="single" w:sz="8" w:color="auto"/>
            </w:tcBorders>
            <w:shd w:val="clear" w:color="auto" w:fill="E4E4E4"/>
          </w:tcPr>
          <w:p>
            <w:pPr>
              <w:spacing w:after="0"/>
              <w:rPr>
                <w:sz w:val="22"/>
                <w:szCs w:val="22"/>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auto"/>
            </w:tcBorders>
            <w:shd w:val="clear" w:color="auto" w:fill="E4E4E4"/>
          </w:tcPr>
          <w:p>
            <w:pPr>
              <w:spacing w:after="0"/>
              <w:rPr>
                <w:sz w:val="22"/>
                <w:szCs w:val="22"/>
                <w:color w:val="auto"/>
              </w:rPr>
            </w:pP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c>
          <w:tcPr>
            <w:tcW w:w="380" w:type="dxa"/>
            <w:vAlign w:val="bottom"/>
            <w:tcBorders>
              <w:bottom w:val="single" w:sz="8" w:color="auto"/>
            </w:tcBorders>
            <w:shd w:val="clear" w:color="auto" w:fill="E4E4E4"/>
          </w:tcPr>
          <w:p>
            <w:pPr>
              <w:spacing w:after="0"/>
              <w:rPr>
                <w:sz w:val="22"/>
                <w:szCs w:val="22"/>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4,817</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4,484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9,524</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8,827</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60" w:right="460" w:hanging="252"/>
        <w:spacing w:after="0" w:line="27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7"/>
        </w:trPr>
        <w:tc>
          <w:tcPr>
            <w:tcW w:w="4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three months ended June 30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9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2022</w:t>
            </w:r>
          </w:p>
        </w:tc>
      </w:tr>
      <w:tr>
        <w:trPr>
          <w:trHeight w:val="21"/>
        </w:trPr>
        <w:tc>
          <w:tcPr>
            <w:tcW w:w="49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Segment EBIT</w:t>
            </w:r>
          </w:p>
        </w:tc>
        <w:tc>
          <w:tcPr>
            <w:tcW w:w="1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r>
      <w:tr>
        <w:trPr>
          <w:trHeight w:val="223"/>
        </w:trPr>
        <w:tc>
          <w:tcPr>
            <w:tcW w:w="4900" w:type="dxa"/>
            <w:vAlign w:val="bottom"/>
          </w:tcPr>
          <w:p>
            <w:pPr>
              <w:ind w:left="140"/>
              <w:spacing w:after="0"/>
              <w:rPr>
                <w:sz w:val="20"/>
                <w:szCs w:val="20"/>
                <w:color w:val="auto"/>
              </w:rPr>
            </w:pPr>
            <w:r>
              <w:rPr>
                <w:rFonts w:ascii="Arial" w:cs="Arial" w:eastAsia="Arial" w:hAnsi="Arial"/>
                <w:sz w:val="16"/>
                <w:szCs w:val="16"/>
                <w:color w:val="auto"/>
              </w:rPr>
              <w:t>Imaging</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278</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469</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3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9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Ultrasound</w:t>
            </w:r>
          </w:p>
        </w:tc>
        <w:tc>
          <w:tcPr>
            <w:tcW w:w="1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398</w:t>
            </w: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412</w:t>
            </w:r>
          </w:p>
        </w:tc>
      </w:tr>
      <w:tr>
        <w:trPr>
          <w:trHeight w:val="223"/>
        </w:trPr>
        <w:tc>
          <w:tcPr>
            <w:tcW w:w="4900" w:type="dxa"/>
            <w:vAlign w:val="bottom"/>
          </w:tcPr>
          <w:p>
            <w:pPr>
              <w:ind w:left="140"/>
              <w:spacing w:after="0"/>
              <w:rPr>
                <w:sz w:val="20"/>
                <w:szCs w:val="20"/>
                <w:color w:val="auto"/>
              </w:rPr>
            </w:pPr>
            <w:r>
              <w:rPr>
                <w:rFonts w:ascii="Arial" w:cs="Arial" w:eastAsia="Arial" w:hAnsi="Arial"/>
                <w:sz w:val="16"/>
                <w:szCs w:val="16"/>
                <w:color w:val="auto"/>
              </w:rPr>
              <w:t>PCS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9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1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307</w:t>
            </w: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253</w:t>
            </w:r>
          </w:p>
        </w:tc>
      </w:tr>
      <w:tr>
        <w:trPr>
          <w:trHeight w:val="25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9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711</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719</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1,375</w:t>
            </w: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1,318</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Gain/(loss) of business and asset dispositions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1"/>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2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34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w:t>
            </w:r>
          </w:p>
        </w:tc>
        <w:tc>
          <w:tcPr>
            <w:tcW w:w="3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639</w:t>
            </w:r>
          </w:p>
        </w:tc>
        <w:tc>
          <w:tcPr>
            <w:tcW w:w="2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1,116</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1,172</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right="380" w:hanging="252"/>
        <w:spacing w:after="0" w:line="276" w:lineRule="auto"/>
        <w:tabs>
          <w:tab w:leader="none" w:pos="26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Financial information not presented within the reportable segments, shown within the Other category, represents the HFS business and certain other business activities which do not meet the definition of an operating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454545"/>
              </w:rPr>
              <w:t>June 30, 2023</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64"/>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(a)</w:t>
            </w:r>
          </w:p>
        </w:tc>
        <w:tc>
          <w:tcPr>
            <w:tcW w:w="26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3,154</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3,112</w:t>
            </w: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2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26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112</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Sundry receivables</w:t>
            </w:r>
          </w:p>
        </w:tc>
        <w:tc>
          <w:tcPr>
            <w:tcW w:w="2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308</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w:t>
            </w:r>
          </w:p>
        </w:tc>
      </w:tr>
      <w:tr>
        <w:trPr>
          <w:trHeight w:val="21"/>
        </w:trPr>
        <w:tc>
          <w:tcPr>
            <w:tcW w:w="7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26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3,370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3,295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60" w:right="140" w:hanging="252"/>
        <w:spacing w:after="0" w:line="270"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$140 million and $157 million as of June 30, 2023 and December 31, 2022, respectively. The decrease in chargebacks is primarily due to lower wholesaler product levels.</w:t>
      </w:r>
    </w:p>
    <w:p>
      <w:pPr>
        <w:sectPr>
          <w:pgSz w:w="11900" w:h="16838" w:orient="portrait"/>
          <w:cols w:equalWidth="0" w:num="1">
            <w:col w:w="11240"/>
          </w:cols>
          <w:pgMar w:left="320" w:top="1147" w:right="339" w:bottom="5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507"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454545"/>
              </w:rPr>
              <w:t>June 30, 2023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customer receivables</w:t>
            </w:r>
          </w:p>
        </w:tc>
        <w:tc>
          <w:tcPr>
            <w:tcW w:w="1540" w:type="dxa"/>
            <w:vAlign w:val="bottom"/>
            <w:tcBorders>
              <w:bottom w:val="single" w:sz="8" w:color="E4E4E4"/>
            </w:tcBorders>
            <w:shd w:val="clear" w:color="auto" w:fill="E4E4E4"/>
          </w:tcPr>
          <w:p>
            <w:pPr>
              <w:jc w:val="right"/>
              <w:ind w:right="13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Sundry receivables</w:t>
            </w:r>
          </w:p>
        </w:tc>
        <w:tc>
          <w:tcPr>
            <w:tcW w:w="1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7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Non-income based tax receivables</w:t>
            </w:r>
          </w:p>
        </w:tc>
        <w:tc>
          <w:tcPr>
            <w:tcW w:w="1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Supplier advances</w:t>
            </w:r>
          </w:p>
        </w:tc>
        <w:tc>
          <w:tcPr>
            <w:tcW w:w="1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4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(a)</w:t>
            </w:r>
          </w:p>
        </w:tc>
        <w:tc>
          <w:tcPr>
            <w:tcW w:w="1540" w:type="dxa"/>
            <w:vAlign w:val="bottom"/>
            <w:tcBorders>
              <w:top w:val="single" w:sz="8" w:color="auto"/>
              <w:bottom w:val="single" w:sz="8" w:color="auto"/>
            </w:tcBorders>
          </w:tcPr>
          <w:p>
            <w:pPr>
              <w:jc w:val="right"/>
              <w:ind w:right="13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 Long-term receivables are recognized within All other assets in the Condensed Consolidated and Combined Statements of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Financing Receivables</w:t>
            </w: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454545"/>
              </w:rPr>
              <w:t>June 30, 2023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540" w:type="dxa"/>
            <w:vAlign w:val="bottom"/>
            <w:tcBorders>
              <w:bottom w:val="single" w:sz="8" w:color="E4E4E4"/>
            </w:tcBorders>
            <w:shd w:val="clear" w:color="auto" w:fill="E4E4E4"/>
          </w:tcPr>
          <w:p>
            <w:pPr>
              <w:jc w:val="right"/>
              <w:ind w:right="13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7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4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(a)</w:t>
            </w:r>
          </w:p>
        </w:tc>
        <w:tc>
          <w:tcPr>
            <w:tcW w:w="15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2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7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4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(a)</w:t>
            </w:r>
          </w:p>
        </w:tc>
        <w:tc>
          <w:tcPr>
            <w:tcW w:w="1540" w:type="dxa"/>
            <w:vAlign w:val="bottom"/>
            <w:tcBorders>
              <w:top w:val="single" w:sz="8" w:color="auto"/>
              <w:bottom w:val="single" w:sz="8" w:color="auto"/>
            </w:tcBorders>
          </w:tcPr>
          <w:p>
            <w:pPr>
              <w:jc w:val="right"/>
              <w:ind w:right="13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r>
    </w:tbl>
    <w:p>
      <w:pPr>
        <w:spacing w:after="0" w:line="84" w:lineRule="exact"/>
        <w:rPr>
          <w:sz w:val="20"/>
          <w:szCs w:val="20"/>
          <w:color w:val="auto"/>
        </w:rPr>
      </w:pPr>
    </w:p>
    <w:p>
      <w:pPr>
        <w:ind w:left="260" w:right="260" w:hanging="252"/>
        <w:spacing w:after="0" w:line="276"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assets, respectively, in the Condensed Consolidated and Combined Statements of Financial Position.</w:t>
      </w:r>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As of June 30, 2023, 5%, 4%, and 5% of financing receivables were over 30 days past due, over 90 days past due, and on nonaccrual, respectively, with the majority of nonaccrual financing receivables secured by collateral. As of December 31, 2022, 7%, 6%, and 6% of financing receivables were over 30 days past due, over 90 days past due, and on nonaccrual, respectively, with the majority of nonaccrual financing receivables secured by collateral.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 LIABILITIES.</w:t>
      </w:r>
    </w:p>
    <w:p>
      <w:pPr>
        <w:spacing w:after="0" w:line="270"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Operating lease liabilities recognized within All other current liabilities or All other liabilities in the Condensed Consolidated and Combined Statements of Financial Position were $370 million and $347 million as of June 30, 2023 and December 31, 2022, respectively. Expense related to our operating lease portfolio was $57 million and $40 million for the three months ended June 30, 2023 and 2022, respectively, and $113 million and $96 million for the six months ended June 30, 2023 and 2022,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7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On February 17, 2023, the Company acquired 100% of the stock of Caption Health, Inc. (“Caption Health”) for $127 million of upfront payment, $10 million future holdback payment and potential earn-out payments valued at $13 million based primarily on various milestones and sales targets. The preliminary purchase price allocation resulted in goodwill of $94 million, intangible assets of $60 million, and deferred tax liabilities of $3 million. Purchase price allocations are based on preliminary valuations. Our estimates and assumptions are subject to change within the measurement period. The goodwill associated with the acquired business is non-deductible for tax purposes and is reported in the Ultrasound segment. Caption Health is an artificial intelligence (“AI”) company whose technology expands access to AI-guided ultrasound screening for novice users.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the fair value measurement of contingent consideration.</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9"/>
        </w:trPr>
        <w:tc>
          <w:tcPr>
            <w:tcW w:w="3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454545"/>
              </w:rPr>
              <w:t>Balance as of</w:t>
            </w: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454545"/>
              </w:rPr>
              <w:t>Foreign exchange and</w:t>
            </w:r>
          </w:p>
        </w:tc>
        <w:tc>
          <w:tcPr>
            <w:tcW w:w="280" w:type="dxa"/>
            <w:vAlign w:val="bottom"/>
          </w:tcPr>
          <w:p>
            <w:pPr>
              <w:spacing w:after="0"/>
              <w:rPr>
                <w:sz w:val="22"/>
                <w:szCs w:val="22"/>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454545"/>
              </w:rPr>
              <w:t>Balance as of</w:t>
            </w:r>
          </w:p>
        </w:tc>
      </w:tr>
      <w:tr>
        <w:trPr>
          <w:trHeight w:val="227"/>
        </w:trPr>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454545"/>
              </w:rPr>
              <w:t>December 31, 2022</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454545"/>
              </w:rPr>
              <w:t>Acquisitions</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454545"/>
              </w:rPr>
              <w:t>other</w:t>
            </w:r>
          </w:p>
        </w:tc>
        <w:tc>
          <w:tcPr>
            <w:tcW w:w="280" w:type="dxa"/>
            <w:vAlign w:val="bottom"/>
          </w:tcPr>
          <w:p>
            <w:pPr>
              <w:spacing w:after="0"/>
              <w:rPr>
                <w:sz w:val="19"/>
                <w:szCs w:val="19"/>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454545"/>
              </w:rPr>
              <w:t>June 30, 2023</w:t>
            </w:r>
          </w:p>
        </w:tc>
      </w:tr>
      <w:tr>
        <w:trPr>
          <w:trHeight w:val="21"/>
        </w:trPr>
        <w:tc>
          <w:tcPr>
            <w:tcW w:w="3900" w:type="dxa"/>
            <w:vAlign w:val="bottom"/>
            <w:tcBorders>
              <w:bottom w:val="single" w:sz="8" w:color="6022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r>
      <w:tr>
        <w:trPr>
          <w:trHeight w:val="250"/>
        </w:trPr>
        <w:tc>
          <w:tcPr>
            <w:tcW w:w="3900" w:type="dxa"/>
            <w:vAlign w:val="bottom"/>
            <w:shd w:val="clear" w:color="auto" w:fill="E4E4E4"/>
          </w:tcPr>
          <w:p>
            <w:pPr>
              <w:ind w:left="20"/>
              <w:spacing w:after="0"/>
              <w:rPr>
                <w:sz w:val="20"/>
                <w:szCs w:val="20"/>
                <w:color w:val="auto"/>
              </w:rPr>
            </w:pPr>
            <w:r>
              <w:rPr>
                <w:rFonts w:ascii="Arial" w:cs="Arial" w:eastAsia="Arial" w:hAnsi="Arial"/>
                <w:sz w:val="16"/>
                <w:szCs w:val="16"/>
                <w:color w:val="auto"/>
              </w:rPr>
              <w:t>Imaging</w:t>
            </w:r>
            <w:r>
              <w:rPr>
                <w:rFonts w:ascii="Arial" w:cs="Arial" w:eastAsia="Arial" w:hAnsi="Arial"/>
                <w:sz w:val="21"/>
                <w:szCs w:val="21"/>
                <w:color w:val="auto"/>
                <w:vertAlign w:val="superscript"/>
              </w:rPr>
              <w:t>(a)</w:t>
            </w:r>
          </w:p>
        </w:tc>
        <w:tc>
          <w:tcPr>
            <w:tcW w:w="140" w:type="dxa"/>
            <w:vAlign w:val="bottom"/>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4,409</w:t>
            </w:r>
          </w:p>
        </w:tc>
        <w:tc>
          <w:tcPr>
            <w:tcW w:w="1480" w:type="dxa"/>
            <w:vAlign w:val="bottom"/>
            <w:shd w:val="clear" w:color="auto" w:fill="E4E4E4"/>
          </w:tcPr>
          <w:p>
            <w:pPr>
              <w:jc w:val="right"/>
              <w:ind w:right="1219"/>
              <w:spacing w:after="0"/>
              <w:rPr>
                <w:sz w:val="20"/>
                <w:szCs w:val="20"/>
                <w:color w:val="auto"/>
              </w:rPr>
            </w:pPr>
            <w:r>
              <w:rPr>
                <w:rFonts w:ascii="Arial" w:cs="Arial" w:eastAsia="Arial" w:hAnsi="Arial"/>
                <w:sz w:val="16"/>
                <w:szCs w:val="16"/>
                <w:color w:val="auto"/>
              </w:rPr>
              <w:t>$</w:t>
            </w:r>
          </w:p>
        </w:tc>
        <w:tc>
          <w:tcPr>
            <w:tcW w:w="4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16</w:t>
            </w:r>
          </w:p>
        </w:tc>
        <w:tc>
          <w:tcPr>
            <w:tcW w:w="460" w:type="dxa"/>
            <w:vAlign w:val="bottom"/>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2</w:t>
            </w:r>
          </w:p>
        </w:tc>
        <w:tc>
          <w:tcPr>
            <w:tcW w:w="28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4,427</w:t>
            </w:r>
          </w:p>
        </w:tc>
      </w:tr>
      <w:tr>
        <w:trPr>
          <w:trHeight w:val="223"/>
        </w:trPr>
        <w:tc>
          <w:tcPr>
            <w:tcW w:w="3900" w:type="dxa"/>
            <w:vAlign w:val="bottom"/>
          </w:tcPr>
          <w:p>
            <w:pPr>
              <w:ind w:left="20"/>
              <w:spacing w:after="0"/>
              <w:rPr>
                <w:sz w:val="20"/>
                <w:szCs w:val="20"/>
                <w:color w:val="auto"/>
              </w:rPr>
            </w:pPr>
            <w:r>
              <w:rPr>
                <w:rFonts w:ascii="Arial" w:cs="Arial" w:eastAsia="Arial" w:hAnsi="Arial"/>
                <w:sz w:val="16"/>
                <w:szCs w:val="16"/>
                <w:color w:val="auto"/>
              </w:rPr>
              <w:t>Ultrasound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3,835</w:t>
            </w:r>
          </w:p>
        </w:tc>
        <w:tc>
          <w:tcPr>
            <w:tcW w:w="14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4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3,930</w:t>
            </w:r>
          </w:p>
        </w:tc>
      </w:tr>
      <w:tr>
        <w:trPr>
          <w:trHeight w:val="33"/>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3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2,036</w:t>
            </w:r>
          </w:p>
        </w:tc>
        <w:tc>
          <w:tcPr>
            <w:tcW w:w="148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2,038</w:t>
            </w:r>
          </w:p>
        </w:tc>
      </w:tr>
      <w:tr>
        <w:trPr>
          <w:trHeight w:val="224"/>
        </w:trPr>
        <w:tc>
          <w:tcPr>
            <w:tcW w:w="3900" w:type="dxa"/>
            <w:vAlign w:val="bottom"/>
          </w:tcPr>
          <w:p>
            <w:pPr>
              <w:ind w:left="20"/>
              <w:spacing w:after="0"/>
              <w:rPr>
                <w:sz w:val="20"/>
                <w:szCs w:val="20"/>
                <w:color w:val="auto"/>
              </w:rPr>
            </w:pPr>
            <w:r>
              <w:rPr>
                <w:rFonts w:ascii="Arial" w:cs="Arial" w:eastAsia="Arial" w:hAnsi="Arial"/>
                <w:sz w:val="16"/>
                <w:szCs w:val="16"/>
                <w:color w:val="auto"/>
              </w:rPr>
              <w:t>PDx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2,533</w:t>
            </w:r>
          </w:p>
        </w:tc>
        <w:tc>
          <w:tcPr>
            <w:tcW w:w="14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2,534</w:t>
            </w:r>
          </w:p>
        </w:tc>
      </w:tr>
      <w:tr>
        <w:trPr>
          <w:trHeight w:val="33"/>
        </w:trPr>
        <w:tc>
          <w:tcPr>
            <w:tcW w:w="3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Goodwill</w:t>
            </w:r>
          </w:p>
        </w:tc>
        <w:tc>
          <w:tcPr>
            <w:tcW w:w="1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12,813</w:t>
            </w:r>
          </w:p>
        </w:tc>
        <w:tc>
          <w:tcPr>
            <w:tcW w:w="148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110</w:t>
            </w:r>
          </w:p>
        </w:tc>
        <w:tc>
          <w:tcPr>
            <w:tcW w:w="4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6</w:t>
            </w:r>
          </w:p>
        </w:tc>
        <w:tc>
          <w:tcPr>
            <w:tcW w:w="2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12,929</w:t>
            </w:r>
          </w:p>
        </w:tc>
      </w:tr>
      <w:tr>
        <w:trPr>
          <w:trHeight w:val="20"/>
        </w:trPr>
        <w:tc>
          <w:tcPr>
            <w:tcW w:w="3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84" w:lineRule="exact"/>
        <w:rPr>
          <w:sz w:val="20"/>
          <w:szCs w:val="20"/>
          <w:color w:val="auto"/>
        </w:rPr>
      </w:pPr>
    </w:p>
    <w:p>
      <w:pPr>
        <w:ind w:left="260" w:right="40" w:hanging="252"/>
        <w:spacing w:after="0" w:line="276"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the acquisition of IMACTIS SAS (“Imactis”) in the second quarter of 2023. Imactis is a French company that provides electromagnetic navigation solutions for image-guided procedures in computed tomography.</w:t>
      </w:r>
    </w:p>
    <w:p>
      <w:pPr>
        <w:spacing w:after="0" w:line="211"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20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Substantially all other intangible assets are subject to amortization. Intangible assets decreased during the six months ended June 30, 2023, primarily as a result of amortization, partially offset by acquisitions in our Imaging and Ultrasound segments. Amortization expense was $93 million and $101 million for the three months ended June 30, 2023 and 2022, respectively, and $189 million and $204 million for the six months ended June 30, 2023 and 2022,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7"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The Company’s long-term borrowings include $8,250 million aggregate principal amount of senior unsecured notes in six series with maturity dates ranging from 2024 through 2052 (collectively, the “Notes”). Refer to the table below for further information about the Notes.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0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and</w:t>
      </w:r>
    </w:p>
    <w:p>
      <w:pPr>
        <w:spacing w:after="0" w:line="59" w:lineRule="exact"/>
        <w:rPr>
          <w:rFonts w:ascii="Arial" w:cs="Arial" w:eastAsia="Arial" w:hAnsi="Arial"/>
          <w:sz w:val="16"/>
          <w:szCs w:val="16"/>
          <w:color w:val="auto"/>
        </w:rPr>
      </w:pPr>
    </w:p>
    <w:p>
      <w:pPr>
        <w:ind w:left="660" w:right="20" w:hanging="328"/>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(the “Term Loan Facility” and, together with the five-year revolving credit facility and the 364-day revolving credit facility, the “Credit Facilities”).</w:t>
      </w:r>
    </w:p>
    <w:p>
      <w:pPr>
        <w:spacing w:after="0" w:line="50" w:lineRule="exact"/>
        <w:rPr>
          <w:sz w:val="20"/>
          <w:szCs w:val="20"/>
          <w:color w:val="auto"/>
        </w:rPr>
      </w:pPr>
    </w:p>
    <w:p>
      <w:pPr>
        <w:jc w:val="both"/>
        <w:ind w:right="240"/>
        <w:spacing w:after="0" w:line="270" w:lineRule="auto"/>
        <w:rPr>
          <w:sz w:val="20"/>
          <w:szCs w:val="20"/>
          <w:color w:val="auto"/>
        </w:rPr>
      </w:pPr>
      <w:r>
        <w:rPr>
          <w:rFonts w:ascii="Arial" w:cs="Arial" w:eastAsia="Arial" w:hAnsi="Arial"/>
          <w:sz w:val="16"/>
          <w:szCs w:val="16"/>
          <w:color w:val="auto"/>
        </w:rPr>
        <w:t xml:space="preserve">There were no outstanding amounts under the five-year revolving credit facility and 364-day revolving credit facility as of June 30, 2023 or December 31, 2022. </w:t>
      </w:r>
      <w:r>
        <w:rPr>
          <w:rFonts w:ascii="Arial" w:cs="Arial" w:eastAsia="Arial" w:hAnsi="Arial"/>
          <w:sz w:val="16"/>
          <w:szCs w:val="16"/>
          <w:color w:val="231F20"/>
        </w:rPr>
        <w:t>On January 3, 2023, the Company</w:t>
      </w:r>
      <w:r>
        <w:rPr>
          <w:rFonts w:ascii="Arial" w:cs="Arial" w:eastAsia="Arial" w:hAnsi="Arial"/>
          <w:sz w:val="16"/>
          <w:szCs w:val="16"/>
          <w:color w:val="auto"/>
        </w:rPr>
        <w:t xml:space="preserve"> completed a $2,000 million drawdown of the floating rate Term Loan Facility in connection with the Spin-Off from GE.</w:t>
      </w:r>
    </w:p>
    <w:p>
      <w:pPr>
        <w:spacing w:after="0" w:line="203"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The weighted average interest rate for the Notes and our Credit Facilities for the six months ended June 30, 2023 was 5.98%. We had no principal debt repayments on the Notes or the Term Loan Facility for the six months ended June 30,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Long-Term Borrowings Composition</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6"/>
        </w:trPr>
        <w:tc>
          <w:tcPr>
            <w:tcW w:w="7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454545"/>
                <w:w w:val="94"/>
              </w:rPr>
              <w:t>As of</w:t>
            </w:r>
          </w:p>
        </w:tc>
        <w:tc>
          <w:tcPr>
            <w:tcW w:w="1860" w:type="dxa"/>
            <w:vAlign w:val="bottom"/>
          </w:tcPr>
          <w:p>
            <w:pPr>
              <w:spacing w:after="0"/>
              <w:rPr>
                <w:sz w:val="22"/>
                <w:szCs w:val="22"/>
                <w:color w:val="auto"/>
              </w:rPr>
            </w:pPr>
          </w:p>
        </w:tc>
      </w:tr>
      <w:tr>
        <w:trPr>
          <w:trHeight w:val="21"/>
        </w:trPr>
        <w:tc>
          <w:tcPr>
            <w:tcW w:w="70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9"/>
        </w:trPr>
        <w:tc>
          <w:tcPr>
            <w:tcW w:w="7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ind w:right="299"/>
              <w:spacing w:after="0"/>
              <w:rPr>
                <w:sz w:val="20"/>
                <w:szCs w:val="20"/>
                <w:color w:val="auto"/>
              </w:rPr>
            </w:pPr>
            <w:r>
              <w:rPr>
                <w:rFonts w:ascii="Arial" w:cs="Arial" w:eastAsia="Arial" w:hAnsi="Arial"/>
                <w:sz w:val="16"/>
                <w:szCs w:val="16"/>
                <w:b w:val="1"/>
                <w:bCs w:val="1"/>
                <w:color w:val="454545"/>
              </w:rPr>
              <w:t>June 30, 2023</w:t>
            </w:r>
          </w:p>
        </w:tc>
        <w:tc>
          <w:tcPr>
            <w:tcW w:w="420" w:type="dxa"/>
            <w:vAlign w:val="bottom"/>
          </w:tcPr>
          <w:p>
            <w:pPr>
              <w:spacing w:after="0"/>
              <w:rPr>
                <w:sz w:val="19"/>
                <w:szCs w:val="19"/>
                <w:color w:val="auto"/>
              </w:rPr>
            </w:pPr>
          </w:p>
        </w:tc>
        <w:tc>
          <w:tcPr>
            <w:tcW w:w="1860" w:type="dxa"/>
            <w:vAlign w:val="bottom"/>
          </w:tcPr>
          <w:p>
            <w:pPr>
              <w:jc w:val="right"/>
              <w:ind w:right="29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0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r>
      <w:tr>
        <w:trPr>
          <w:trHeight w:val="230"/>
        </w:trPr>
        <w:tc>
          <w:tcPr>
            <w:tcW w:w="7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5.550% senior notes due November 15, 2024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3"/>
        </w:trPr>
        <w:tc>
          <w:tcPr>
            <w:tcW w:w="708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1,500</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6"/>
        </w:trPr>
        <w:tc>
          <w:tcPr>
            <w:tcW w:w="7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420" w:type="dxa"/>
            <w:vAlign w:val="bottom"/>
            <w:tcBorders>
              <w:bottom w:val="single" w:sz="8" w:color="E4E4E4"/>
            </w:tcBorders>
            <w:shd w:val="clear" w:color="auto" w:fill="E4E4E4"/>
          </w:tcPr>
          <w:p>
            <w:pPr>
              <w:spacing w:after="0"/>
              <w:rPr>
                <w:sz w:val="20"/>
                <w:szCs w:val="20"/>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3"/>
        </w:trPr>
        <w:tc>
          <w:tcPr>
            <w:tcW w:w="708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1,250</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6"/>
        </w:trPr>
        <w:tc>
          <w:tcPr>
            <w:tcW w:w="7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420" w:type="dxa"/>
            <w:vAlign w:val="bottom"/>
            <w:tcBorders>
              <w:bottom w:val="single" w:sz="8" w:color="E4E4E4"/>
            </w:tcBorders>
            <w:shd w:val="clear" w:color="auto" w:fill="E4E4E4"/>
          </w:tcPr>
          <w:p>
            <w:pPr>
              <w:spacing w:after="0"/>
              <w:rPr>
                <w:sz w:val="20"/>
                <w:szCs w:val="20"/>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4"/>
        </w:trPr>
        <w:tc>
          <w:tcPr>
            <w:tcW w:w="708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7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2,000</w:t>
            </w:r>
          </w:p>
        </w:tc>
        <w:tc>
          <w:tcPr>
            <w:tcW w:w="420" w:type="dxa"/>
            <w:vAlign w:val="bottom"/>
            <w:tcBorders>
              <w:bottom w:val="single" w:sz="8" w:color="E4E4E4"/>
            </w:tcBorders>
            <w:shd w:val="clear" w:color="auto" w:fill="E4E4E4"/>
          </w:tcPr>
          <w:p>
            <w:pPr>
              <w:spacing w:after="0"/>
              <w:rPr>
                <w:sz w:val="20"/>
                <w:szCs w:val="20"/>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080" w:type="dxa"/>
            <w:vAlign w:val="bottom"/>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7080" w:type="dxa"/>
            <w:vAlign w:val="bottom"/>
            <w:tcBorders>
              <w:bottom w:val="single" w:sz="8" w:color="454545"/>
            </w:tcBorders>
          </w:tcPr>
          <w:p>
            <w:pPr>
              <w:spacing w:after="0"/>
              <w:rPr>
                <w:sz w:val="2"/>
                <w:szCs w:val="2"/>
                <w:color w:val="auto"/>
              </w:rPr>
            </w:pPr>
          </w:p>
        </w:tc>
        <w:tc>
          <w:tcPr>
            <w:tcW w:w="280" w:type="dxa"/>
            <w:vAlign w:val="bottom"/>
            <w:tcBorders>
              <w:bottom w:val="single" w:sz="8" w:color="454545"/>
            </w:tcBorders>
          </w:tcPr>
          <w:p>
            <w:pPr>
              <w:spacing w:after="0"/>
              <w:rPr>
                <w:sz w:val="2"/>
                <w:szCs w:val="2"/>
                <w:color w:val="auto"/>
              </w:rPr>
            </w:pPr>
          </w:p>
        </w:tc>
        <w:tc>
          <w:tcPr>
            <w:tcW w:w="1600" w:type="dxa"/>
            <w:vAlign w:val="bottom"/>
            <w:tcBorders>
              <w:bottom w:val="single" w:sz="8" w:color="454545"/>
            </w:tcBorders>
          </w:tcPr>
          <w:p>
            <w:pPr>
              <w:spacing w:after="0"/>
              <w:rPr>
                <w:sz w:val="2"/>
                <w:szCs w:val="2"/>
                <w:color w:val="auto"/>
              </w:rPr>
            </w:pPr>
          </w:p>
        </w:tc>
        <w:tc>
          <w:tcPr>
            <w:tcW w:w="420" w:type="dxa"/>
            <w:vAlign w:val="bottom"/>
            <w:tcBorders>
              <w:bottom w:val="single" w:sz="8" w:color="454545"/>
            </w:tcBorders>
          </w:tcPr>
          <w:p>
            <w:pPr>
              <w:spacing w:after="0"/>
              <w:rPr>
                <w:sz w:val="2"/>
                <w:szCs w:val="2"/>
                <w:color w:val="auto"/>
              </w:rPr>
            </w:pPr>
          </w:p>
        </w:tc>
        <w:tc>
          <w:tcPr>
            <w:tcW w:w="1860" w:type="dxa"/>
            <w:vAlign w:val="bottom"/>
            <w:tcBorders>
              <w:bottom w:val="single" w:sz="8" w:color="454545"/>
            </w:tcBorders>
          </w:tcPr>
          <w:p>
            <w:pPr>
              <w:spacing w:after="0"/>
              <w:rPr>
                <w:sz w:val="2"/>
                <w:szCs w:val="2"/>
                <w:color w:val="auto"/>
              </w:rPr>
            </w:pPr>
          </w:p>
        </w:tc>
      </w:tr>
      <w:tr>
        <w:trPr>
          <w:trHeight w:val="255"/>
        </w:trPr>
        <w:tc>
          <w:tcPr>
            <w:tcW w:w="7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80" w:type="dxa"/>
            <w:vAlign w:val="bottom"/>
            <w:tcBorders>
              <w:bottom w:val="single" w:sz="8" w:color="E4E4E4"/>
            </w:tcBorders>
            <w:shd w:val="clear" w:color="auto" w:fill="E4E4E4"/>
          </w:tcPr>
          <w:p>
            <w:pPr>
              <w:spacing w:after="0"/>
              <w:rPr>
                <w:sz w:val="21"/>
                <w:szCs w:val="21"/>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10,282</w:t>
            </w:r>
          </w:p>
        </w:tc>
        <w:tc>
          <w:tcPr>
            <w:tcW w:w="420" w:type="dxa"/>
            <w:vAlign w:val="bottom"/>
            <w:tcBorders>
              <w:bottom w:val="single" w:sz="8" w:color="E4E4E4"/>
            </w:tcBorders>
            <w:shd w:val="clear" w:color="auto" w:fill="E4E4E4"/>
          </w:tcPr>
          <w:p>
            <w:pPr>
              <w:spacing w:after="0"/>
              <w:rPr>
                <w:sz w:val="21"/>
                <w:szCs w:val="21"/>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8,288</w:t>
            </w:r>
          </w:p>
        </w:tc>
      </w:tr>
      <w:tr>
        <w:trPr>
          <w:trHeight w:val="217"/>
        </w:trPr>
        <w:tc>
          <w:tcPr>
            <w:tcW w:w="708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80" w:type="dxa"/>
            <w:vAlign w:val="bottom"/>
            <w:tcBorders>
              <w:top w:val="single" w:sz="8" w:color="454545"/>
            </w:tcBorders>
          </w:tcPr>
          <w:p>
            <w:pPr>
              <w:spacing w:after="0"/>
              <w:rPr>
                <w:sz w:val="18"/>
                <w:szCs w:val="18"/>
                <w:color w:val="auto"/>
              </w:rPr>
            </w:pPr>
          </w:p>
        </w:tc>
        <w:tc>
          <w:tcPr>
            <w:tcW w:w="160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44</w:t>
            </w:r>
          </w:p>
        </w:tc>
        <w:tc>
          <w:tcPr>
            <w:tcW w:w="420" w:type="dxa"/>
            <w:vAlign w:val="bottom"/>
            <w:tcBorders>
              <w:top w:val="single" w:sz="8" w:color="454545"/>
            </w:tcBorders>
          </w:tcPr>
          <w:p>
            <w:pPr>
              <w:spacing w:after="0"/>
              <w:rPr>
                <w:sz w:val="18"/>
                <w:szCs w:val="18"/>
                <w:color w:val="auto"/>
              </w:rPr>
            </w:pPr>
          </w:p>
        </w:tc>
        <w:tc>
          <w:tcPr>
            <w:tcW w:w="186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61"/>
        </w:trPr>
        <w:tc>
          <w:tcPr>
            <w:tcW w:w="7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Current portion of long-term borrowings</w:t>
            </w:r>
          </w:p>
        </w:tc>
        <w:tc>
          <w:tcPr>
            <w:tcW w:w="28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E4E4E4"/>
            </w:tcBorders>
            <w:shd w:val="clear" w:color="auto" w:fill="E4E4E4"/>
          </w:tcPr>
          <w:p>
            <w:pPr>
              <w:spacing w:after="0"/>
              <w:rPr>
                <w:sz w:val="22"/>
                <w:szCs w:val="22"/>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708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Long-term borrowings, net of current portion</w:t>
            </w:r>
          </w:p>
        </w:tc>
        <w:tc>
          <w:tcPr>
            <w:tcW w:w="280" w:type="dxa"/>
            <w:vAlign w:val="bottom"/>
            <w:tcBorders>
              <w:top w:val="single" w:sz="8" w:color="454545"/>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10,233</w:t>
            </w:r>
          </w:p>
        </w:tc>
        <w:tc>
          <w:tcPr>
            <w:tcW w:w="420" w:type="dxa"/>
            <w:vAlign w:val="bottom"/>
            <w:tcBorders>
              <w:top w:val="single" w:sz="8" w:color="454545"/>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8,234</w:t>
            </w:r>
          </w:p>
        </w:tc>
      </w:tr>
      <w:tr>
        <w:trPr>
          <w:trHeight w:val="21"/>
        </w:trPr>
        <w:tc>
          <w:tcPr>
            <w:tcW w:w="70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7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737" w:gutter="0" w:footer="0" w:header="0"/>
          <w:type w:val="continuous"/>
        </w:sectPr>
      </w:pPr>
    </w:p>
    <w:bookmarkStart w:id="16" w:name="page17"/>
    <w:bookmarkEnd w:id="16"/>
    <w:p>
      <w:pPr>
        <w:ind w:right="340"/>
        <w:spacing w:after="0" w:line="276" w:lineRule="auto"/>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cross-currency interest rate swaps.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to the Notes, which were guaranteed on a senior unsecured basis by GE through the completion of the Spin-Off, at which time GE was automatically and unconditionally released and discharged from all obligations under its guarantees, as of June 30, 2023 and December 31, 2022, the Company had unused letters of credit, bank guarantees, bid bonds, and surety bonds of approximately $693 million and $657 million, respectively, related to certain commercial contracts. Additionally, we have approximately $44 million and $43 million of guarantees as of June 30, 2023 and December 31, 2022, respectively, primarily related to residual value guarantees on equipment sold to third-party finance companies. Our Condensed Consolidated and Combined Statements of Financial Position reflect a liability of $4 million and $4 million as of June 30, 2023 and December 31, 2022, respectively, related to these guarantees. For credit-related guarantees, we estimate our expected credit losses related to off-balance sheet credit exposure consistent with the method used to estimate the allowance for credit losses on financial assets held at amortized cost. See Note 13, “Commitments, Guarantees, Product Warranties, and Other Loss Contingencies” for further information on guarantee arrangements with 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color w:val="auto"/>
        </w:rPr>
        <w:t>PENSION BENEFITS AND RETIREE HEALTH AND LIFE BENEFITS SPONSORED BY GE, TRANSFERRED TO GE HEALTHCARE IN CONNECTION WITH THE SPIN-OFF.</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231F20"/>
        </w:rPr>
        <w:t>C</w:t>
      </w:r>
      <w:r>
        <w:rPr>
          <w:rFonts w:ascii="Arial" w:cs="Arial" w:eastAsia="Arial" w:hAnsi="Arial"/>
          <w:sz w:val="16"/>
          <w:szCs w:val="16"/>
          <w:color w:val="000000"/>
        </w:rPr>
        <w:t>ertain GE HealthCare employees were covered under various pension and retiree health and life plans sponsored by GE prior to the Spin-Off, including</w:t>
      </w:r>
      <w:r>
        <w:rPr>
          <w:rFonts w:ascii="Arial" w:cs="Arial" w:eastAsia="Arial" w:hAnsi="Arial"/>
          <w:sz w:val="16"/>
          <w:szCs w:val="16"/>
          <w:color w:val="231F20"/>
        </w:rPr>
        <w:t xml:space="preserve"> </w:t>
      </w:r>
      <w:r>
        <w:rPr>
          <w:rFonts w:ascii="Arial" w:cs="Arial" w:eastAsia="Arial" w:hAnsi="Arial"/>
          <w:sz w:val="16"/>
          <w:szCs w:val="16"/>
          <w:color w:val="000000"/>
        </w:rPr>
        <w:t>principal pension plans, other pension plans, and principal retiree benefit plans. A subset of these pension plans have been closed to new participants. For the three and six months ended June 30, 2022, relevant participation costs for these plans were allocated to the Company and recognized within the Condensed Combined Statement of Income. These included service costs for active employees in the U.S. GE Pension Plan, certain international pension plans, the U.S. GE Supplementary Pension Plan, and the U.S. retiree benefit plan. We did not record any liabilities associated with our participation in these plans in our Condensed Combined Statement of Financial Position as of December 31, 2022.</w:t>
      </w:r>
    </w:p>
    <w:p>
      <w:pPr>
        <w:spacing w:after="0" w:line="21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Expenses associated with our employees’ participation in the U.S. GE principal pension and principal retiree benefit plans, which represent the majority of related expense, were $25 million and $49 million for the three and six months ended June 30, 2022. Expenses associated with our employees’ participation in GE’s non-U.S. based pension plans were $12 million and $16 million for the three and six months ended June 30, 2022.</w:t>
      </w:r>
    </w:p>
    <w:p>
      <w:pPr>
        <w:spacing w:after="0" w:line="203"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In connection with the Spin-Off, on January 1, 2023, these plans were separated and GE transferred certain liabilities and assets of these plans to GE HealthCare based upon measurements as of December 31, 2022. The amounts assumed by GE HealthCare on January 1, 2023, are shown in the tables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Benefit Obligations and Unrecognized Gain</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57"/>
        </w:trPr>
        <w:tc>
          <w:tcPr>
            <w:tcW w:w="4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1"/>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6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r>
      <w:tr>
        <w:trPr>
          <w:trHeight w:val="229"/>
        </w:trPr>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Defined benefit plans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c>
          <w:tcPr>
            <w:tcW w:w="540" w:type="dxa"/>
            <w:vAlign w:val="bottom"/>
          </w:tcPr>
          <w:p>
            <w:pPr>
              <w:spacing w:after="0"/>
              <w:rPr>
                <w:sz w:val="19"/>
                <w:szCs w:val="19"/>
                <w:color w:val="auto"/>
              </w:rPr>
            </w:pPr>
          </w:p>
        </w:tc>
        <w:tc>
          <w:tcPr>
            <w:tcW w:w="1700" w:type="dxa"/>
            <w:vAlign w:val="bottom"/>
          </w:tcPr>
          <w:p>
            <w:pPr>
              <w:jc w:val="right"/>
              <w:ind w:right="83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22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206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r>
      <w:tr>
        <w:trPr>
          <w:trHeight w:val="230"/>
        </w:trPr>
        <w:tc>
          <w:tcPr>
            <w:tcW w:w="42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Accumulated benefit obligations</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21,696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22,906</w:t>
            </w:r>
          </w:p>
        </w:tc>
      </w:tr>
      <w:tr>
        <w:trPr>
          <w:trHeight w:val="224"/>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Unrecognized gain to be recorded in AOCI</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1,258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1,223</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33"/>
        </w:trPr>
        <w:tc>
          <w:tcPr>
            <w:tcW w:w="4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93"/>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Benefit Liability</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7"/>
        </w:trPr>
        <w:tc>
          <w:tcPr>
            <w:tcW w:w="4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1"/>
        </w:trPr>
        <w:tc>
          <w:tcPr>
            <w:tcW w:w="422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6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r>
      <w:tr>
        <w:trPr>
          <w:trHeight w:val="229"/>
        </w:trPr>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Defined benefit plans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c>
          <w:tcPr>
            <w:tcW w:w="540" w:type="dxa"/>
            <w:vAlign w:val="bottom"/>
          </w:tcPr>
          <w:p>
            <w:pPr>
              <w:spacing w:after="0"/>
              <w:rPr>
                <w:sz w:val="19"/>
                <w:szCs w:val="19"/>
                <w:color w:val="auto"/>
              </w:rPr>
            </w:pPr>
          </w:p>
        </w:tc>
        <w:tc>
          <w:tcPr>
            <w:tcW w:w="1700" w:type="dxa"/>
            <w:vAlign w:val="bottom"/>
          </w:tcPr>
          <w:p>
            <w:pPr>
              <w:jc w:val="right"/>
              <w:ind w:right="83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22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206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r>
      <w:tr>
        <w:trPr>
          <w:trHeight w:val="230"/>
        </w:trPr>
        <w:tc>
          <w:tcPr>
            <w:tcW w:w="42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Projected benefit obligations</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21,743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22,953</w:t>
            </w: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Fair value of assets</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18,908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18,908</w:t>
            </w:r>
          </w:p>
        </w:tc>
      </w:tr>
      <w:tr>
        <w:trPr>
          <w:trHeight w:val="33"/>
        </w:trPr>
        <w:tc>
          <w:tcPr>
            <w:tcW w:w="4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Net liability</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2,835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4,045</w:t>
            </w:r>
          </w:p>
        </w:tc>
      </w:tr>
      <w:tr>
        <w:trPr>
          <w:trHeight w:val="20"/>
        </w:trPr>
        <w:tc>
          <w:tcPr>
            <w:tcW w:w="4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PLANS SPONSORED BY GE HEALTHCARE, INCLUDING THOSE TRANSFERRED BY GE.</w:t>
      </w:r>
    </w:p>
    <w:p>
      <w:pPr>
        <w:spacing w:after="0" w:line="256"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As the pension plans were transferred by GE on January 1, 2023, there are no amounts included for these plans in the periods ended June 30, 2022. Pension plans with pension assets or obligations less than $50 million and $20 million as of June 30, 2023 and 2022, respectively, are not included in the results below.</w:t>
      </w:r>
    </w:p>
    <w:p>
      <w:pPr>
        <w:sectPr>
          <w:pgSz w:w="11900" w:h="16838" w:orient="portrait"/>
          <w:cols w:equalWidth="0" w:num="1">
            <w:col w:w="11220"/>
          </w:cols>
          <w:pgMar w:left="320" w:top="11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27"/>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6"/>
        </w:trPr>
        <w:tc>
          <w:tcPr>
            <w:tcW w:w="4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454545"/>
              </w:rPr>
              <w:t>For the three months ended June 30</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
        </w:trPr>
        <w:tc>
          <w:tcPr>
            <w:tcW w:w="4340" w:type="dxa"/>
            <w:vAlign w:val="bottom"/>
          </w:tcPr>
          <w:p>
            <w:pPr>
              <w:spacing w:after="0" w:line="20" w:lineRule="exact"/>
              <w:rPr>
                <w:sz w:val="1"/>
                <w:szCs w:val="1"/>
                <w:color w:val="auto"/>
              </w:rPr>
            </w:pPr>
          </w:p>
        </w:tc>
        <w:tc>
          <w:tcPr>
            <w:tcW w:w="3260" w:type="dxa"/>
            <w:vAlign w:val="bottom"/>
            <w:tcBorders>
              <w:bottom w:val="single" w:sz="8" w:color="454545"/>
            </w:tcBorders>
            <w:gridSpan w:val="4"/>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2940" w:type="dxa"/>
            <w:vAlign w:val="bottom"/>
            <w:tcBorders>
              <w:bottom w:val="single" w:sz="8" w:color="454545"/>
            </w:tcBorders>
            <w:gridSpan w:val="3"/>
          </w:tcPr>
          <w:p>
            <w:pPr>
              <w:spacing w:after="0" w:line="20" w:lineRule="exact"/>
              <w:rPr>
                <w:sz w:val="1"/>
                <w:szCs w:val="1"/>
                <w:color w:val="auto"/>
              </w:rPr>
            </w:pPr>
          </w:p>
        </w:tc>
      </w:tr>
      <w:tr>
        <w:trPr>
          <w:trHeight w:val="229"/>
        </w:trPr>
        <w:tc>
          <w:tcPr>
            <w:tcW w:w="4340" w:type="dxa"/>
            <w:vAlign w:val="bottom"/>
          </w:tcPr>
          <w:p>
            <w:pPr>
              <w:spacing w:after="0"/>
              <w:rPr>
                <w:sz w:val="19"/>
                <w:szCs w:val="19"/>
                <w:color w:val="auto"/>
              </w:rPr>
            </w:pPr>
          </w:p>
        </w:tc>
        <w:tc>
          <w:tcPr>
            <w:tcW w:w="326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454545"/>
              </w:rPr>
              <w:t>Defined benefit plans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3"/>
          </w:tcPr>
          <w:p>
            <w:pPr>
              <w:ind w:left="240"/>
              <w:spacing w:after="0"/>
              <w:rPr>
                <w:sz w:val="20"/>
                <w:szCs w:val="20"/>
                <w:color w:val="auto"/>
              </w:rPr>
            </w:pPr>
            <w:r>
              <w:rPr>
                <w:rFonts w:ascii="Arial" w:cs="Arial" w:eastAsia="Arial" w:hAnsi="Arial"/>
                <w:sz w:val="16"/>
                <w:szCs w:val="16"/>
                <w:b w:val="1"/>
                <w:bCs w:val="1"/>
                <w:color w:val="454545"/>
              </w:rPr>
              <w:t>Other postretirement plans</w:t>
            </w:r>
          </w:p>
        </w:tc>
      </w:tr>
      <w:tr>
        <w:trPr>
          <w:trHeight w:val="21"/>
        </w:trPr>
        <w:tc>
          <w:tcPr>
            <w:tcW w:w="4340" w:type="dxa"/>
            <w:vAlign w:val="bottom"/>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4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2023</w:t>
            </w:r>
          </w:p>
        </w:tc>
        <w:tc>
          <w:tcPr>
            <w:tcW w:w="380" w:type="dxa"/>
            <w:vAlign w:val="bottom"/>
          </w:tcPr>
          <w:p>
            <w:pPr>
              <w:spacing w:after="0"/>
              <w:rPr>
                <w:sz w:val="19"/>
                <w:szCs w:val="19"/>
                <w:color w:val="auto"/>
              </w:rPr>
            </w:pPr>
          </w:p>
        </w:tc>
        <w:tc>
          <w:tcPr>
            <w:tcW w:w="1280" w:type="dxa"/>
            <w:vAlign w:val="bottom"/>
          </w:tcPr>
          <w:p>
            <w:pPr>
              <w:ind w:left="280"/>
              <w:spacing w:after="0"/>
              <w:rPr>
                <w:sz w:val="20"/>
                <w:szCs w:val="20"/>
                <w:color w:val="auto"/>
              </w:rPr>
            </w:pPr>
            <w:r>
              <w:rPr>
                <w:rFonts w:ascii="Arial" w:cs="Arial" w:eastAsia="Arial" w:hAnsi="Arial"/>
                <w:sz w:val="16"/>
                <w:szCs w:val="16"/>
                <w:b w:val="1"/>
                <w:bCs w:val="1"/>
                <w:color w:val="454545"/>
              </w:rPr>
              <w:t>2022</w:t>
            </w:r>
          </w:p>
        </w:tc>
      </w:tr>
      <w:tr>
        <w:trPr>
          <w:trHeight w:val="21"/>
        </w:trPr>
        <w:tc>
          <w:tcPr>
            <w:tcW w:w="4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4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110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46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ind w:left="1040"/>
              <w:spacing w:after="0"/>
              <w:rPr>
                <w:sz w:val="20"/>
                <w:szCs w:val="20"/>
                <w:color w:val="auto"/>
              </w:rPr>
            </w:pPr>
            <w:r>
              <w:rPr>
                <w:rFonts w:ascii="Arial" w:cs="Arial" w:eastAsia="Arial" w:hAnsi="Arial"/>
                <w:sz w:val="16"/>
                <w:szCs w:val="16"/>
                <w:b w:val="1"/>
                <w:bCs w:val="1"/>
                <w:color w:val="auto"/>
              </w:rPr>
              <w:t>—</w:t>
            </w: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33"/>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110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ind w:left="1040"/>
              <w:spacing w:after="0"/>
              <w:rPr>
                <w:sz w:val="20"/>
                <w:szCs w:val="20"/>
                <w:color w:val="auto"/>
              </w:rPr>
            </w:pPr>
            <w:r>
              <w:rPr>
                <w:rFonts w:ascii="Arial" w:cs="Arial" w:eastAsia="Arial" w:hAnsi="Arial"/>
                <w:sz w:val="16"/>
                <w:szCs w:val="16"/>
                <w:color w:val="auto"/>
              </w:rPr>
              <w:t>—</w:t>
            </w:r>
          </w:p>
        </w:tc>
      </w:tr>
      <w:tr>
        <w:trPr>
          <w:trHeight w:val="224"/>
        </w:trPr>
        <w:tc>
          <w:tcPr>
            <w:tcW w:w="43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33"/>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3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100" w:type="dxa"/>
            <w:vAlign w:val="bottom"/>
            <w:tcBorders>
              <w:bottom w:val="single" w:sz="8" w:color="auto"/>
            </w:tcBorders>
            <w:shd w:val="clear" w:color="auto" w:fill="E4E4E4"/>
          </w:tcPr>
          <w:p>
            <w:pPr>
              <w:spacing w:after="0"/>
              <w:rPr>
                <w:sz w:val="20"/>
                <w:szCs w:val="20"/>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E4E4E4"/>
          </w:tcPr>
          <w:p>
            <w:pPr>
              <w:spacing w:after="0"/>
              <w:rPr>
                <w:sz w:val="20"/>
                <w:szCs w:val="20"/>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E4E4E4"/>
          </w:tcPr>
          <w:p>
            <w:pPr>
              <w:spacing w:after="0"/>
              <w:rPr>
                <w:sz w:val="20"/>
                <w:szCs w:val="20"/>
                <w:color w:val="auto"/>
              </w:rPr>
            </w:pPr>
          </w:p>
        </w:tc>
        <w:tc>
          <w:tcPr>
            <w:tcW w:w="360" w:type="dxa"/>
            <w:vAlign w:val="bottom"/>
            <w:tcBorders>
              <w:bottom w:val="single" w:sz="8" w:color="auto"/>
            </w:tcBorders>
            <w:shd w:val="clear" w:color="auto" w:fill="E4E4E4"/>
          </w:tcPr>
          <w:p>
            <w:pPr>
              <w:spacing w:after="0"/>
              <w:rPr>
                <w:sz w:val="20"/>
                <w:szCs w:val="20"/>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auto"/>
            </w:tcBorders>
            <w:shd w:val="clear" w:color="auto" w:fill="E4E4E4"/>
          </w:tcPr>
          <w:p>
            <w:pPr>
              <w:spacing w:after="0"/>
              <w:rPr>
                <w:sz w:val="20"/>
                <w:szCs w:val="20"/>
                <w:color w:val="auto"/>
              </w:rPr>
            </w:pPr>
          </w:p>
        </w:tc>
        <w:tc>
          <w:tcPr>
            <w:tcW w:w="1280" w:type="dxa"/>
            <w:vAlign w:val="bottom"/>
            <w:tcBorders>
              <w:bottom w:val="single" w:sz="8" w:color="auto"/>
            </w:tcBorders>
            <w:shd w:val="clear" w:color="auto" w:fill="E4E4E4"/>
          </w:tcPr>
          <w:p>
            <w:pPr>
              <w:ind w:left="1040"/>
              <w:spacing w:after="0"/>
              <w:rPr>
                <w:sz w:val="20"/>
                <w:szCs w:val="20"/>
                <w:color w:val="auto"/>
              </w:rPr>
            </w:pPr>
            <w:r>
              <w:rPr>
                <w:rFonts w:ascii="Arial" w:cs="Arial" w:eastAsia="Arial" w:hAnsi="Arial"/>
                <w:sz w:val="16"/>
                <w:szCs w:val="16"/>
                <w:color w:val="auto"/>
              </w:rPr>
              <w:t>—</w:t>
            </w:r>
          </w:p>
        </w:tc>
      </w:tr>
      <w:tr>
        <w:trPr>
          <w:trHeight w:val="235"/>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Non-operating</w:t>
            </w:r>
          </w:p>
        </w:tc>
        <w:tc>
          <w:tcPr>
            <w:tcW w:w="1100" w:type="dxa"/>
            <w:vAlign w:val="bottom"/>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ind w:left="1040"/>
              <w:spacing w:after="0"/>
              <w:rPr>
                <w:sz w:val="20"/>
                <w:szCs w:val="20"/>
                <w:color w:val="auto"/>
              </w:rPr>
            </w:pPr>
            <w:r>
              <w:rPr>
                <w:rFonts w:ascii="Arial" w:cs="Arial" w:eastAsia="Arial" w:hAnsi="Arial"/>
                <w:sz w:val="16"/>
                <w:szCs w:val="16"/>
                <w:b w:val="1"/>
                <w:bCs w:val="1"/>
                <w:color w:val="auto"/>
              </w:rPr>
              <w:t>—</w:t>
            </w: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5"/>
        </w:trPr>
        <w:tc>
          <w:tcPr>
            <w:tcW w:w="4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110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46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ind w:left="1040"/>
              <w:spacing w:after="0"/>
              <w:rPr>
                <w:sz w:val="20"/>
                <w:szCs w:val="20"/>
                <w:color w:val="auto"/>
              </w:rPr>
            </w:pPr>
            <w:r>
              <w:rPr>
                <w:rFonts w:ascii="Arial" w:cs="Arial" w:eastAsia="Arial" w:hAnsi="Arial"/>
                <w:sz w:val="16"/>
                <w:szCs w:val="16"/>
                <w:b w:val="1"/>
                <w:bCs w:val="1"/>
                <w:color w:val="auto"/>
              </w:rPr>
              <w:t>—</w:t>
            </w:r>
          </w:p>
        </w:tc>
      </w:tr>
      <w:tr>
        <w:trPr>
          <w:trHeight w:val="593"/>
        </w:trPr>
        <w:tc>
          <w:tcPr>
            <w:tcW w:w="4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454545"/>
              </w:rPr>
              <w:t>For the six months ended June 30</w:t>
            </w: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1"/>
        </w:trPr>
        <w:tc>
          <w:tcPr>
            <w:tcW w:w="4340" w:type="dxa"/>
            <w:vAlign w:val="bottom"/>
          </w:tcPr>
          <w:p>
            <w:pPr>
              <w:spacing w:after="0" w:line="20" w:lineRule="exact"/>
              <w:rPr>
                <w:sz w:val="1"/>
                <w:szCs w:val="1"/>
                <w:color w:val="auto"/>
              </w:rPr>
            </w:pPr>
          </w:p>
        </w:tc>
        <w:tc>
          <w:tcPr>
            <w:tcW w:w="3260" w:type="dxa"/>
            <w:vAlign w:val="bottom"/>
            <w:tcBorders>
              <w:bottom w:val="single" w:sz="8" w:color="454545"/>
            </w:tcBorders>
            <w:gridSpan w:val="4"/>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2940" w:type="dxa"/>
            <w:vAlign w:val="bottom"/>
            <w:tcBorders>
              <w:bottom w:val="single" w:sz="8" w:color="454545"/>
            </w:tcBorders>
            <w:gridSpan w:val="3"/>
          </w:tcPr>
          <w:p>
            <w:pPr>
              <w:spacing w:after="0" w:line="20" w:lineRule="exact"/>
              <w:rPr>
                <w:sz w:val="1"/>
                <w:szCs w:val="1"/>
                <w:color w:val="auto"/>
              </w:rPr>
            </w:pPr>
          </w:p>
        </w:tc>
      </w:tr>
      <w:tr>
        <w:trPr>
          <w:trHeight w:val="233"/>
        </w:trPr>
        <w:tc>
          <w:tcPr>
            <w:tcW w:w="4340" w:type="dxa"/>
            <w:vAlign w:val="bottom"/>
          </w:tcPr>
          <w:p>
            <w:pPr>
              <w:spacing w:after="0"/>
              <w:rPr>
                <w:sz w:val="20"/>
                <w:szCs w:val="20"/>
                <w:color w:val="auto"/>
              </w:rPr>
            </w:pPr>
          </w:p>
        </w:tc>
        <w:tc>
          <w:tcPr>
            <w:tcW w:w="3260" w:type="dxa"/>
            <w:vAlign w:val="bottom"/>
            <w:tcBorders>
              <w:bottom w:val="single" w:sz="8" w:color="454545"/>
            </w:tcBorders>
            <w:gridSpan w:val="4"/>
          </w:tcPr>
          <w:p>
            <w:pPr>
              <w:jc w:val="right"/>
              <w:ind w:right="739"/>
              <w:spacing w:after="0"/>
              <w:rPr>
                <w:sz w:val="20"/>
                <w:szCs w:val="20"/>
                <w:color w:val="auto"/>
              </w:rPr>
            </w:pPr>
            <w:r>
              <w:rPr>
                <w:rFonts w:ascii="Arial" w:cs="Arial" w:eastAsia="Arial" w:hAnsi="Arial"/>
                <w:sz w:val="16"/>
                <w:szCs w:val="16"/>
                <w:b w:val="1"/>
                <w:bCs w:val="1"/>
                <w:color w:val="454545"/>
              </w:rPr>
              <w:t>Defined benefit plans</w:t>
            </w:r>
          </w:p>
        </w:tc>
        <w:tc>
          <w:tcPr>
            <w:tcW w:w="100" w:type="dxa"/>
            <w:vAlign w:val="bottom"/>
          </w:tcPr>
          <w:p>
            <w:pPr>
              <w:spacing w:after="0"/>
              <w:rPr>
                <w:sz w:val="20"/>
                <w:szCs w:val="20"/>
                <w:color w:val="auto"/>
              </w:rPr>
            </w:pPr>
          </w:p>
        </w:tc>
        <w:tc>
          <w:tcPr>
            <w:tcW w:w="360" w:type="dxa"/>
            <w:vAlign w:val="bottom"/>
            <w:tcBorders>
              <w:bottom w:val="single" w:sz="8" w:color="454545"/>
            </w:tcBorders>
          </w:tcPr>
          <w:p>
            <w:pPr>
              <w:spacing w:after="0"/>
              <w:rPr>
                <w:sz w:val="20"/>
                <w:szCs w:val="20"/>
                <w:color w:val="auto"/>
              </w:rPr>
            </w:pPr>
          </w:p>
        </w:tc>
        <w:tc>
          <w:tcPr>
            <w:tcW w:w="2940" w:type="dxa"/>
            <w:vAlign w:val="bottom"/>
            <w:tcBorders>
              <w:bottom w:val="single" w:sz="8" w:color="454545"/>
            </w:tcBorders>
            <w:gridSpan w:val="3"/>
          </w:tcPr>
          <w:p>
            <w:pPr>
              <w:ind w:left="240"/>
              <w:spacing w:after="0"/>
              <w:rPr>
                <w:sz w:val="20"/>
                <w:szCs w:val="20"/>
                <w:color w:val="auto"/>
              </w:rPr>
            </w:pPr>
            <w:r>
              <w:rPr>
                <w:rFonts w:ascii="Arial" w:cs="Arial" w:eastAsia="Arial" w:hAnsi="Arial"/>
                <w:sz w:val="16"/>
                <w:szCs w:val="16"/>
                <w:b w:val="1"/>
                <w:bCs w:val="1"/>
                <w:color w:val="454545"/>
              </w:rPr>
              <w:t>Other postretirement plans</w:t>
            </w:r>
          </w:p>
        </w:tc>
      </w:tr>
      <w:tr>
        <w:trPr>
          <w:trHeight w:val="233"/>
        </w:trPr>
        <w:tc>
          <w:tcPr>
            <w:tcW w:w="4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2023</w:t>
            </w:r>
          </w:p>
        </w:tc>
        <w:tc>
          <w:tcPr>
            <w:tcW w:w="38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Arial" w:cs="Arial" w:eastAsia="Arial" w:hAnsi="Arial"/>
                <w:sz w:val="16"/>
                <w:szCs w:val="16"/>
                <w:b w:val="1"/>
                <w:bCs w:val="1"/>
                <w:color w:val="454545"/>
              </w:rPr>
              <w:t>2022</w:t>
            </w:r>
          </w:p>
        </w:tc>
      </w:tr>
      <w:tr>
        <w:trPr>
          <w:trHeight w:val="21"/>
        </w:trPr>
        <w:tc>
          <w:tcPr>
            <w:tcW w:w="4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gridSpan w:val="2"/>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4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110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46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ind w:left="1040"/>
              <w:spacing w:after="0"/>
              <w:rPr>
                <w:sz w:val="20"/>
                <w:szCs w:val="20"/>
                <w:color w:val="auto"/>
              </w:rPr>
            </w:pPr>
            <w:r>
              <w:rPr>
                <w:rFonts w:ascii="Arial" w:cs="Arial" w:eastAsia="Arial" w:hAnsi="Arial"/>
                <w:sz w:val="16"/>
                <w:szCs w:val="16"/>
                <w:b w:val="1"/>
                <w:bCs w:val="1"/>
                <w:color w:val="auto"/>
              </w:rPr>
              <w:t>—</w:t>
            </w: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38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33"/>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110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(713)</w:t>
            </w: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ind w:left="1040"/>
              <w:spacing w:after="0"/>
              <w:rPr>
                <w:sz w:val="20"/>
                <w:szCs w:val="20"/>
                <w:color w:val="auto"/>
              </w:rPr>
            </w:pPr>
            <w:r>
              <w:rPr>
                <w:rFonts w:ascii="Arial" w:cs="Arial" w:eastAsia="Arial" w:hAnsi="Arial"/>
                <w:sz w:val="16"/>
                <w:szCs w:val="16"/>
                <w:color w:val="auto"/>
              </w:rPr>
              <w:t>—</w:t>
            </w:r>
          </w:p>
        </w:tc>
      </w:tr>
      <w:tr>
        <w:trPr>
          <w:trHeight w:val="224"/>
        </w:trPr>
        <w:tc>
          <w:tcPr>
            <w:tcW w:w="43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33"/>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2"/>
        </w:trPr>
        <w:tc>
          <w:tcPr>
            <w:tcW w:w="4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10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ind w:left="1040"/>
              <w:spacing w:after="0"/>
              <w:rPr>
                <w:sz w:val="20"/>
                <w:szCs w:val="20"/>
                <w:color w:val="auto"/>
              </w:rPr>
            </w:pPr>
            <w:r>
              <w:rPr>
                <w:rFonts w:ascii="Arial" w:cs="Arial" w:eastAsia="Arial" w:hAnsi="Arial"/>
                <w:sz w:val="16"/>
                <w:szCs w:val="16"/>
                <w:color w:val="auto"/>
              </w:rPr>
              <w:t>—</w:t>
            </w:r>
          </w:p>
        </w:tc>
      </w:tr>
      <w:tr>
        <w:trPr>
          <w:trHeight w:val="229"/>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Non-operating</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4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ind w:left="1040"/>
              <w:spacing w:after="0"/>
              <w:rPr>
                <w:sz w:val="20"/>
                <w:szCs w:val="20"/>
                <w:color w:val="auto"/>
              </w:rPr>
            </w:pPr>
            <w:r>
              <w:rPr>
                <w:rFonts w:ascii="Arial" w:cs="Arial" w:eastAsia="Arial" w:hAnsi="Arial"/>
                <w:sz w:val="16"/>
                <w:szCs w:val="16"/>
                <w:b w:val="1"/>
                <w:bCs w:val="1"/>
                <w:color w:val="auto"/>
              </w:rPr>
              <w:t>—</w:t>
            </w: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4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110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46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ind w:left="1040"/>
              <w:spacing w:after="0"/>
              <w:rPr>
                <w:sz w:val="20"/>
                <w:szCs w:val="20"/>
                <w:color w:val="auto"/>
              </w:rPr>
            </w:pPr>
            <w:r>
              <w:rPr>
                <w:rFonts w:ascii="Arial" w:cs="Arial" w:eastAsia="Arial" w:hAnsi="Arial"/>
                <w:sz w:val="16"/>
                <w:szCs w:val="16"/>
                <w:b w:val="1"/>
                <w:bCs w:val="1"/>
                <w:color w:val="auto"/>
              </w:rPr>
              <w:t>—</w:t>
            </w:r>
          </w:p>
        </w:tc>
      </w:tr>
      <w:tr>
        <w:trPr>
          <w:trHeight w:val="20"/>
        </w:trPr>
        <w:tc>
          <w:tcPr>
            <w:tcW w:w="4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327"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For the six months ended June 30, 2023, the Company made contributions for benefit payments totaling $107 million to the pension plans and $73 million to its postretirement plans. During 2023, the Company expects to make total benefit payments of approximately $353 million to our defined benefit pension and postretirement plans for benefit payments. The Company does not have a required minimum cash pension contribution obligation for its U.S. plans in 2023.</w:t>
      </w:r>
    </w:p>
    <w:p>
      <w:pPr>
        <w:spacing w:after="0"/>
        <w:rPr>
          <w:sz w:val="20"/>
          <w:szCs w:val="20"/>
          <w:color w:val="auto"/>
        </w:rPr>
      </w:pPr>
      <w:r>
        <w:rPr>
          <w:rFonts w:ascii="Arial" w:cs="Arial" w:eastAsia="Arial" w:hAnsi="Arial"/>
          <w:sz w:val="16"/>
          <w:szCs w:val="16"/>
          <w:color w:val="auto"/>
        </w:rPr>
        <w:t>Future contributions will depend on market conditions, interest rates, and other factors.</w:t>
      </w:r>
    </w:p>
    <w:p>
      <w:pPr>
        <w:spacing w:after="0" w:line="244" w:lineRule="exact"/>
        <w:rPr>
          <w:sz w:val="20"/>
          <w:szCs w:val="20"/>
          <w:color w:val="auto"/>
        </w:rPr>
      </w:pPr>
    </w:p>
    <w:p>
      <w:pPr>
        <w:jc w:val="both"/>
        <w:ind w:right="440"/>
        <w:spacing w:after="0" w:line="270" w:lineRule="auto"/>
        <w:rPr>
          <w:sz w:val="20"/>
          <w:szCs w:val="20"/>
          <w:color w:val="auto"/>
        </w:rPr>
      </w:pPr>
      <w:r>
        <w:rPr>
          <w:rFonts w:ascii="Arial" w:cs="Arial" w:eastAsia="Arial" w:hAnsi="Arial"/>
          <w:sz w:val="16"/>
          <w:szCs w:val="16"/>
          <w:color w:val="auto"/>
        </w:rPr>
        <w:t>Prior to the Spin-Off, we disclosed postretirement plans with assets or obligations that exceeded $20 million. As a result of the transferred liabilities and assets to GE HealthCare on January 1, 2023, we now present postretirement plans with assets or obligations that exceed $50 million. For the year, the Company expects to contribute approximately $11 million to postretirement plans that are no longer disclosed.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a result of the Spin-Off, GE HealthCare established a defined contribution plan for its eligible U.S. employees that was largely consistent with the plan they participated in while GE HealthCare operated as a business of GE. Expenses associated with our employees’ participation in GE HealthCare’s defined contribution plan in 2023 and GE’s defined contribution plan in 2022 represent the employer matching contributions for GE HealthCare employees and were $33 million and $35 million for the three months ended June 30, 2023 and 2022, respectively, and $66 million for both the six months ended June 30, 2023 and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6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income tax rate was 24.0% and 23.9% for the three months ended June 30, 2023 and 2022, respectively, and 26.9% and 24.2% for the six months ended June 30, 2023 and 2022, respectively. The tax rate for 2023 is higher than the U.S. statutory rate primarily due to the cost of global activities, including the U.S. taxation on international operations, withholding taxes, and state taxes. The tax rate for 2022 is higher than the U.S. statutory rate primarily due to the cost of global activities, including the U.S. taxation on international operations and state taxes.</w:t>
      </w:r>
    </w:p>
    <w:p>
      <w:pPr>
        <w:spacing w:after="0" w:line="20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is currently being audited in a number of jurisdictions for tax years 2004-2021, including China, Egypt, France, Germany, Norway, the United Kingdom, and the U.S.</w:t>
      </w:r>
    </w:p>
    <w:p>
      <w:pPr>
        <w:spacing w:after="0" w:line="185"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In the first quarter of 2023, the Company changed its accounting policy for presentation of interest expense on uncertain tax positions from within “Interest and other financial charges – net” to within “Benefit (provision) for income taxes.” See Note 1, “Organization and Basis of Presentation” for further information.</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8" w:name="page19"/>
    <w:bookmarkEnd w:id="18"/>
    <w:p>
      <w:pPr>
        <w:spacing w:after="0" w:line="262" w:lineRule="auto"/>
        <w:rPr>
          <w:sz w:val="20"/>
          <w:szCs w:val="20"/>
          <w:color w:val="auto"/>
        </w:rPr>
      </w:pPr>
      <w:r>
        <w:rPr>
          <w:rFonts w:ascii="Arial" w:cs="Arial" w:eastAsia="Arial" w:hAnsi="Arial"/>
          <w:sz w:val="16"/>
          <w:szCs w:val="16"/>
          <w:color w:val="auto"/>
        </w:rPr>
        <w:t>Post Spin-Off, the Company’s previously undistributed earnings of certain of our foreign subsidiaries are no longer indefinitely reinvested in non-U.S. businesses due to current U.S. funding needs. Therefore, in the first quarter of 2023, an incremental deferred tax liability of $30 million was recorded for withholding and other foreign taxes due upon future distribution of earnings. In addition, the Company is providing for withholding and other foreign taxes due upon future distribution of current period earnings.</w:t>
      </w:r>
    </w:p>
    <w:p>
      <w:pPr>
        <w:spacing w:after="0" w:line="22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Also, in connection with the Spin-Off, our net deferred income tax assets increased by $3,099 million primarily due to transfers from GE, including $964 million related to pension and postretirement benefits, with the remainder primarily attributable to tax attributes that were not part of the Company’s stand-alone operations and changes to valuation on a GE HealthCare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INCOME (LOSS) – NET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(“AOCI”) by component, net of income taxes,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2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three months ended June 30, 2023</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r>
      <w:tr>
        <w:trPr>
          <w:trHeight w:val="205"/>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454545"/>
              </w:rPr>
              <w:t>Currency</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5040" w:type="dxa"/>
            <w:vAlign w:val="bottom"/>
            <w:tcBorders>
              <w:bottom w:val="single" w:sz="8" w:color="6022A6"/>
            </w:tcBorders>
          </w:tcPr>
          <w:p>
            <w:pPr>
              <w:spacing w:after="0"/>
              <w:rPr>
                <w:sz w:val="21"/>
                <w:szCs w:val="21"/>
                <w:color w:val="auto"/>
              </w:rPr>
            </w:pPr>
          </w:p>
        </w:tc>
        <w:tc>
          <w:tcPr>
            <w:tcW w:w="20" w:type="dxa"/>
            <w:vAlign w:val="bottom"/>
            <w:tcBorders>
              <w:bottom w:val="single" w:sz="8" w:color="6022A6"/>
            </w:tcBorders>
          </w:tcPr>
          <w:p>
            <w:pPr>
              <w:spacing w:after="0"/>
              <w:rPr>
                <w:sz w:val="21"/>
                <w:szCs w:val="21"/>
                <w:color w:val="auto"/>
              </w:rPr>
            </w:pPr>
          </w:p>
        </w:tc>
        <w:tc>
          <w:tcPr>
            <w:tcW w:w="14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(a)</w:t>
            </w:r>
          </w:p>
        </w:tc>
        <w:tc>
          <w:tcPr>
            <w:tcW w:w="180" w:type="dxa"/>
            <w:vAlign w:val="bottom"/>
            <w:tcBorders>
              <w:bottom w:val="single" w:sz="8" w:color="6022A6"/>
            </w:tcBorders>
          </w:tcPr>
          <w:p>
            <w:pPr>
              <w:spacing w:after="0"/>
              <w:rPr>
                <w:sz w:val="21"/>
                <w:szCs w:val="21"/>
                <w:color w:val="auto"/>
              </w:rPr>
            </w:pPr>
          </w:p>
        </w:tc>
        <w:tc>
          <w:tcPr>
            <w:tcW w:w="130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Benefit plans</w:t>
            </w:r>
          </w:p>
        </w:tc>
        <w:tc>
          <w:tcPr>
            <w:tcW w:w="14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20" w:type="dxa"/>
            <w:vAlign w:val="bottom"/>
            <w:tcBorders>
              <w:bottom w:val="single" w:sz="8" w:color="6022A6"/>
            </w:tcBorders>
          </w:tcPr>
          <w:p>
            <w:pPr>
              <w:spacing w:after="0"/>
              <w:rPr>
                <w:sz w:val="21"/>
                <w:szCs w:val="21"/>
                <w:color w:val="auto"/>
              </w:rPr>
            </w:pPr>
          </w:p>
        </w:tc>
        <w:tc>
          <w:tcPr>
            <w:tcW w:w="1260" w:type="dxa"/>
            <w:vAlign w:val="bottom"/>
            <w:tcBorders>
              <w:bottom w:val="single" w:sz="8" w:color="6022A6"/>
            </w:tcBorders>
            <w:gridSpan w:val="2"/>
          </w:tcPr>
          <w:p>
            <w:pPr>
              <w:ind w:left="120"/>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(1,760)</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1,865</w:t>
            </w:r>
          </w:p>
        </w:tc>
        <w:tc>
          <w:tcPr>
            <w:tcW w:w="6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20" w:type="dxa"/>
            <w:vAlign w:val="bottom"/>
            <w:tcBorders>
              <w:bottom w:val="single" w:sz="8" w:color="E4E4E4"/>
            </w:tcBorders>
            <w:shd w:val="clear" w:color="auto" w:fill="E4E4E4"/>
          </w:tcPr>
          <w:p>
            <w:pPr>
              <w:spacing w:after="0"/>
              <w:rPr>
                <w:sz w:val="21"/>
                <w:szCs w:val="21"/>
                <w:color w:val="auto"/>
              </w:rPr>
            </w:pPr>
          </w:p>
        </w:tc>
      </w:tr>
      <w:tr>
        <w:trPr>
          <w:trHeight w:val="21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auto"/>
              </w:rPr>
              <w:t>$28, $(11), and $(2)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7"/>
                <w:szCs w:val="17"/>
                <w:color w:val="auto"/>
              </w:rPr>
            </w:pP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0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 of $0, $17, and $(1)</w:t>
            </w:r>
            <w:r>
              <w:rPr>
                <w:rFonts w:ascii="Arial" w:cs="Arial" w:eastAsia="Arial" w:hAnsi="Arial"/>
                <w:sz w:val="21"/>
                <w:szCs w:val="21"/>
                <w:color w:val="auto"/>
                <w:vertAlign w:val="superscript"/>
              </w:rPr>
              <w:t>(c)</w:t>
            </w:r>
          </w:p>
        </w:tc>
        <w:tc>
          <w:tcPr>
            <w:tcW w:w="20" w:type="dxa"/>
            <w:vAlign w:val="bottom"/>
            <w:tcBorders>
              <w:bottom w:val="single" w:sz="8" w:color="auto"/>
            </w:tcBorders>
            <w:shd w:val="clear" w:color="auto" w:fill="E4E4E4"/>
          </w:tcPr>
          <w:p>
            <w:pPr>
              <w:spacing w:after="0"/>
              <w:rPr>
                <w:sz w:val="22"/>
                <w:szCs w:val="22"/>
                <w:color w:val="auto"/>
              </w:rPr>
            </w:pP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66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20" w:type="dxa"/>
            <w:vAlign w:val="bottom"/>
            <w:tcBorders>
              <w:bottom w:val="single" w:sz="8" w:color="auto"/>
            </w:tcBorders>
            <w:shd w:val="clear" w:color="auto" w:fill="E4E4E4"/>
          </w:tcPr>
          <w:p>
            <w:pPr>
              <w:spacing w:after="0"/>
              <w:rPr>
                <w:sz w:val="22"/>
                <w:szCs w:val="22"/>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June 30, 2023</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(1,757)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1,847</w:t>
            </w:r>
          </w:p>
        </w:tc>
        <w:tc>
          <w:tcPr>
            <w:tcW w:w="66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20" w:type="dxa"/>
            <w:vAlign w:val="bottom"/>
          </w:tcPr>
          <w:p>
            <w:pPr>
              <w:spacing w:after="0"/>
              <w:rPr>
                <w:sz w:val="19"/>
                <w:szCs w:val="19"/>
                <w:color w:val="auto"/>
              </w:rPr>
            </w:pP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gridSpan w:val="6"/>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80"/>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454545"/>
              </w:rPr>
              <w:t>For the three months ended June 30, 2022</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504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454545"/>
              </w:rPr>
              <w:t>Currency</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454545"/>
              </w:rPr>
              <w:t>adjustments</w:t>
            </w:r>
          </w:p>
        </w:tc>
        <w:tc>
          <w:tcPr>
            <w:tcW w:w="18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454545"/>
              </w:rPr>
              <w:t>Benefit plans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454545"/>
              </w:rPr>
              <w:t>Cash flow hedges</w:t>
            </w:r>
          </w:p>
        </w:tc>
        <w:tc>
          <w:tcPr>
            <w:tcW w:w="22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 AOCI</w:t>
            </w:r>
          </w:p>
        </w:tc>
      </w:tr>
      <w:tr>
        <w:trPr>
          <w:trHeight w:val="21"/>
        </w:trPr>
        <w:tc>
          <w:tcPr>
            <w:tcW w:w="50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gridSpan w:val="2"/>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(1,122)</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w:t>
            </w:r>
          </w:p>
        </w:tc>
        <w:tc>
          <w:tcPr>
            <w:tcW w:w="6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(1,171)</w:t>
            </w:r>
          </w:p>
        </w:tc>
        <w:tc>
          <w:tcPr>
            <w:tcW w:w="20" w:type="dxa"/>
            <w:vAlign w:val="bottom"/>
          </w:tcPr>
          <w:p>
            <w:pPr>
              <w:spacing w:after="0"/>
              <w:rPr>
                <w:sz w:val="21"/>
                <w:szCs w:val="21"/>
                <w:color w:val="auto"/>
              </w:rPr>
            </w:pPr>
          </w:p>
        </w:tc>
      </w:tr>
      <w:tr>
        <w:trPr>
          <w:trHeight w:val="21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5040" w:type="dxa"/>
            <w:vAlign w:val="bottom"/>
          </w:tcPr>
          <w:p>
            <w:pPr>
              <w:ind w:left="20"/>
              <w:spacing w:after="0"/>
              <w:rPr>
                <w:sz w:val="20"/>
                <w:szCs w:val="20"/>
                <w:color w:val="auto"/>
              </w:rPr>
            </w:pPr>
            <w:r>
              <w:rPr>
                <w:rFonts w:ascii="Arial" w:cs="Arial" w:eastAsia="Arial" w:hAnsi="Arial"/>
                <w:sz w:val="16"/>
                <w:szCs w:val="16"/>
                <w:color w:val="auto"/>
              </w:rPr>
              <w:t>$(12), $(1), and $4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(472)</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(472)</w:t>
            </w:r>
          </w:p>
        </w:tc>
        <w:tc>
          <w:tcPr>
            <w:tcW w:w="20" w:type="dxa"/>
            <w:vAlign w:val="bottom"/>
          </w:tcPr>
          <w:p>
            <w:pPr>
              <w:spacing w:after="0"/>
              <w:rPr>
                <w:sz w:val="19"/>
                <w:szCs w:val="19"/>
                <w:color w:val="auto"/>
              </w:rPr>
            </w:pP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0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 of $0, $0, and $0</w:t>
            </w:r>
            <w:r>
              <w:rPr>
                <w:rFonts w:ascii="Arial" w:cs="Arial" w:eastAsia="Arial" w:hAnsi="Arial"/>
                <w:sz w:val="21"/>
                <w:szCs w:val="21"/>
                <w:color w:val="auto"/>
                <w:vertAlign w:val="superscript"/>
              </w:rPr>
              <w:t>(c)</w:t>
            </w:r>
          </w:p>
        </w:tc>
        <w:tc>
          <w:tcPr>
            <w:tcW w:w="20" w:type="dxa"/>
            <w:vAlign w:val="bottom"/>
            <w:tcBorders>
              <w:bottom w:val="single" w:sz="8" w:color="auto"/>
            </w:tcBorders>
            <w:shd w:val="clear" w:color="auto" w:fill="E4E4E4"/>
          </w:tcPr>
          <w:p>
            <w:pPr>
              <w:spacing w:after="0"/>
              <w:rPr>
                <w:sz w:val="21"/>
                <w:szCs w:val="21"/>
                <w:color w:val="auto"/>
              </w:rPr>
            </w:pPr>
          </w:p>
        </w:tc>
        <w:tc>
          <w:tcPr>
            <w:tcW w:w="140" w:type="dxa"/>
            <w:vAlign w:val="bottom"/>
            <w:tcBorders>
              <w:bottom w:val="single" w:sz="8" w:color="auto"/>
            </w:tcBorders>
            <w:shd w:val="clear" w:color="auto" w:fill="E4E4E4"/>
          </w:tcPr>
          <w:p>
            <w:pPr>
              <w:spacing w:after="0"/>
              <w:rPr>
                <w:sz w:val="21"/>
                <w:szCs w:val="21"/>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1"/>
                <w:szCs w:val="21"/>
                <w:color w:val="auto"/>
              </w:rPr>
            </w:pPr>
          </w:p>
        </w:tc>
        <w:tc>
          <w:tcPr>
            <w:tcW w:w="130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4E4E4"/>
          </w:tcPr>
          <w:p>
            <w:pPr>
              <w:spacing w:after="0"/>
              <w:rPr>
                <w:sz w:val="21"/>
                <w:szCs w:val="21"/>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shd w:val="clear" w:color="auto" w:fill="E4E4E4"/>
          </w:tcPr>
          <w:p>
            <w:pPr>
              <w:spacing w:after="0"/>
              <w:rPr>
                <w:sz w:val="21"/>
                <w:szCs w:val="21"/>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660" w:type="dxa"/>
            <w:vAlign w:val="bottom"/>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(1,649)</w:t>
            </w:r>
          </w:p>
        </w:tc>
        <w:tc>
          <w:tcPr>
            <w:tcW w:w="20" w:type="dxa"/>
            <w:vAlign w:val="bottom"/>
          </w:tcPr>
          <w:p>
            <w:pPr>
              <w:spacing w:after="0"/>
              <w:rPr>
                <w:sz w:val="19"/>
                <w:szCs w:val="19"/>
                <w:color w:val="auto"/>
              </w:rPr>
            </w:pP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gridSpan w:val="6"/>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7"/>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454545"/>
            </w:tcBorders>
          </w:tcPr>
          <w:p>
            <w:pPr>
              <w:spacing w:after="0"/>
              <w:rPr>
                <w:sz w:val="24"/>
                <w:szCs w:val="24"/>
                <w:color w:val="auto"/>
              </w:rPr>
            </w:pPr>
          </w:p>
        </w:tc>
        <w:tc>
          <w:tcPr>
            <w:tcW w:w="4520" w:type="dxa"/>
            <w:vAlign w:val="bottom"/>
            <w:tcBorders>
              <w:bottom w:val="single" w:sz="8" w:color="454545"/>
            </w:tcBorders>
            <w:gridSpan w:val="6"/>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 2023</w:t>
            </w:r>
          </w:p>
        </w:tc>
        <w:tc>
          <w:tcPr>
            <w:tcW w:w="1240" w:type="dxa"/>
            <w:vAlign w:val="bottom"/>
            <w:tcBorders>
              <w:bottom w:val="single" w:sz="8" w:color="454545"/>
            </w:tcBorders>
          </w:tcPr>
          <w:p>
            <w:pPr>
              <w:spacing w:after="0"/>
              <w:rPr>
                <w:sz w:val="24"/>
                <w:szCs w:val="24"/>
                <w:color w:val="auto"/>
              </w:rPr>
            </w:pPr>
          </w:p>
        </w:tc>
        <w:tc>
          <w:tcPr>
            <w:tcW w:w="20" w:type="dxa"/>
            <w:vAlign w:val="bottom"/>
            <w:tcBorders>
              <w:bottom w:val="single" w:sz="8" w:color="454545"/>
            </w:tcBorders>
          </w:tcPr>
          <w:p>
            <w:pPr>
              <w:spacing w:after="0"/>
              <w:rPr>
                <w:sz w:val="24"/>
                <w:szCs w:val="24"/>
                <w:color w:val="auto"/>
              </w:rPr>
            </w:pPr>
          </w:p>
        </w:tc>
      </w:tr>
      <w:tr>
        <w:trPr>
          <w:trHeight w:val="209"/>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454545"/>
              </w:rPr>
              <w:t>Currency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1"/>
        </w:trPr>
        <w:tc>
          <w:tcPr>
            <w:tcW w:w="5040" w:type="dxa"/>
            <w:vAlign w:val="bottom"/>
            <w:tcBorders>
              <w:bottom w:val="single" w:sz="8" w:color="6022A6"/>
            </w:tcBorders>
          </w:tcPr>
          <w:p>
            <w:pPr>
              <w:spacing w:after="0"/>
              <w:rPr>
                <w:sz w:val="22"/>
                <w:szCs w:val="22"/>
                <w:color w:val="auto"/>
              </w:rPr>
            </w:pPr>
          </w:p>
        </w:tc>
        <w:tc>
          <w:tcPr>
            <w:tcW w:w="20" w:type="dxa"/>
            <w:vAlign w:val="bottom"/>
            <w:tcBorders>
              <w:bottom w:val="single" w:sz="8" w:color="6022A6"/>
            </w:tcBorders>
          </w:tcPr>
          <w:p>
            <w:pPr>
              <w:spacing w:after="0"/>
              <w:rPr>
                <w:sz w:val="22"/>
                <w:szCs w:val="22"/>
                <w:color w:val="auto"/>
              </w:rPr>
            </w:pPr>
          </w:p>
        </w:tc>
        <w:tc>
          <w:tcPr>
            <w:tcW w:w="140" w:type="dxa"/>
            <w:vAlign w:val="bottom"/>
            <w:tcBorders>
              <w:bottom w:val="single" w:sz="8" w:color="6022A6"/>
            </w:tcBorders>
          </w:tcPr>
          <w:p>
            <w:pPr>
              <w:spacing w:after="0"/>
              <w:rPr>
                <w:sz w:val="22"/>
                <w:szCs w:val="22"/>
                <w:color w:val="auto"/>
              </w:rPr>
            </w:pPr>
          </w:p>
        </w:tc>
        <w:tc>
          <w:tcPr>
            <w:tcW w:w="134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4"/>
              </w:rPr>
              <w:t>adjustments</w:t>
            </w:r>
            <w:r>
              <w:rPr>
                <w:rFonts w:ascii="Arial" w:cs="Arial" w:eastAsia="Arial" w:hAnsi="Arial"/>
                <w:sz w:val="21"/>
                <w:szCs w:val="21"/>
                <w:b w:val="1"/>
                <w:bCs w:val="1"/>
                <w:color w:val="454545"/>
                <w:w w:val="94"/>
                <w:vertAlign w:val="superscript"/>
              </w:rPr>
              <w:t>(a)(d)</w:t>
            </w:r>
          </w:p>
        </w:tc>
        <w:tc>
          <w:tcPr>
            <w:tcW w:w="180" w:type="dxa"/>
            <w:vAlign w:val="bottom"/>
            <w:tcBorders>
              <w:bottom w:val="single" w:sz="8" w:color="6022A6"/>
            </w:tcBorders>
          </w:tcPr>
          <w:p>
            <w:pPr>
              <w:spacing w:after="0"/>
              <w:rPr>
                <w:sz w:val="22"/>
                <w:szCs w:val="22"/>
                <w:color w:val="auto"/>
              </w:rPr>
            </w:pPr>
          </w:p>
        </w:tc>
        <w:tc>
          <w:tcPr>
            <w:tcW w:w="130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Benefit plans</w:t>
            </w:r>
          </w:p>
        </w:tc>
        <w:tc>
          <w:tcPr>
            <w:tcW w:w="14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20" w:type="dxa"/>
            <w:vAlign w:val="bottom"/>
            <w:tcBorders>
              <w:bottom w:val="single" w:sz="8" w:color="6022A6"/>
            </w:tcBorders>
          </w:tcPr>
          <w:p>
            <w:pPr>
              <w:spacing w:after="0"/>
              <w:rPr>
                <w:sz w:val="22"/>
                <w:szCs w:val="22"/>
                <w:color w:val="auto"/>
              </w:rPr>
            </w:pPr>
          </w:p>
        </w:tc>
        <w:tc>
          <w:tcPr>
            <w:tcW w:w="1260" w:type="dxa"/>
            <w:vAlign w:val="bottom"/>
            <w:tcBorders>
              <w:bottom w:val="single" w:sz="8" w:color="6022A6"/>
            </w:tcBorders>
            <w:gridSpan w:val="2"/>
          </w:tcPr>
          <w:p>
            <w:pPr>
              <w:ind w:left="120"/>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6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20" w:type="dxa"/>
            <w:vAlign w:val="bottom"/>
            <w:tcBorders>
              <w:bottom w:val="single" w:sz="8" w:color="E4E4E4"/>
            </w:tcBorders>
            <w:shd w:val="clear" w:color="auto" w:fill="E4E4E4"/>
          </w:tcPr>
          <w:p>
            <w:pPr>
              <w:spacing w:after="0"/>
              <w:rPr>
                <w:sz w:val="21"/>
                <w:szCs w:val="21"/>
                <w:color w:val="auto"/>
              </w:rPr>
            </w:pPr>
          </w:p>
        </w:tc>
      </w:tr>
      <w:tr>
        <w:trPr>
          <w:trHeight w:val="21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auto"/>
              </w:rPr>
              <w:t>$17, $(9), and $2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7"/>
                <w:szCs w:val="17"/>
                <w:color w:val="auto"/>
              </w:rPr>
            </w:pP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040" w:type="dxa"/>
            <w:vAlign w:val="bottom"/>
            <w:shd w:val="clear" w:color="auto" w:fill="E4E4E4"/>
          </w:tcPr>
          <w:p>
            <w:pPr>
              <w:ind w:left="20"/>
              <w:spacing w:after="0"/>
              <w:rPr>
                <w:sz w:val="20"/>
                <w:szCs w:val="20"/>
                <w:color w:val="auto"/>
              </w:rPr>
            </w:pPr>
            <w:r>
              <w:rPr>
                <w:rFonts w:ascii="Arial" w:cs="Arial" w:eastAsia="Arial" w:hAnsi="Arial"/>
                <w:sz w:val="16"/>
                <w:szCs w:val="16"/>
                <w:color w:val="auto"/>
              </w:rPr>
              <w:t>Unrecognized gain transferred from GE pension – net of taxes of $0,</w:t>
            </w:r>
          </w:p>
        </w:tc>
        <w:tc>
          <w:tcPr>
            <w:tcW w:w="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66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2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r>
      <w:tr>
        <w:trPr>
          <w:trHeight w:val="250"/>
        </w:trPr>
        <w:tc>
          <w:tcPr>
            <w:tcW w:w="5040" w:type="dxa"/>
            <w:vAlign w:val="bottom"/>
            <w:shd w:val="clear" w:color="auto" w:fill="E4E4E4"/>
          </w:tcPr>
          <w:p>
            <w:pPr>
              <w:ind w:left="20"/>
              <w:spacing w:after="0"/>
              <w:rPr>
                <w:sz w:val="20"/>
                <w:szCs w:val="20"/>
                <w:color w:val="auto"/>
              </w:rPr>
            </w:pPr>
            <w:r>
              <w:rPr>
                <w:rFonts w:ascii="Arial" w:cs="Arial" w:eastAsia="Arial" w:hAnsi="Arial"/>
                <w:sz w:val="16"/>
                <w:szCs w:val="16"/>
                <w:color w:val="auto"/>
              </w:rPr>
              <w:t>$(509), and $0</w:t>
            </w:r>
            <w:r>
              <w:rPr>
                <w:rFonts w:ascii="Arial" w:cs="Arial" w:eastAsia="Arial" w:hAnsi="Arial"/>
                <w:sz w:val="21"/>
                <w:szCs w:val="21"/>
                <w:color w:val="auto"/>
                <w:vertAlign w:val="superscript"/>
              </w:rPr>
              <w:t>(b)</w:t>
            </w:r>
          </w:p>
        </w:tc>
        <w:tc>
          <w:tcPr>
            <w:tcW w:w="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4E4E4"/>
          </w:tcPr>
          <w:p>
            <w:pPr>
              <w:spacing w:after="0"/>
              <w:rPr>
                <w:sz w:val="21"/>
                <w:szCs w:val="21"/>
                <w:color w:val="auto"/>
              </w:rPr>
            </w:pPr>
          </w:p>
        </w:tc>
        <w:tc>
          <w:tcPr>
            <w:tcW w:w="13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66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1"/>
                <w:szCs w:val="21"/>
                <w:color w:val="auto"/>
              </w:rPr>
            </w:pPr>
          </w:p>
        </w:tc>
        <w:tc>
          <w:tcPr>
            <w:tcW w:w="12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20" w:type="dxa"/>
            <w:vAlign w:val="bottom"/>
            <w:shd w:val="clear" w:color="auto" w:fill="E4E4E4"/>
          </w:tcPr>
          <w:p>
            <w:pPr>
              <w:spacing w:after="0"/>
              <w:rPr>
                <w:sz w:val="21"/>
                <w:szCs w:val="21"/>
                <w:color w:val="auto"/>
              </w:rPr>
            </w:pPr>
          </w:p>
        </w:tc>
      </w:tr>
      <w:tr>
        <w:trPr>
          <w:trHeight w:val="24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Reclasses from AOCI – net of taxes of $0, $33, and $6</w:t>
            </w:r>
            <w:r>
              <w:rPr>
                <w:rFonts w:ascii="Arial" w:cs="Arial" w:eastAsia="Arial" w:hAnsi="Arial"/>
                <w:sz w:val="21"/>
                <w:szCs w:val="21"/>
                <w:color w:val="auto"/>
                <w:vertAlign w:val="superscript"/>
              </w:rPr>
              <w:t>(c)</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6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20" w:type="dxa"/>
            <w:vAlign w:val="bottom"/>
            <w:tcBorders>
              <w:bottom w:val="single" w:sz="8" w:color="auto"/>
            </w:tcBorders>
          </w:tcPr>
          <w:p>
            <w:pPr>
              <w:spacing w:after="0"/>
              <w:rPr>
                <w:sz w:val="21"/>
                <w:szCs w:val="21"/>
                <w:color w:val="auto"/>
              </w:rPr>
            </w:pPr>
          </w:p>
        </w:tc>
      </w:tr>
      <w:tr>
        <w:trPr>
          <w:trHeight w:val="230"/>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2023</w:t>
            </w:r>
          </w:p>
        </w:tc>
        <w:tc>
          <w:tcPr>
            <w:tcW w:w="16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1,847</w:t>
            </w:r>
          </w:p>
        </w:tc>
        <w:tc>
          <w:tcPr>
            <w:tcW w:w="6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c>
          <w:tcPr>
            <w:tcW w:w="20" w:type="dxa"/>
            <w:vAlign w:val="bottom"/>
            <w:tcBorders>
              <w:bottom w:val="single" w:sz="8" w:color="E4E4E4"/>
            </w:tcBorders>
            <w:shd w:val="clear" w:color="auto" w:fill="E4E4E4"/>
          </w:tcPr>
          <w:p>
            <w:pPr>
              <w:spacing w:after="0"/>
              <w:rPr>
                <w:sz w:val="20"/>
                <w:szCs w:val="20"/>
                <w:color w:val="auto"/>
              </w:rPr>
            </w:pPr>
          </w:p>
        </w:tc>
      </w:tr>
      <w:tr>
        <w:trPr>
          <w:trHeight w:val="20"/>
        </w:trPr>
        <w:tc>
          <w:tcPr>
            <w:tcW w:w="5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454545"/>
              </w:rPr>
              <w:t>For the six months ended June 30, 2022</w:t>
            </w:r>
          </w:p>
        </w:tc>
        <w:tc>
          <w:tcPr>
            <w:tcW w:w="1260" w:type="dxa"/>
            <w:vAlign w:val="bottom"/>
          </w:tcPr>
          <w:p>
            <w:pPr>
              <w:spacing w:after="0"/>
              <w:rPr>
                <w:sz w:val="19"/>
                <w:szCs w:val="19"/>
                <w:color w:val="auto"/>
              </w:rPr>
            </w:pP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05"/>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454545"/>
              </w:rPr>
              <w:t>Currency</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7"/>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454545"/>
              </w:rPr>
              <w:t>adjustments</w:t>
            </w:r>
          </w:p>
        </w:tc>
        <w:tc>
          <w:tcPr>
            <w:tcW w:w="18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454545"/>
              </w:rPr>
              <w:t>Benefit plans</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454545"/>
              </w:rPr>
              <w:t>Cash flow hedges</w:t>
            </w:r>
          </w:p>
        </w:tc>
        <w:tc>
          <w:tcPr>
            <w:tcW w:w="220" w:type="dxa"/>
            <w:vAlign w:val="bottom"/>
          </w:tcPr>
          <w:p>
            <w:pPr>
              <w:spacing w:after="0"/>
              <w:rPr>
                <w:sz w:val="19"/>
                <w:szCs w:val="19"/>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1"/>
        </w:trPr>
        <w:tc>
          <w:tcPr>
            <w:tcW w:w="50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55"/>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(969)</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center"/>
              <w:ind w:left="459"/>
              <w:spacing w:after="0"/>
              <w:rPr>
                <w:sz w:val="20"/>
                <w:szCs w:val="20"/>
                <w:color w:val="auto"/>
              </w:rPr>
            </w:pPr>
            <w:r>
              <w:rPr>
                <w:rFonts w:ascii="Arial" w:cs="Arial" w:eastAsia="Arial" w:hAnsi="Arial"/>
                <w:sz w:val="16"/>
                <w:szCs w:val="16"/>
                <w:b w:val="1"/>
                <w:bCs w:val="1"/>
                <w:color w:val="auto"/>
              </w:rPr>
              <w:t>32</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w:t>
            </w:r>
          </w:p>
        </w:tc>
      </w:tr>
      <w:tr>
        <w:trPr>
          <w:trHeight w:val="21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auto"/>
              </w:rPr>
              <w:t>$(14), $(10), and $(2)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640" w:type="dxa"/>
            <w:vAlign w:val="bottom"/>
          </w:tcPr>
          <w:p>
            <w:pPr>
              <w:spacing w:after="0"/>
              <w:rPr>
                <w:sz w:val="17"/>
                <w:szCs w:val="17"/>
                <w:color w:val="auto"/>
              </w:rPr>
            </w:pPr>
          </w:p>
        </w:tc>
        <w:tc>
          <w:tcPr>
            <w:tcW w:w="840" w:type="dxa"/>
            <w:vAlign w:val="bottom"/>
          </w:tcPr>
          <w:p>
            <w:pPr>
              <w:jc w:val="center"/>
              <w:ind w:left="459"/>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50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 of $0, $0, and $0</w:t>
            </w:r>
            <w:r>
              <w:rPr>
                <w:rFonts w:ascii="Arial" w:cs="Arial" w:eastAsia="Arial" w:hAnsi="Arial"/>
                <w:sz w:val="21"/>
                <w:szCs w:val="21"/>
                <w:color w:val="auto"/>
                <w:vertAlign w:val="superscript"/>
              </w:rPr>
              <w:t>(c)</w:t>
            </w:r>
          </w:p>
        </w:tc>
        <w:tc>
          <w:tcPr>
            <w:tcW w:w="18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center"/>
              <w:ind w:left="41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640" w:type="dxa"/>
            <w:vAlign w:val="bottom"/>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center"/>
              <w:ind w:left="459"/>
              <w:spacing w:after="0"/>
              <w:rPr>
                <w:sz w:val="20"/>
                <w:szCs w:val="20"/>
                <w:color w:val="auto"/>
              </w:rPr>
            </w:pPr>
            <w:r>
              <w:rPr>
                <w:rFonts w:ascii="Arial" w:cs="Arial" w:eastAsia="Arial" w:hAnsi="Arial"/>
                <w:sz w:val="16"/>
                <w:szCs w:val="16"/>
                <w:b w:val="1"/>
                <w:bCs w:val="1"/>
                <w:color w:val="auto"/>
              </w:rPr>
              <w:t>47</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(1,649)</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right="240" w:hanging="252"/>
        <w:spacing w:after="0" w:line="254" w:lineRule="auto"/>
        <w:tabs>
          <w:tab w:leader="none" w:pos="2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of foreign currency translation recognized in Other comprehensive income (loss) during the six months ended June 30, 2023 included net gains (losses) relating to net investment hedges, as further discussed in Note 12, “Financial Instruments and Fair Value Measurements.”</w:t>
      </w:r>
    </w:p>
    <w:p>
      <w:pPr>
        <w:ind w:left="260" w:hanging="252"/>
        <w:spacing w:after="0" w:line="255"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Refer to Note 9, “Postretirement Benefit Plans” for further information on the unrecognized gain transferred from the GE pension and other postretirement plans in connection with the Spin-Off.</w:t>
      </w:r>
    </w:p>
    <w:p>
      <w:pPr>
        <w:ind w:left="260" w:right="520" w:hanging="252"/>
        <w:spacing w:after="0" w:line="250" w:lineRule="auto"/>
        <w:tabs>
          <w:tab w:leader="none" w:pos="2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Reclassifications from AOCI into earnings for Benefit plans are recognized within Non-operating benefit (income) loss, while Cash flow hedges are recognized within Cost of products or Cost of services in our Condensed Consolidated and Combined Statements of Income.</w:t>
      </w:r>
    </w:p>
    <w:p>
      <w:pPr>
        <w:ind w:left="260" w:right="360" w:hanging="252"/>
        <w:spacing w:after="0" w:line="270"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comprehensive income (loss) before reclassification for Currency translation adjustments includes $28 million associated with Spin-Off related adjustments.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56"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Our primary objective in executing and holding derivatives is to reduce the earnings and cash flow volatility associated with fluctuations in foreign currency exchange rates and commodity prices and hedge the volatility associated with the translation of the assets and liabilities of subsidiaries with a different functional currency than the USD. These hedge contracts reduce, but do not entirely eliminate, the impact of foreign currency rate and commodity price movements. The Company does not enter into or hold derivative instruments for speculative trading purposes.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1" w:lineRule="exact"/>
        <w:rPr>
          <w:sz w:val="20"/>
          <w:szCs w:val="20"/>
          <w:color w:val="auto"/>
        </w:rPr>
      </w:pPr>
    </w:p>
    <w:p>
      <w:pPr>
        <w:jc w:val="both"/>
        <w:ind w:right="320"/>
        <w:spacing w:after="0" w:line="252" w:lineRule="auto"/>
        <w:rPr>
          <w:sz w:val="20"/>
          <w:szCs w:val="20"/>
          <w:color w:val="auto"/>
        </w:rPr>
      </w:pPr>
      <w:r>
        <w:rPr>
          <w:rFonts w:ascii="Arial" w:cs="Arial" w:eastAsia="Arial" w:hAnsi="Arial"/>
          <w:sz w:val="16"/>
          <w:szCs w:val="16"/>
          <w:color w:val="auto"/>
        </w:rPr>
        <w:t>The total amount in AOCI related to cash flow hedges of foreign currency-denominated forecasted transactions was a net $20 million loss as of June 30, 2023. We expect to reclassify $14 million of pre-tax net deferred losses associated with designated cash flow hedges to earnings in the next 12 months, contemporaneously with the earnings effects of the related forecasted transactions. Pre-tax gains (losses) reclassified from AOCI into earnings were</w:t>
      </w:r>
    </w:p>
    <w:p>
      <w:pPr>
        <w:spacing w:after="0" w:line="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$(6) million and $6 million, for the three months ended June 30, 2023 and 2022, respectively and $27 million and $17 million for the six months ended June 30, 2023 and 2022, respectively. As of June 30, 2023, the maximum length of time over which we are hedging our forecasted transactions was approximately two years.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27"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Company uses derivative instruments to hedge the currency risk associated with its net investment in foreign operations. The derivative instruments include cross-currency swaps and foreign currency forward contracts in combination with foreign currency options contracts. As of June 30, 2023 and December 31, 2022, the Company had $2,296 million and $2,132 million notional, respectively, of derivatives consisting mainly of receive-fixed USD, pay-fixed Euro (“EUR”) cross-currency swaps, each designated as the hedging instruments in net investment hedging relationships in order to mitigate the foreign currency risk attributable to the translation of its net investment in certain EUR-functional subsidiaries.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7"/>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4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454545"/>
              </w:rPr>
              <w:t>June 30, 2023</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60" w:type="dxa"/>
            <w:vAlign w:val="bottom"/>
            <w:gridSpan w:val="5"/>
          </w:tcPr>
          <w:p>
            <w:pPr>
              <w:jc w:val="center"/>
              <w:ind w:right="9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49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80" w:type="dxa"/>
            <w:vAlign w:val="bottom"/>
            <w:tcBorders>
              <w:bottom w:val="single" w:sz="8" w:color="454545"/>
            </w:tcBorders>
            <w:gridSpan w:val="2"/>
          </w:tcPr>
          <w:p>
            <w:pPr>
              <w:spacing w:after="0" w:line="20" w:lineRule="exact"/>
              <w:rPr>
                <w:sz w:val="1"/>
                <w:szCs w:val="1"/>
                <w:color w:val="auto"/>
              </w:rPr>
            </w:pPr>
          </w:p>
        </w:tc>
      </w:tr>
      <w:tr>
        <w:trPr>
          <w:trHeight w:val="205"/>
        </w:trPr>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7"/>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00" w:type="dxa"/>
            <w:vAlign w:val="bottom"/>
          </w:tcPr>
          <w:p>
            <w:pPr>
              <w:spacing w:after="0"/>
              <w:rPr>
                <w:sz w:val="19"/>
                <w:szCs w:val="19"/>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Assets</w:t>
            </w: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0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r>
      <w:tr>
        <w:trPr>
          <w:trHeight w:val="255"/>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1,206</w:t>
            </w:r>
          </w:p>
        </w:tc>
        <w:tc>
          <w:tcPr>
            <w:tcW w:w="22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1,206</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1,240</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1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2,197</w:t>
            </w:r>
          </w:p>
        </w:tc>
        <w:tc>
          <w:tcPr>
            <w:tcW w:w="2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2,132</w:t>
            </w:r>
          </w:p>
        </w:tc>
        <w:tc>
          <w:tcPr>
            <w:tcW w:w="20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exchange contracts and options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4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2,296</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2,132</w:t>
            </w:r>
          </w:p>
        </w:tc>
        <w:tc>
          <w:tcPr>
            <w:tcW w:w="20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111</w:t>
            </w:r>
          </w:p>
        </w:tc>
      </w:tr>
      <w:tr>
        <w:trPr>
          <w:trHeight w:val="217"/>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exchange contracts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5,269</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4,456</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Embedded derivatives</w:t>
            </w:r>
          </w:p>
        </w:tc>
        <w:tc>
          <w:tcPr>
            <w:tcW w:w="1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683</w:t>
            </w:r>
          </w:p>
        </w:tc>
        <w:tc>
          <w:tcPr>
            <w:tcW w:w="2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604</w:t>
            </w:r>
          </w:p>
        </w:tc>
        <w:tc>
          <w:tcPr>
            <w:tcW w:w="20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4"/>
        </w:trPr>
        <w:tc>
          <w:tcPr>
            <w:tcW w:w="4900" w:type="dxa"/>
            <w:vAlign w:val="bottom"/>
          </w:tcPr>
          <w:p>
            <w:pPr>
              <w:ind w:left="20"/>
              <w:spacing w:after="0"/>
              <w:rPr>
                <w:sz w:val="20"/>
                <w:szCs w:val="20"/>
                <w:color w:val="auto"/>
              </w:rPr>
            </w:pPr>
            <w:r>
              <w:rPr>
                <w:rFonts w:ascii="Arial" w:cs="Arial" w:eastAsia="Arial" w:hAnsi="Arial"/>
                <w:sz w:val="16"/>
                <w:szCs w:val="16"/>
                <w:color w:val="auto"/>
              </w:rPr>
              <w:t>Equity contracts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Commodity derivatives</w:t>
            </w:r>
          </w:p>
        </w:tc>
        <w:tc>
          <w:tcPr>
            <w:tcW w:w="14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6,227</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5,116</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4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9,729</w:t>
            </w:r>
          </w:p>
        </w:tc>
        <w:tc>
          <w:tcPr>
            <w:tcW w:w="22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312</w:t>
            </w:r>
          </w:p>
        </w:tc>
        <w:tc>
          <w:tcPr>
            <w:tcW w:w="26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8,488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r>
      <w:tr>
        <w:trPr>
          <w:trHeight w:val="20"/>
        </w:trPr>
        <w:tc>
          <w:tcPr>
            <w:tcW w:w="4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on our Condensed Consolidated and Combined Statements of Financial Position and in the table above. The fair value of the derivatives contracts is recognized within All other current assets, All other assets, All other current liabilities, and All other liabilities in the Condensed Consolidated and Combined Statements of Financial Position based upon the contractual timing of settlements for these contracts.</w:t>
      </w:r>
    </w:p>
    <w:p>
      <w:pPr>
        <w:spacing w:after="0" w:line="132" w:lineRule="exact"/>
        <w:rPr>
          <w:sz w:val="20"/>
          <w:szCs w:val="20"/>
          <w:color w:val="auto"/>
        </w:rPr>
      </w:pPr>
    </w:p>
    <w:p>
      <w:pPr>
        <w:ind w:right="680"/>
        <w:spacing w:after="0" w:line="276" w:lineRule="auto"/>
        <w:rPr>
          <w:sz w:val="20"/>
          <w:szCs w:val="20"/>
          <w:color w:val="auto"/>
        </w:rPr>
      </w:pPr>
      <w:r>
        <w:rPr>
          <w:rFonts w:ascii="Arial" w:cs="Arial" w:eastAsia="Arial" w:hAnsi="Arial"/>
          <w:sz w:val="16"/>
          <w:szCs w:val="16"/>
          <w:color w:val="auto"/>
        </w:rPr>
        <w:t>As of June 30, 2023, the potential effect of rights of offset associated with the derivative contracts would be an offset to both assets and liabilities by $64 million.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60" w:type="dxa"/>
            <w:vAlign w:val="bottom"/>
            <w:gridSpan w:val="3"/>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7"/>
        </w:trPr>
        <w:tc>
          <w:tcPr>
            <w:tcW w:w="4080" w:type="dxa"/>
            <w:vAlign w:val="bottom"/>
          </w:tcPr>
          <w:p>
            <w:pPr>
              <w:spacing w:after="0"/>
              <w:rPr>
                <w:sz w:val="21"/>
                <w:szCs w:val="21"/>
                <w:color w:val="auto"/>
              </w:rPr>
            </w:pPr>
          </w:p>
        </w:tc>
        <w:tc>
          <w:tcPr>
            <w:tcW w:w="318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300" w:type="dxa"/>
            <w:vAlign w:val="bottom"/>
            <w:tcBorders>
              <w:bottom w:val="single" w:sz="8" w:color="454545"/>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454545"/>
            </w:tcBorders>
          </w:tcPr>
          <w:p>
            <w:pPr>
              <w:spacing w:after="0"/>
              <w:rPr>
                <w:sz w:val="21"/>
                <w:szCs w:val="21"/>
                <w:color w:val="auto"/>
              </w:rPr>
            </w:pPr>
          </w:p>
        </w:tc>
        <w:tc>
          <w:tcPr>
            <w:tcW w:w="3280" w:type="dxa"/>
            <w:vAlign w:val="bottom"/>
            <w:tcBorders>
              <w:bottom w:val="single" w:sz="8" w:color="454545"/>
            </w:tcBorders>
            <w:gridSpan w:val="3"/>
          </w:tcPr>
          <w:p>
            <w:pPr>
              <w:jc w:val="right"/>
              <w:ind w:right="3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33"/>
        </w:trPr>
        <w:tc>
          <w:tcPr>
            <w:tcW w:w="408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2023</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2023</w:t>
            </w:r>
          </w:p>
        </w:tc>
        <w:tc>
          <w:tcPr>
            <w:tcW w:w="420" w:type="dxa"/>
            <w:vAlign w:val="bottom"/>
          </w:tcPr>
          <w:p>
            <w:pPr>
              <w:spacing w:after="0"/>
              <w:rPr>
                <w:sz w:val="20"/>
                <w:szCs w:val="20"/>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r>
      <w:tr>
        <w:trPr>
          <w:trHeight w:val="21"/>
        </w:trPr>
        <w:tc>
          <w:tcPr>
            <w:tcW w:w="40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240" w:type="dxa"/>
            <w:vAlign w:val="bottom"/>
            <w:tcBorders>
              <w:bottom w:val="single" w:sz="8" w:color="E4E4E4"/>
            </w:tcBorders>
            <w:shd w:val="clear" w:color="auto" w:fill="E4E4E4"/>
          </w:tcPr>
          <w:p>
            <w:pPr>
              <w:jc w:val="right"/>
              <w:ind w:right="10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E4E4E4"/>
            </w:tcBorders>
            <w:shd w:val="clear" w:color="auto" w:fill="E4E4E4"/>
          </w:tcPr>
          <w:p>
            <w:pPr>
              <w:jc w:val="right"/>
              <w:ind w:right="1259"/>
              <w:spacing w:after="0"/>
              <w:rPr>
                <w:sz w:val="20"/>
                <w:szCs w:val="20"/>
                <w:color w:val="auto"/>
              </w:rPr>
            </w:pPr>
            <w:r>
              <w:rPr>
                <w:rFonts w:ascii="Arial" w:cs="Arial" w:eastAsia="Arial" w:hAnsi="Arial"/>
                <w:sz w:val="16"/>
                <w:szCs w:val="16"/>
                <w:color w:val="auto"/>
              </w:rPr>
              <w:t>7 $</w:t>
            </w:r>
          </w:p>
        </w:tc>
        <w:tc>
          <w:tcPr>
            <w:tcW w:w="30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Net investment hedges</w:t>
            </w:r>
          </w:p>
        </w:tc>
        <w:tc>
          <w:tcPr>
            <w:tcW w:w="1240" w:type="dxa"/>
            <w:vAlign w:val="bottom"/>
          </w:tcPr>
          <w:p>
            <w:pPr>
              <w:spacing w:after="0"/>
              <w:rPr>
                <w:sz w:val="19"/>
                <w:szCs w:val="19"/>
                <w:color w:val="auto"/>
              </w:rPr>
            </w:pPr>
          </w:p>
        </w:tc>
        <w:tc>
          <w:tcPr>
            <w:tcW w:w="1940" w:type="dxa"/>
            <w:vAlign w:val="bottom"/>
          </w:tcPr>
          <w:p>
            <w:pPr>
              <w:jc w:val="right"/>
              <w:ind w:right="1379"/>
              <w:spacing w:after="0"/>
              <w:rPr>
                <w:sz w:val="20"/>
                <w:szCs w:val="20"/>
                <w:color w:val="auto"/>
              </w:rPr>
            </w:pPr>
            <w:r>
              <w:rPr>
                <w:rFonts w:ascii="Arial" w:cs="Arial" w:eastAsia="Arial" w:hAnsi="Arial"/>
                <w:sz w:val="16"/>
                <w:szCs w:val="16"/>
                <w:color w:val="auto"/>
              </w:rPr>
              <w:t>(36)</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the gains (losses) of our derivative financial instruments in the Condensed Consolidated and Combined Statements of Income: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gridSpan w:val="7"/>
          </w:tcPr>
          <w:p>
            <w:pPr>
              <w:jc w:val="right"/>
              <w:ind w:right="259"/>
              <w:spacing w:after="0"/>
              <w:rPr>
                <w:sz w:val="20"/>
                <w:szCs w:val="20"/>
                <w:color w:val="auto"/>
              </w:rPr>
            </w:pPr>
            <w:r>
              <w:rPr>
                <w:rFonts w:ascii="Arial" w:cs="Arial" w:eastAsia="Arial" w:hAnsi="Arial"/>
                <w:sz w:val="16"/>
                <w:szCs w:val="16"/>
                <w:b w:val="1"/>
                <w:bCs w:val="1"/>
                <w:color w:val="454545"/>
              </w:rPr>
              <w:t>For the three months ended June 30, 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7"/>
          </w:tcPr>
          <w:p>
            <w:pPr>
              <w:jc w:val="right"/>
              <w:ind w:right="259"/>
              <w:spacing w:after="0"/>
              <w:rPr>
                <w:sz w:val="20"/>
                <w:szCs w:val="20"/>
                <w:color w:val="auto"/>
              </w:rPr>
            </w:pPr>
            <w:r>
              <w:rPr>
                <w:rFonts w:ascii="Arial" w:cs="Arial" w:eastAsia="Arial" w:hAnsi="Arial"/>
                <w:sz w:val="16"/>
                <w:szCs w:val="16"/>
                <w:b w:val="1"/>
                <w:bCs w:val="1"/>
                <w:color w:val="454545"/>
              </w:rPr>
              <w:t>For the three months ended June 30, 2022</w:t>
            </w:r>
          </w:p>
        </w:tc>
      </w:tr>
      <w:tr>
        <w:trPr>
          <w:trHeight w:val="21"/>
        </w:trPr>
        <w:tc>
          <w:tcPr>
            <w:tcW w:w="324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05"/>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454545"/>
              </w:rPr>
              <w:t>Selling, general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454545"/>
              </w:rPr>
              <w:t>Selling, general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454545"/>
              </w:rPr>
              <w:t>Cost of</w:t>
            </w:r>
          </w:p>
        </w:tc>
        <w:tc>
          <w:tcPr>
            <w:tcW w:w="140" w:type="dxa"/>
            <w:vAlign w:val="bottom"/>
          </w:tcPr>
          <w:p>
            <w:pPr>
              <w:spacing w:after="0"/>
              <w:rPr>
                <w:sz w:val="17"/>
                <w:szCs w:val="17"/>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454545"/>
              </w:rPr>
              <w:t>Cost of</w:t>
            </w:r>
          </w:p>
        </w:tc>
        <w:tc>
          <w:tcPr>
            <w:tcW w:w="300" w:type="dxa"/>
            <w:vAlign w:val="bottom"/>
          </w:tcPr>
          <w:p>
            <w:pPr>
              <w:spacing w:after="0"/>
              <w:rPr>
                <w:sz w:val="17"/>
                <w:szCs w:val="17"/>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454545"/>
              </w:rPr>
              <w:t>and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454545"/>
              </w:rPr>
              <w:t>Cost of</w:t>
            </w:r>
          </w:p>
        </w:tc>
        <w:tc>
          <w:tcPr>
            <w:tcW w:w="120" w:type="dxa"/>
            <w:vAlign w:val="bottom"/>
          </w:tcPr>
          <w:p>
            <w:pPr>
              <w:spacing w:after="0"/>
              <w:rPr>
                <w:sz w:val="17"/>
                <w:szCs w:val="17"/>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454545"/>
              </w:rPr>
              <w:t>Cost of</w:t>
            </w:r>
          </w:p>
        </w:tc>
        <w:tc>
          <w:tcPr>
            <w:tcW w:w="300" w:type="dxa"/>
            <w:vAlign w:val="bottom"/>
          </w:tcPr>
          <w:p>
            <w:pPr>
              <w:spacing w:after="0"/>
              <w:rPr>
                <w:sz w:val="17"/>
                <w:szCs w:val="17"/>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454545"/>
              </w:rPr>
              <w:t>and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8"/>
        </w:trPr>
        <w:tc>
          <w:tcPr>
            <w:tcW w:w="3240" w:type="dxa"/>
            <w:vAlign w:val="bottom"/>
            <w:tcBorders>
              <w:bottom w:val="single" w:sz="8" w:color="6022A6"/>
            </w:tcBorders>
          </w:tcPr>
          <w:p>
            <w:pPr>
              <w:spacing w:after="0"/>
              <w:rPr>
                <w:sz w:val="21"/>
                <w:szCs w:val="21"/>
                <w:color w:val="auto"/>
              </w:rPr>
            </w:pPr>
          </w:p>
        </w:tc>
        <w:tc>
          <w:tcPr>
            <w:tcW w:w="100" w:type="dxa"/>
            <w:vAlign w:val="bottom"/>
            <w:tcBorders>
              <w:bottom w:val="single" w:sz="8" w:color="6022A6"/>
            </w:tcBorders>
          </w:tcPr>
          <w:p>
            <w:pPr>
              <w:spacing w:after="0"/>
              <w:rPr>
                <w:sz w:val="21"/>
                <w:szCs w:val="21"/>
                <w:color w:val="auto"/>
              </w:rPr>
            </w:pPr>
          </w:p>
        </w:tc>
        <w:tc>
          <w:tcPr>
            <w:tcW w:w="80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w w:val="99"/>
              </w:rPr>
              <w:t>products</w:t>
            </w:r>
          </w:p>
        </w:tc>
        <w:tc>
          <w:tcPr>
            <w:tcW w:w="140" w:type="dxa"/>
            <w:vAlign w:val="bottom"/>
            <w:tcBorders>
              <w:bottom w:val="single" w:sz="8" w:color="6022A6"/>
            </w:tcBorders>
          </w:tcPr>
          <w:p>
            <w:pPr>
              <w:spacing w:after="0"/>
              <w:rPr>
                <w:sz w:val="21"/>
                <w:szCs w:val="21"/>
                <w:color w:val="auto"/>
              </w:rPr>
            </w:pPr>
          </w:p>
        </w:tc>
        <w:tc>
          <w:tcPr>
            <w:tcW w:w="78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9"/>
              </w:rPr>
              <w:t>services</w:t>
            </w:r>
          </w:p>
        </w:tc>
        <w:tc>
          <w:tcPr>
            <w:tcW w:w="124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administrative</w:t>
            </w:r>
          </w:p>
        </w:tc>
        <w:tc>
          <w:tcPr>
            <w:tcW w:w="120" w:type="dxa"/>
            <w:vAlign w:val="bottom"/>
            <w:tcBorders>
              <w:bottom w:val="single" w:sz="8" w:color="6022A6"/>
            </w:tcBorders>
          </w:tcPr>
          <w:p>
            <w:pPr>
              <w:spacing w:after="0"/>
              <w:rPr>
                <w:sz w:val="21"/>
                <w:szCs w:val="21"/>
                <w:color w:val="auto"/>
              </w:rPr>
            </w:pPr>
          </w:p>
        </w:tc>
        <w:tc>
          <w:tcPr>
            <w:tcW w:w="74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3"/>
              </w:rPr>
              <w:t xml:space="preserve">Other </w:t>
            </w:r>
            <w:r>
              <w:rPr>
                <w:rFonts w:ascii="Arial" w:cs="Arial" w:eastAsia="Arial" w:hAnsi="Arial"/>
                <w:sz w:val="21"/>
                <w:szCs w:val="21"/>
                <w:b w:val="1"/>
                <w:bCs w:val="1"/>
                <w:color w:val="454545"/>
                <w:w w:val="93"/>
                <w:vertAlign w:val="superscript"/>
              </w:rPr>
              <w:t>(a)</w:t>
            </w:r>
          </w:p>
        </w:tc>
        <w:tc>
          <w:tcPr>
            <w:tcW w:w="100" w:type="dxa"/>
            <w:vAlign w:val="bottom"/>
            <w:tcBorders>
              <w:bottom w:val="single" w:sz="8" w:color="6022A6"/>
            </w:tcBorders>
          </w:tcPr>
          <w:p>
            <w:pPr>
              <w:spacing w:after="0"/>
              <w:rPr>
                <w:sz w:val="21"/>
                <w:szCs w:val="21"/>
                <w:color w:val="auto"/>
              </w:rPr>
            </w:pPr>
          </w:p>
        </w:tc>
        <w:tc>
          <w:tcPr>
            <w:tcW w:w="100" w:type="dxa"/>
            <w:vAlign w:val="bottom"/>
            <w:tcBorders>
              <w:bottom w:val="single" w:sz="8" w:color="6022A6"/>
            </w:tcBorders>
          </w:tcPr>
          <w:p>
            <w:pPr>
              <w:spacing w:after="0"/>
              <w:rPr>
                <w:sz w:val="21"/>
                <w:szCs w:val="21"/>
                <w:color w:val="auto"/>
              </w:rPr>
            </w:pPr>
          </w:p>
        </w:tc>
        <w:tc>
          <w:tcPr>
            <w:tcW w:w="80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w w:val="99"/>
              </w:rPr>
              <w:t>products</w:t>
            </w:r>
          </w:p>
        </w:tc>
        <w:tc>
          <w:tcPr>
            <w:tcW w:w="120" w:type="dxa"/>
            <w:vAlign w:val="bottom"/>
            <w:tcBorders>
              <w:bottom w:val="single" w:sz="8" w:color="6022A6"/>
            </w:tcBorders>
          </w:tcPr>
          <w:p>
            <w:pPr>
              <w:spacing w:after="0"/>
              <w:rPr>
                <w:sz w:val="21"/>
                <w:szCs w:val="21"/>
                <w:color w:val="auto"/>
              </w:rPr>
            </w:pPr>
          </w:p>
        </w:tc>
        <w:tc>
          <w:tcPr>
            <w:tcW w:w="78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9"/>
              </w:rPr>
              <w:t>services</w:t>
            </w:r>
          </w:p>
        </w:tc>
        <w:tc>
          <w:tcPr>
            <w:tcW w:w="124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administrative</w:t>
            </w:r>
          </w:p>
        </w:tc>
        <w:tc>
          <w:tcPr>
            <w:tcW w:w="120" w:type="dxa"/>
            <w:vAlign w:val="bottom"/>
            <w:tcBorders>
              <w:bottom w:val="single" w:sz="8" w:color="6022A6"/>
            </w:tcBorders>
          </w:tcPr>
          <w:p>
            <w:pPr>
              <w:spacing w:after="0"/>
              <w:rPr>
                <w:sz w:val="21"/>
                <w:szCs w:val="21"/>
                <w:color w:val="auto"/>
              </w:rPr>
            </w:pPr>
          </w:p>
        </w:tc>
        <w:tc>
          <w:tcPr>
            <w:tcW w:w="74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3"/>
              </w:rPr>
              <w:t xml:space="preserve">Other </w:t>
            </w:r>
            <w:r>
              <w:rPr>
                <w:rFonts w:ascii="Arial" w:cs="Arial" w:eastAsia="Arial" w:hAnsi="Arial"/>
                <w:sz w:val="21"/>
                <w:szCs w:val="21"/>
                <w:b w:val="1"/>
                <w:bCs w:val="1"/>
                <w:color w:val="454545"/>
                <w:w w:val="93"/>
                <w:vertAlign w:val="superscript"/>
              </w:rPr>
              <w:t>(a)</w:t>
            </w:r>
          </w:p>
        </w:tc>
      </w:tr>
      <w:tr>
        <w:trPr>
          <w:trHeight w:val="255"/>
        </w:trPr>
        <w:tc>
          <w:tcPr>
            <w:tcW w:w="3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34"/>
        </w:trPr>
        <w:tc>
          <w:tcPr>
            <w:tcW w:w="3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10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Equity contracts</w:t>
            </w:r>
          </w:p>
        </w:tc>
        <w:tc>
          <w:tcPr>
            <w:tcW w:w="10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324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3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5"/>
        </w:trPr>
        <w:tc>
          <w:tcPr>
            <w:tcW w:w="3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w:t>
            </w:r>
          </w:p>
        </w:tc>
        <w:tc>
          <w:tcPr>
            <w:tcW w:w="100" w:type="dxa"/>
            <w:vAlign w:val="bottom"/>
            <w:shd w:val="clear" w:color="auto" w:fill="E4E4E4"/>
          </w:tcPr>
          <w:p>
            <w:pPr>
              <w:spacing w:after="0"/>
              <w:rPr>
                <w:sz w:val="17"/>
                <w:szCs w:val="17"/>
                <w:color w:val="auto"/>
              </w:rPr>
            </w:pPr>
          </w:p>
        </w:tc>
        <w:tc>
          <w:tcPr>
            <w:tcW w:w="8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780" w:type="dxa"/>
            <w:vAlign w:val="bottom"/>
            <w:shd w:val="clear" w:color="auto" w:fill="E4E4E4"/>
          </w:tcPr>
          <w:p>
            <w:pPr>
              <w:spacing w:after="0"/>
              <w:rPr>
                <w:sz w:val="17"/>
                <w:szCs w:val="17"/>
                <w:color w:val="auto"/>
              </w:rPr>
            </w:pPr>
          </w:p>
        </w:tc>
        <w:tc>
          <w:tcPr>
            <w:tcW w:w="30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7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8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780" w:type="dxa"/>
            <w:vAlign w:val="bottom"/>
            <w:shd w:val="clear" w:color="auto" w:fill="E4E4E4"/>
          </w:tcPr>
          <w:p>
            <w:pPr>
              <w:spacing w:after="0"/>
              <w:rPr>
                <w:sz w:val="17"/>
                <w:szCs w:val="17"/>
                <w:color w:val="auto"/>
              </w:rPr>
            </w:pPr>
          </w:p>
        </w:tc>
        <w:tc>
          <w:tcPr>
            <w:tcW w:w="30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740" w:type="dxa"/>
            <w:vAlign w:val="bottom"/>
            <w:shd w:val="clear" w:color="auto" w:fill="E4E4E4"/>
          </w:tcPr>
          <w:p>
            <w:pPr>
              <w:spacing w:after="0"/>
              <w:rPr>
                <w:sz w:val="17"/>
                <w:szCs w:val="17"/>
                <w:color w:val="auto"/>
              </w:rPr>
            </w:pPr>
          </w:p>
        </w:tc>
      </w:tr>
      <w:tr>
        <w:trPr>
          <w:trHeight w:val="228"/>
        </w:trPr>
        <w:tc>
          <w:tcPr>
            <w:tcW w:w="3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hedges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r>
      <w:tr>
        <w:trPr>
          <w:trHeight w:val="20"/>
        </w:trPr>
        <w:tc>
          <w:tcPr>
            <w:tcW w:w="3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27"/>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gridSpan w:val="7"/>
          </w:tcPr>
          <w:p>
            <w:pPr>
              <w:jc w:val="right"/>
              <w:ind w:right="339"/>
              <w:spacing w:after="0"/>
              <w:rPr>
                <w:sz w:val="20"/>
                <w:szCs w:val="20"/>
                <w:color w:val="auto"/>
              </w:rPr>
            </w:pPr>
            <w:r>
              <w:rPr>
                <w:rFonts w:ascii="Arial" w:cs="Arial" w:eastAsia="Arial" w:hAnsi="Arial"/>
                <w:sz w:val="16"/>
                <w:szCs w:val="16"/>
                <w:b w:val="1"/>
                <w:bCs w:val="1"/>
                <w:color w:val="454545"/>
              </w:rPr>
              <w:t>For the six months ended June 30, 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7"/>
          </w:tcPr>
          <w:p>
            <w:pPr>
              <w:jc w:val="right"/>
              <w:ind w:right="339"/>
              <w:spacing w:after="0"/>
              <w:rPr>
                <w:sz w:val="20"/>
                <w:szCs w:val="20"/>
                <w:color w:val="auto"/>
              </w:rPr>
            </w:pPr>
            <w:r>
              <w:rPr>
                <w:rFonts w:ascii="Arial" w:cs="Arial" w:eastAsia="Arial" w:hAnsi="Arial"/>
                <w:sz w:val="16"/>
                <w:szCs w:val="16"/>
                <w:b w:val="1"/>
                <w:bCs w:val="1"/>
                <w:color w:val="454545"/>
              </w:rPr>
              <w:t>For the six months ended June 30, 2022</w:t>
            </w:r>
          </w:p>
        </w:tc>
      </w:tr>
      <w:tr>
        <w:trPr>
          <w:trHeight w:val="21"/>
        </w:trPr>
        <w:tc>
          <w:tcPr>
            <w:tcW w:w="332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05"/>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454545"/>
              </w:rPr>
              <w:t>Selling, general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454545"/>
              </w:rPr>
              <w:t>Selling, general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454545"/>
              </w:rPr>
              <w:t>Cost of</w:t>
            </w:r>
          </w:p>
        </w:tc>
        <w:tc>
          <w:tcPr>
            <w:tcW w:w="14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454545"/>
              </w:rPr>
              <w:t>Cost of</w:t>
            </w:r>
          </w:p>
        </w:tc>
        <w:tc>
          <w:tcPr>
            <w:tcW w:w="340" w:type="dxa"/>
            <w:vAlign w:val="bottom"/>
          </w:tcPr>
          <w:p>
            <w:pPr>
              <w:spacing w:after="0"/>
              <w:rPr>
                <w:sz w:val="17"/>
                <w:szCs w:val="17"/>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454545"/>
              </w:rPr>
              <w:t>and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454545"/>
              </w:rPr>
              <w:t>Cost of</w:t>
            </w:r>
          </w:p>
        </w:tc>
        <w:tc>
          <w:tcPr>
            <w:tcW w:w="12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Cost of</w:t>
            </w:r>
          </w:p>
        </w:tc>
        <w:tc>
          <w:tcPr>
            <w:tcW w:w="320" w:type="dxa"/>
            <w:vAlign w:val="bottom"/>
          </w:tcPr>
          <w:p>
            <w:pPr>
              <w:spacing w:after="0"/>
              <w:rPr>
                <w:sz w:val="17"/>
                <w:szCs w:val="17"/>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454545"/>
              </w:rPr>
              <w:t>and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8"/>
        </w:trPr>
        <w:tc>
          <w:tcPr>
            <w:tcW w:w="3320" w:type="dxa"/>
            <w:vAlign w:val="bottom"/>
            <w:tcBorders>
              <w:bottom w:val="single" w:sz="8" w:color="6022A6"/>
            </w:tcBorders>
          </w:tcPr>
          <w:p>
            <w:pPr>
              <w:spacing w:after="0"/>
              <w:rPr>
                <w:sz w:val="21"/>
                <w:szCs w:val="21"/>
                <w:color w:val="auto"/>
              </w:rPr>
            </w:pPr>
          </w:p>
        </w:tc>
        <w:tc>
          <w:tcPr>
            <w:tcW w:w="100" w:type="dxa"/>
            <w:vAlign w:val="bottom"/>
            <w:tcBorders>
              <w:bottom w:val="single" w:sz="8" w:color="6022A6"/>
            </w:tcBorders>
          </w:tcPr>
          <w:p>
            <w:pPr>
              <w:spacing w:after="0"/>
              <w:rPr>
                <w:sz w:val="21"/>
                <w:szCs w:val="21"/>
                <w:color w:val="auto"/>
              </w:rPr>
            </w:pPr>
          </w:p>
        </w:tc>
        <w:tc>
          <w:tcPr>
            <w:tcW w:w="78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9"/>
              </w:rPr>
              <w:t>products</w:t>
            </w:r>
          </w:p>
        </w:tc>
        <w:tc>
          <w:tcPr>
            <w:tcW w:w="14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w w:val="99"/>
              </w:rPr>
              <w:t>services</w:t>
            </w:r>
          </w:p>
        </w:tc>
        <w:tc>
          <w:tcPr>
            <w:tcW w:w="12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administrative</w:t>
            </w:r>
          </w:p>
        </w:tc>
        <w:tc>
          <w:tcPr>
            <w:tcW w:w="120" w:type="dxa"/>
            <w:vAlign w:val="bottom"/>
            <w:tcBorders>
              <w:bottom w:val="single" w:sz="8" w:color="6022A6"/>
            </w:tcBorders>
          </w:tcPr>
          <w:p>
            <w:pPr>
              <w:spacing w:after="0"/>
              <w:rPr>
                <w:sz w:val="21"/>
                <w:szCs w:val="21"/>
                <w:color w:val="auto"/>
              </w:rPr>
            </w:pPr>
          </w:p>
        </w:tc>
        <w:tc>
          <w:tcPr>
            <w:tcW w:w="74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3"/>
              </w:rPr>
              <w:t xml:space="preserve">Other </w:t>
            </w:r>
            <w:r>
              <w:rPr>
                <w:rFonts w:ascii="Arial" w:cs="Arial" w:eastAsia="Arial" w:hAnsi="Arial"/>
                <w:sz w:val="21"/>
                <w:szCs w:val="21"/>
                <w:b w:val="1"/>
                <w:bCs w:val="1"/>
                <w:color w:val="454545"/>
                <w:w w:val="93"/>
                <w:vertAlign w:val="superscript"/>
              </w:rPr>
              <w:t>(a)</w:t>
            </w:r>
          </w:p>
        </w:tc>
        <w:tc>
          <w:tcPr>
            <w:tcW w:w="100" w:type="dxa"/>
            <w:vAlign w:val="bottom"/>
            <w:tcBorders>
              <w:bottom w:val="single" w:sz="8" w:color="6022A6"/>
            </w:tcBorders>
          </w:tcPr>
          <w:p>
            <w:pPr>
              <w:spacing w:after="0"/>
              <w:rPr>
                <w:sz w:val="21"/>
                <w:szCs w:val="21"/>
                <w:color w:val="auto"/>
              </w:rPr>
            </w:pPr>
          </w:p>
        </w:tc>
        <w:tc>
          <w:tcPr>
            <w:tcW w:w="100" w:type="dxa"/>
            <w:vAlign w:val="bottom"/>
            <w:tcBorders>
              <w:bottom w:val="single" w:sz="8" w:color="6022A6"/>
            </w:tcBorders>
          </w:tcPr>
          <w:p>
            <w:pPr>
              <w:spacing w:after="0"/>
              <w:rPr>
                <w:sz w:val="21"/>
                <w:szCs w:val="21"/>
                <w:color w:val="auto"/>
              </w:rPr>
            </w:pPr>
          </w:p>
        </w:tc>
        <w:tc>
          <w:tcPr>
            <w:tcW w:w="80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w w:val="99"/>
              </w:rPr>
              <w:t>products</w:t>
            </w:r>
          </w:p>
        </w:tc>
        <w:tc>
          <w:tcPr>
            <w:tcW w:w="12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w w:val="99"/>
              </w:rPr>
              <w:t>services</w:t>
            </w:r>
          </w:p>
        </w:tc>
        <w:tc>
          <w:tcPr>
            <w:tcW w:w="126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administrative</w:t>
            </w:r>
          </w:p>
        </w:tc>
        <w:tc>
          <w:tcPr>
            <w:tcW w:w="120" w:type="dxa"/>
            <w:vAlign w:val="bottom"/>
            <w:tcBorders>
              <w:bottom w:val="single" w:sz="8" w:color="6022A6"/>
            </w:tcBorders>
          </w:tcPr>
          <w:p>
            <w:pPr>
              <w:spacing w:after="0"/>
              <w:rPr>
                <w:sz w:val="21"/>
                <w:szCs w:val="21"/>
                <w:color w:val="auto"/>
              </w:rPr>
            </w:pPr>
          </w:p>
        </w:tc>
        <w:tc>
          <w:tcPr>
            <w:tcW w:w="74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3"/>
              </w:rPr>
              <w:t xml:space="preserve">Other </w:t>
            </w:r>
            <w:r>
              <w:rPr>
                <w:rFonts w:ascii="Arial" w:cs="Arial" w:eastAsia="Arial" w:hAnsi="Arial"/>
                <w:sz w:val="21"/>
                <w:szCs w:val="21"/>
                <w:b w:val="1"/>
                <w:bCs w:val="1"/>
                <w:color w:val="454545"/>
                <w:w w:val="93"/>
                <w:vertAlign w:val="superscript"/>
              </w:rPr>
              <w:t>(a)</w:t>
            </w:r>
          </w:p>
        </w:tc>
      </w:tr>
      <w:tr>
        <w:trPr>
          <w:trHeight w:val="255"/>
        </w:trPr>
        <w:tc>
          <w:tcPr>
            <w:tcW w:w="3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3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34"/>
        </w:trPr>
        <w:tc>
          <w:tcPr>
            <w:tcW w:w="3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1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332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Equity contracts</w:t>
            </w:r>
          </w:p>
        </w:tc>
        <w:tc>
          <w:tcPr>
            <w:tcW w:w="10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332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w:t>
            </w:r>
          </w:p>
        </w:tc>
        <w:tc>
          <w:tcPr>
            <w:tcW w:w="100" w:type="dxa"/>
            <w:vAlign w:val="bottom"/>
            <w:shd w:val="clear" w:color="auto" w:fill="E4E4E4"/>
          </w:tcPr>
          <w:p>
            <w:pPr>
              <w:spacing w:after="0"/>
              <w:rPr>
                <w:sz w:val="17"/>
                <w:szCs w:val="17"/>
                <w:color w:val="auto"/>
              </w:rPr>
            </w:pPr>
          </w:p>
        </w:tc>
        <w:tc>
          <w:tcPr>
            <w:tcW w:w="78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760" w:type="dxa"/>
            <w:vAlign w:val="bottom"/>
            <w:shd w:val="clear" w:color="auto" w:fill="E4E4E4"/>
          </w:tcPr>
          <w:p>
            <w:pPr>
              <w:spacing w:after="0"/>
              <w:rPr>
                <w:sz w:val="17"/>
                <w:szCs w:val="17"/>
                <w:color w:val="auto"/>
              </w:rPr>
            </w:pPr>
          </w:p>
        </w:tc>
        <w:tc>
          <w:tcPr>
            <w:tcW w:w="34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7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8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76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740" w:type="dxa"/>
            <w:vAlign w:val="bottom"/>
            <w:shd w:val="clear" w:color="auto" w:fill="E4E4E4"/>
          </w:tcPr>
          <w:p>
            <w:pPr>
              <w:spacing w:after="0"/>
              <w:rPr>
                <w:sz w:val="17"/>
                <w:szCs w:val="17"/>
                <w:color w:val="auto"/>
              </w:rPr>
            </w:pPr>
          </w:p>
        </w:tc>
      </w:tr>
      <w:tr>
        <w:trPr>
          <w:trHeight w:val="228"/>
        </w:trPr>
        <w:tc>
          <w:tcPr>
            <w:tcW w:w="3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hedges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w:t>
            </w:r>
          </w:p>
        </w:tc>
      </w:tr>
      <w:tr>
        <w:trPr>
          <w:trHeight w:val="20"/>
        </w:trPr>
        <w:tc>
          <w:tcPr>
            <w:tcW w:w="3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Amounts inclusive of Other income (expense) </w:t>
      </w:r>
      <w:r>
        <w:rPr>
          <w:rFonts w:ascii="Arial" w:cs="Arial" w:eastAsia="Arial" w:hAnsi="Arial"/>
          <w:sz w:val="19"/>
          <w:szCs w:val="19"/>
          <w:color w:val="auto"/>
        </w:rPr>
        <w:t>–</w:t>
      </w:r>
      <w:r>
        <w:rPr>
          <w:rFonts w:ascii="Arial" w:cs="Arial" w:eastAsia="Arial" w:hAnsi="Arial"/>
          <w:sz w:val="16"/>
          <w:szCs w:val="16"/>
          <w:color w:val="auto"/>
        </w:rPr>
        <w:t xml:space="preserve"> net on the Condensed Consolidated and Combined Statements of Income.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financial assets and liabilities that are recorded and measured at fair value on a recurring basis: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Fair Value of Financial Assets and Liabilities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6"/>
        </w:trPr>
        <w:tc>
          <w:tcPr>
            <w:tcW w:w="3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454545"/>
              </w:rPr>
              <w:t>As of June 30, 2023</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454545"/>
              </w:rPr>
              <w:t>As of December 31, 2022</w:t>
            </w:r>
          </w:p>
        </w:tc>
        <w:tc>
          <w:tcPr>
            <w:tcW w:w="740" w:type="dxa"/>
            <w:vAlign w:val="bottom"/>
          </w:tcPr>
          <w:p>
            <w:pPr>
              <w:spacing w:after="0"/>
              <w:rPr>
                <w:sz w:val="22"/>
                <w:szCs w:val="22"/>
                <w:color w:val="auto"/>
              </w:rPr>
            </w:pPr>
          </w:p>
        </w:tc>
      </w:tr>
      <w:tr>
        <w:trPr>
          <w:trHeight w:val="21"/>
        </w:trPr>
        <w:tc>
          <w:tcPr>
            <w:tcW w:w="374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1</w:t>
            </w:r>
          </w:p>
        </w:tc>
        <w:tc>
          <w:tcPr>
            <w:tcW w:w="16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454545"/>
              </w:rPr>
              <w:t>Level 1</w:t>
            </w:r>
          </w:p>
        </w:tc>
        <w:tc>
          <w:tcPr>
            <w:tcW w:w="18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color w:val="auto"/>
              </w:rPr>
              <w:t>Investment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Derivatives</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152</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66</w:t>
            </w:r>
          </w:p>
        </w:tc>
        <w:tc>
          <w:tcPr>
            <w:tcW w:w="9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35"/>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6"/>
        </w:trPr>
        <w:tc>
          <w:tcPr>
            <w:tcW w:w="374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Deferred compensation</w:t>
            </w:r>
            <w:r>
              <w:rPr>
                <w:rFonts w:ascii="Arial" w:cs="Arial" w:eastAsia="Arial" w:hAnsi="Arial"/>
                <w:sz w:val="21"/>
                <w:szCs w:val="21"/>
                <w:color w:val="auto"/>
                <w:vertAlign w:val="superscript"/>
              </w:rPr>
              <w:t>(a)</w:t>
            </w:r>
          </w:p>
        </w:tc>
        <w:tc>
          <w:tcPr>
            <w:tcW w:w="14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243</w:t>
            </w:r>
          </w:p>
        </w:tc>
        <w:tc>
          <w:tcPr>
            <w:tcW w:w="160" w:type="dxa"/>
            <w:vAlign w:val="bottom"/>
            <w:shd w:val="clear" w:color="auto" w:fill="E4E4E4"/>
          </w:tcPr>
          <w:p>
            <w:pPr>
              <w:spacing w:after="0"/>
              <w:rPr>
                <w:sz w:val="22"/>
                <w:szCs w:val="22"/>
                <w:color w:val="auto"/>
              </w:rPr>
            </w:pPr>
          </w:p>
        </w:tc>
        <w:tc>
          <w:tcPr>
            <w:tcW w:w="94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3</w:t>
            </w:r>
          </w:p>
        </w:tc>
        <w:tc>
          <w:tcPr>
            <w:tcW w:w="980" w:type="dxa"/>
            <w:vAlign w:val="bottom"/>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180" w:type="dxa"/>
            <w:vAlign w:val="bottom"/>
            <w:shd w:val="clear" w:color="auto" w:fill="E4E4E4"/>
          </w:tcPr>
          <w:p>
            <w:pPr>
              <w:spacing w:after="0"/>
              <w:rPr>
                <w:sz w:val="22"/>
                <w:szCs w:val="22"/>
                <w:color w:val="auto"/>
              </w:rPr>
            </w:pPr>
          </w:p>
        </w:tc>
        <w:tc>
          <w:tcPr>
            <w:tcW w:w="94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2</w:t>
            </w:r>
          </w:p>
        </w:tc>
        <w:tc>
          <w:tcPr>
            <w:tcW w:w="960" w:type="dxa"/>
            <w:vAlign w:val="bottom"/>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64</w:t>
            </w:r>
          </w:p>
        </w:tc>
      </w:tr>
      <w:tr>
        <w:trPr>
          <w:trHeight w:val="224"/>
        </w:trPr>
        <w:tc>
          <w:tcPr>
            <w:tcW w:w="374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309</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72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203</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65</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42</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3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 Certain deferred compensation plans whose value is derived from market-based securities values were transferred from GE as part of the Spin-Off.</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7"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The contingent consideration liabilities as of June 30, 2023 and December 31, 2022 were recorded in connection with business acquisitions. Changes in the Level 3 fair value measurement of contingent consideration were not material during the six months ended June 30, 2023.</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 of long-term debt (including the current portion) as of June 30, 2023 and December 31, 2022, was $10,630 million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$8,512 million compared to a carrying value (which includes a reduction for amortized debt issuance costs and discounts) of $10,238 million and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$8,241 million, respectively. The fair value of our borrowings is determined based on observable and quoted prices and spreads of comparable debt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benchmark securities and is considered Level 2 in the fair value hierarchy. See Note 8, “Borrowings” for further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Equity investments without readily determinable fair value as of June 30, 2023 and December 31, 2022 were $121 million and $117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75"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 In addition, GE has provided parent company guarantees in certain jurisdictions where we lack the legal structure to issue the requisite guarantees required on certain projects.</w:t>
      </w:r>
    </w:p>
    <w:p>
      <w:pPr>
        <w:spacing w:after="0" w:line="217"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Following the Spin-Off, which was completed pursuant to a Separation and Distribution Agreement (the "Separation and Distribution Agreement"), the Company has remaining performance guarantees on behalf of GE. Under the Separation and Distribution Agreement, GE is obligated to use reasonable best efforts to replace the Company as the guarantor or terminate all such performance guarantees. Until such termination or replacement, in the event of non-fulfillment of contractual obligations by the relevant obligors, the Company could be obligated to make payments under the applicable instruments for which GE is obligated to reimburse and indemnify the Company. As of June 30, 2023 the Company’s maximum aggregate exposure, subject to GE reimbursement, is approximately $114 million.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17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Product Warranties</w:t>
            </w: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57"/>
        </w:trPr>
        <w:tc>
          <w:tcPr>
            <w:tcW w:w="7400" w:type="dxa"/>
            <w:vAlign w:val="bottom"/>
          </w:tcPr>
          <w:p>
            <w:pPr>
              <w:spacing w:after="0"/>
              <w:rPr>
                <w:sz w:val="22"/>
                <w:szCs w:val="22"/>
                <w:color w:val="auto"/>
              </w:rPr>
            </w:pPr>
          </w:p>
        </w:tc>
        <w:tc>
          <w:tcPr>
            <w:tcW w:w="33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454545"/>
              </w:rPr>
              <w:t>For the six months ended June 30</w:t>
            </w:r>
          </w:p>
        </w:tc>
        <w:tc>
          <w:tcPr>
            <w:tcW w:w="520" w:type="dxa"/>
            <w:vAlign w:val="bottom"/>
          </w:tcPr>
          <w:p>
            <w:pPr>
              <w:spacing w:after="0"/>
              <w:rPr>
                <w:sz w:val="22"/>
                <w:szCs w:val="22"/>
                <w:color w:val="auto"/>
              </w:rPr>
            </w:pPr>
          </w:p>
        </w:tc>
      </w:tr>
      <w:tr>
        <w:trPr>
          <w:trHeight w:val="21"/>
        </w:trPr>
        <w:tc>
          <w:tcPr>
            <w:tcW w:w="7400" w:type="dxa"/>
            <w:vAlign w:val="bottom"/>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r>
      <w:tr>
        <w:trPr>
          <w:trHeight w:val="229"/>
        </w:trPr>
        <w:tc>
          <w:tcPr>
            <w:tcW w:w="740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2022</w:t>
            </w:r>
          </w:p>
        </w:tc>
        <w:tc>
          <w:tcPr>
            <w:tcW w:w="520" w:type="dxa"/>
            <w:vAlign w:val="bottom"/>
          </w:tcPr>
          <w:p>
            <w:pPr>
              <w:spacing w:after="0"/>
              <w:rPr>
                <w:sz w:val="19"/>
                <w:szCs w:val="19"/>
                <w:color w:val="auto"/>
              </w:rPr>
            </w:pPr>
          </w:p>
        </w:tc>
      </w:tr>
      <w:tr>
        <w:trPr>
          <w:trHeight w:val="21"/>
        </w:trPr>
        <w:tc>
          <w:tcPr>
            <w:tcW w:w="740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2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c>
          <w:tcPr>
            <w:tcW w:w="142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33"/>
        </w:trPr>
        <w:tc>
          <w:tcPr>
            <w:tcW w:w="7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w:t>
            </w:r>
          </w:p>
        </w:tc>
        <w:tc>
          <w:tcPr>
            <w:tcW w:w="142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w:t>
            </w: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Other changes</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2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190</w:t>
            </w:r>
          </w:p>
        </w:tc>
        <w:tc>
          <w:tcPr>
            <w:tcW w:w="142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w:t>
            </w:r>
          </w:p>
        </w:tc>
      </w:tr>
      <w:tr>
        <w:trPr>
          <w:trHeight w:val="20"/>
        </w:trPr>
        <w:tc>
          <w:tcPr>
            <w:tcW w:w="7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and Combined Statements of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21"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Also in February 2023, defendants filed a motion for a temporary, partial stay of further district court proceedings until the Supreme Court issues its decision in a separate case, Twitter, Inc. v. Taamneh, which also involves the U.S. Anti-Terrorism Act. In March 2023, the District Court granted the motion for a temporary, partial stay. In May 2023, the Supreme Court issued its opinion in Twitter, Inc. v. Taamneh, and the partial stay was extended by the District Court pending further submissions by the parties. In June 2023, defendants petitioned the Supreme Court to review the D.C. Circuit’s decision.</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14. RESTRUCTURING AND OTHER ACTIVITIES – NET</w:t>
      </w:r>
    </w:p>
    <w:p>
      <w:pPr>
        <w:spacing w:after="0" w:line="265"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as a stand-alone company and mostly involve workforce reductions, organizational realignments, and revisions to our real estate footprint. Specifically, restructuring and other charges (gains) primarily include facility exit costs, employee-related termination benefits associated with workforce reductions, asset write-downs, and cease-use costs. For segment reporting, restructuring and other activities are not allocated.</w:t>
      </w:r>
    </w:p>
    <w:p>
      <w:pPr>
        <w:spacing w:after="0" w:line="142"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As a result of committed restructuring initiatives, we recorded net expenses of $19 million and $10 million for the three months ended June 30, 2023 and 2022 and $31 million and $22 million for the six months ended June 30, 2023 and 2022. These restructuring initiatives are expected to result in additional expenses of approximately $35 million, to be incurred primarily in 2023, substantially related to employee-related termination benefits and facility exit costs. Restructuring expenses (gains) are recognized within Cost of products, Cost of services, or Selling, general, and administrative ("SG&amp;A"), as appropriate, in the Condensed Consolidated and Combined Statements of Income.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Restructuring and Other Activities</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6"/>
        </w:trPr>
        <w:tc>
          <w:tcPr>
            <w:tcW w:w="4020" w:type="dxa"/>
            <w:vAlign w:val="bottom"/>
          </w:tcPr>
          <w:p>
            <w:pPr>
              <w:spacing w:after="0"/>
              <w:rPr>
                <w:sz w:val="22"/>
                <w:szCs w:val="22"/>
                <w:color w:val="auto"/>
              </w:rPr>
            </w:pPr>
          </w:p>
        </w:tc>
        <w:tc>
          <w:tcPr>
            <w:tcW w:w="32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020" w:type="dxa"/>
            <w:vAlign w:val="bottom"/>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9"/>
        </w:trPr>
        <w:tc>
          <w:tcPr>
            <w:tcW w:w="402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2023</w:t>
            </w:r>
          </w:p>
        </w:tc>
        <w:tc>
          <w:tcPr>
            <w:tcW w:w="460" w:type="dxa"/>
            <w:vAlign w:val="bottom"/>
          </w:tcPr>
          <w:p>
            <w:pPr>
              <w:spacing w:after="0"/>
              <w:rPr>
                <w:sz w:val="19"/>
                <w:szCs w:val="19"/>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2023</w:t>
            </w:r>
          </w:p>
        </w:tc>
        <w:tc>
          <w:tcPr>
            <w:tcW w:w="440" w:type="dxa"/>
            <w:vAlign w:val="bottom"/>
          </w:tcPr>
          <w:p>
            <w:pPr>
              <w:spacing w:after="0"/>
              <w:rPr>
                <w:sz w:val="19"/>
                <w:szCs w:val="19"/>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r>
      <w:tr>
        <w:trPr>
          <w:trHeight w:val="21"/>
        </w:trPr>
        <w:tc>
          <w:tcPr>
            <w:tcW w:w="402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4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300" w:type="dxa"/>
            <w:vAlign w:val="bottom"/>
            <w:tcBorders>
              <w:bottom w:val="single" w:sz="8" w:color="E4E4E4"/>
            </w:tcBorders>
            <w:shd w:val="clear" w:color="auto" w:fill="E4E4E4"/>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480" w:type="dxa"/>
            <w:vAlign w:val="bottom"/>
            <w:tcBorders>
              <w:bottom w:val="single" w:sz="8" w:color="E4E4E4"/>
            </w:tcBorders>
            <w:shd w:val="clear" w:color="auto" w:fill="E4E4E4"/>
          </w:tcPr>
          <w:p>
            <w:pPr>
              <w:jc w:val="right"/>
              <w:ind w:right="12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4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4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30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148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E4E4E4"/>
            </w:tcBorders>
            <w:shd w:val="clear" w:color="auto" w:fill="E4E4E4"/>
          </w:tcPr>
          <w:p>
            <w:pPr>
              <w:spacing w:after="0"/>
              <w:rPr>
                <w:sz w:val="22"/>
                <w:szCs w:val="22"/>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and other activities – net</w:t>
            </w:r>
          </w:p>
        </w:tc>
        <w:tc>
          <w:tcPr>
            <w:tcW w:w="1300" w:type="dxa"/>
            <w:vAlign w:val="bottom"/>
            <w:tcBorders>
              <w:top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1480" w:type="dxa"/>
            <w:vAlign w:val="bottom"/>
            <w:tcBorders>
              <w:top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3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In connection with the Spin-Off, GE transferred employee termination obligations for services already rendered of $31 million to GE HealthCare. Liabilities related to restructuring are recognized within All other current liabilities and All other liabilities in the Condensed Consolidated and Combined Statements of Financial Position and totaled $91 million and $75 million as of June 30, 2023 and December 31, 2022,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grant stock options, restricted stock units (“RSU”), and performance share units (“PSU”) to employees under the 2023 Long-Term Incentive Plan (“LTIP”). The Talent, Culture, and Compensation Committee of the Board of Directors approves grants under the LTIP. Under the LTIP, we are authorized to issue up to approximately 41 million shares. We record compensation expense for awards expected to vest over the vesting period. We estimate forfeitures based on experience and adjust expense to reflect actual forfeitures. When options are exercised, RSUs vest, and PSUs are earned, we issue shares from authorized unissued common stock.</w:t>
      </w:r>
    </w:p>
    <w:p>
      <w:pPr>
        <w:spacing w:after="0" w:line="22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Stock options provide employees the opportunity to purchase GE HealthCare shares in the future at the market price of our stock on the date the award is granted (the strike price). The options become exercisable over the vesting period, typically becoming fully vested in three to three and a half years, and expire ten years from the grant date if not exercised. RSUs provide an employee the right to shares of GE HealthCare stock when the restrictions lapse over the vesting period. Upon vesting, each RSU is converted into one share of GE HealthCare common stock. PSUs provide an employee with the right to receive shares of GE HealthCare stock based upon achievement of certain performance and market metrics. Upon vesting, each PSU earned is converted into one share of GE HealthCare common stock. We value stock options using a Black-Scholes option pricing model, RSUs using the market price on the grant date, and PSUs using the market price on the grant date and a Monte Carlo simulation as needed based on performance metrics.</w:t>
      </w:r>
    </w:p>
    <w:p>
      <w:pPr>
        <w:spacing w:after="0" w:line="227"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following tables provide the weighted average fair value of options, RSUs, and PSUs granted to employees during the six months ended June 30, 2023 and the related stock option valuation assumptions used in the Black-Scholes model:</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Weighted Average Grant Date Fair Value</w:t>
            </w:r>
          </w:p>
        </w:tc>
        <w:tc>
          <w:tcPr>
            <w:tcW w:w="34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4"/>
        </w:trPr>
        <w:tc>
          <w:tcPr>
            <w:tcW w:w="62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dollars)</w:t>
            </w:r>
          </w:p>
        </w:tc>
        <w:tc>
          <w:tcPr>
            <w:tcW w:w="3400" w:type="dxa"/>
            <w:vAlign w:val="bottom"/>
            <w:tcBorders>
              <w:bottom w:val="single" w:sz="8" w:color="6022A6"/>
            </w:tcBorders>
          </w:tcPr>
          <w:p>
            <w:pPr>
              <w:spacing w:after="0"/>
              <w:rPr>
                <w:sz w:val="23"/>
                <w:szCs w:val="23"/>
                <w:color w:val="auto"/>
              </w:rPr>
            </w:pPr>
          </w:p>
        </w:tc>
        <w:tc>
          <w:tcPr>
            <w:tcW w:w="1560" w:type="dxa"/>
            <w:vAlign w:val="bottom"/>
            <w:tcBorders>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June 30, 2023</w:t>
            </w:r>
          </w:p>
        </w:tc>
      </w:tr>
      <w:tr>
        <w:trPr>
          <w:trHeight w:val="234"/>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Stock options</w:t>
            </w:r>
          </w:p>
        </w:tc>
        <w:tc>
          <w:tcPr>
            <w:tcW w:w="34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6280" w:type="dxa"/>
            <w:vAlign w:val="bottom"/>
          </w:tcPr>
          <w:p>
            <w:pPr>
              <w:ind w:left="20"/>
              <w:spacing w:after="0"/>
              <w:rPr>
                <w:sz w:val="20"/>
                <w:szCs w:val="20"/>
                <w:color w:val="auto"/>
              </w:rPr>
            </w:pPr>
            <w:r>
              <w:rPr>
                <w:rFonts w:ascii="Arial" w:cs="Arial" w:eastAsia="Arial" w:hAnsi="Arial"/>
                <w:sz w:val="16"/>
                <w:szCs w:val="16"/>
                <w:color w:val="auto"/>
              </w:rPr>
              <w:t>RSUs</w:t>
            </w:r>
          </w:p>
        </w:tc>
        <w:tc>
          <w:tcPr>
            <w:tcW w:w="3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6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PSUs</w:t>
            </w:r>
          </w:p>
        </w:tc>
        <w:tc>
          <w:tcPr>
            <w:tcW w:w="34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628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Key Assumptions in the Black-Scholes Valuation for Stock Options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454545"/>
              </w:rPr>
              <w:t>June 30, 2023</w:t>
            </w:r>
          </w:p>
        </w:tc>
      </w:tr>
      <w:tr>
        <w:trPr>
          <w:trHeight w:val="21"/>
        </w:trPr>
        <w:tc>
          <w:tcPr>
            <w:tcW w:w="5560" w:type="dxa"/>
            <w:vAlign w:val="bottom"/>
            <w:tcBorders>
              <w:bottom w:val="single" w:sz="8" w:color="6022A6"/>
            </w:tcBorders>
          </w:tcPr>
          <w:p>
            <w:pPr>
              <w:spacing w:after="0" w:line="20" w:lineRule="exact"/>
              <w:rPr>
                <w:sz w:val="1"/>
                <w:szCs w:val="1"/>
                <w:color w:val="auto"/>
              </w:rPr>
            </w:pPr>
          </w:p>
        </w:tc>
        <w:tc>
          <w:tcPr>
            <w:tcW w:w="402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Risk free rate</w:t>
            </w:r>
          </w:p>
        </w:tc>
        <w:tc>
          <w:tcPr>
            <w:tcW w:w="402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r>
      <w:tr>
        <w:trPr>
          <w:trHeight w:val="223"/>
        </w:trPr>
        <w:tc>
          <w:tcPr>
            <w:tcW w:w="55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40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0.01 %</w:t>
            </w:r>
          </w:p>
        </w:tc>
      </w:tr>
      <w:tr>
        <w:trPr>
          <w:trHeight w:val="33"/>
        </w:trPr>
        <w:tc>
          <w:tcPr>
            <w:tcW w:w="5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volatility</w:t>
            </w:r>
          </w:p>
        </w:tc>
        <w:tc>
          <w:tcPr>
            <w:tcW w:w="402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26.2 %</w:t>
            </w: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40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5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Strike price (in dollars)</w:t>
            </w:r>
          </w:p>
        </w:tc>
        <w:tc>
          <w:tcPr>
            <w:tcW w:w="40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72</w:t>
            </w:r>
          </w:p>
        </w:tc>
      </w:tr>
      <w:tr>
        <w:trPr>
          <w:trHeight w:val="20"/>
        </w:trPr>
        <w:tc>
          <w:tcPr>
            <w:tcW w:w="556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7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For new awards granted in 2023, the expected volatility was derived from a peer group’s blended historical and implied volatility as GE HealthCare does not have sufficient historical volatility based on the expected term of the underlying options. The expected term of the stock options was determined using the simplified method. The risk-free interest rate was determined using the implied yield currently available for zero-coupon U.S. government issues with a remaining term approximating the expected life of the options. The dividend yield input was calculated using an annualized rate based on actual dividends declared.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Share-Based Compensation Activity</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2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454545"/>
              </w:rPr>
              <w:t>Stock options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454545"/>
              </w:rPr>
              <w:t>RSUs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
        </w:trPr>
        <w:tc>
          <w:tcPr>
            <w:tcW w:w="2740" w:type="dxa"/>
            <w:vAlign w:val="bottom"/>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r>
      <w:tr>
        <w:trPr>
          <w:trHeight w:val="205"/>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454545"/>
              </w:rPr>
              <w:t>Weighted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Weighted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Weighted</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454545"/>
              </w:rPr>
              <w:t>Weighted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454545"/>
              </w:rPr>
              <w:t>average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454545"/>
              </w:rPr>
              <w:t>average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454545"/>
              </w:rPr>
              <w:t>exercise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w w:val="99"/>
              </w:rPr>
              <w:t>contractual</w:t>
            </w:r>
          </w:p>
        </w:tc>
        <w:tc>
          <w:tcPr>
            <w:tcW w:w="14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454545"/>
              </w:rPr>
              <w:t>Intrinsic</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454545"/>
              </w:rPr>
              <w:t>grant date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454545"/>
                <w:w w:val="99"/>
              </w:rPr>
              <w:t>contractual</w:t>
            </w:r>
          </w:p>
        </w:tc>
        <w:tc>
          <w:tcPr>
            <w:tcW w:w="14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Arial" w:cs="Arial" w:eastAsia="Arial" w:hAnsi="Arial"/>
                <w:sz w:val="16"/>
                <w:szCs w:val="16"/>
                <w:b w:val="1"/>
                <w:bCs w:val="1"/>
                <w:color w:val="454545"/>
              </w:rPr>
              <w:t>Intrinsic</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454545"/>
              </w:rPr>
              <w:t>Shares (in</w:t>
            </w: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price (in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w w:val="98"/>
              </w:rPr>
              <w:t>term (in</w:t>
            </w:r>
          </w:p>
        </w:tc>
        <w:tc>
          <w:tcPr>
            <w:tcW w:w="14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454545"/>
              </w:rPr>
              <w:t>value (in</w:t>
            </w:r>
          </w:p>
        </w:tc>
        <w:tc>
          <w:tcPr>
            <w:tcW w:w="1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454545"/>
              </w:rPr>
              <w:t>Shares (in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(in</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454545"/>
                <w:w w:val="98"/>
              </w:rPr>
              <w:t>term (in</w:t>
            </w:r>
          </w:p>
        </w:tc>
        <w:tc>
          <w:tcPr>
            <w:tcW w:w="14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Arial" w:cs="Arial" w:eastAsia="Arial" w:hAnsi="Arial"/>
                <w:sz w:val="16"/>
                <w:szCs w:val="16"/>
                <w:b w:val="1"/>
                <w:bCs w:val="1"/>
                <w:color w:val="454545"/>
              </w:rPr>
              <w:t>value (in</w:t>
            </w:r>
          </w:p>
        </w:tc>
      </w:tr>
      <w:tr>
        <w:trPr>
          <w:trHeight w:val="227"/>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w w:val="99"/>
              </w:rPr>
              <w:t>thousands)</w:t>
            </w:r>
          </w:p>
        </w:tc>
        <w:tc>
          <w:tcPr>
            <w:tcW w:w="140" w:type="dxa"/>
            <w:vAlign w:val="bottom"/>
          </w:tcPr>
          <w:p>
            <w:pPr>
              <w:spacing w:after="0"/>
              <w:rPr>
                <w:sz w:val="19"/>
                <w:szCs w:val="19"/>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454545"/>
              </w:rPr>
              <w:t>dollars)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years)</w:t>
            </w:r>
          </w:p>
        </w:tc>
        <w:tc>
          <w:tcPr>
            <w:tcW w:w="14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454545"/>
              </w:rPr>
              <w:t>millions)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thousands)</w:t>
            </w:r>
          </w:p>
        </w:tc>
        <w:tc>
          <w:tcPr>
            <w:tcW w:w="120" w:type="dxa"/>
            <w:vAlign w:val="bottom"/>
          </w:tcPr>
          <w:p>
            <w:pPr>
              <w:spacing w:after="0"/>
              <w:rPr>
                <w:sz w:val="19"/>
                <w:szCs w:val="19"/>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454545"/>
              </w:rPr>
              <w:t>dollars)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454545"/>
              </w:rPr>
              <w:t>years)</w:t>
            </w:r>
          </w:p>
        </w:tc>
        <w:tc>
          <w:tcPr>
            <w:tcW w:w="14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6"/>
                <w:szCs w:val="16"/>
                <w:b w:val="1"/>
                <w:bCs w:val="1"/>
                <w:color w:val="454545"/>
              </w:rPr>
              <w:t>millions)</w:t>
            </w:r>
          </w:p>
        </w:tc>
      </w:tr>
      <w:tr>
        <w:trPr>
          <w:trHeight w:val="21"/>
        </w:trPr>
        <w:tc>
          <w:tcPr>
            <w:tcW w:w="2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r>
      <w:tr>
        <w:trPr>
          <w:trHeight w:val="250"/>
        </w:trPr>
        <w:tc>
          <w:tcPr>
            <w:tcW w:w="2820" w:type="dxa"/>
            <w:vAlign w:val="bottom"/>
            <w:gridSpan w:val="2"/>
            <w:shd w:val="clear" w:color="auto" w:fill="E4E4E4"/>
          </w:tcPr>
          <w:p>
            <w:pPr>
              <w:ind w:left="20"/>
              <w:spacing w:after="0"/>
              <w:rPr>
                <w:sz w:val="20"/>
                <w:szCs w:val="20"/>
                <w:color w:val="auto"/>
              </w:rPr>
            </w:pPr>
            <w:r>
              <w:rPr>
                <w:rFonts w:ascii="Arial" w:cs="Arial" w:eastAsia="Arial" w:hAnsi="Arial"/>
                <w:sz w:val="16"/>
                <w:szCs w:val="16"/>
                <w:color w:val="auto"/>
              </w:rPr>
              <w:t>Outstanding as of January 4, 2023</w:t>
            </w:r>
            <w:r>
              <w:rPr>
                <w:rFonts w:ascii="Arial" w:cs="Arial" w:eastAsia="Arial" w:hAnsi="Arial"/>
                <w:sz w:val="21"/>
                <w:szCs w:val="21"/>
                <w:color w:val="auto"/>
                <w:vertAlign w:val="superscript"/>
              </w:rPr>
              <w:t>(a)</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3,738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90</w:t>
            </w:r>
          </w:p>
        </w:tc>
        <w:tc>
          <w:tcPr>
            <w:tcW w:w="104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16"/>
                <w:szCs w:val="16"/>
                <w:color w:val="auto"/>
              </w:rPr>
              <w:t>3,551</w:t>
            </w:r>
          </w:p>
        </w:tc>
        <w:tc>
          <w:tcPr>
            <w:tcW w:w="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58</w:t>
            </w:r>
          </w:p>
        </w:tc>
        <w:tc>
          <w:tcPr>
            <w:tcW w:w="10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r>
      <w:tr>
        <w:trPr>
          <w:trHeight w:val="224"/>
        </w:trPr>
        <w:tc>
          <w:tcPr>
            <w:tcW w:w="282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960" w:type="dxa"/>
            <w:vAlign w:val="bottom"/>
          </w:tcPr>
          <w:p>
            <w:pPr>
              <w:jc w:val="right"/>
              <w:spacing w:after="0"/>
              <w:rPr>
                <w:sz w:val="20"/>
                <w:szCs w:val="20"/>
                <w:color w:val="auto"/>
              </w:rPr>
            </w:pPr>
            <w:r>
              <w:rPr>
                <w:rFonts w:ascii="Arial" w:cs="Arial" w:eastAsia="Arial" w:hAnsi="Arial"/>
                <w:sz w:val="16"/>
                <w:szCs w:val="16"/>
                <w:color w:val="auto"/>
              </w:rPr>
              <w:t>2,143</w:t>
            </w:r>
          </w:p>
        </w:tc>
        <w:tc>
          <w:tcPr>
            <w:tcW w:w="1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820" w:type="dxa"/>
            <w:vAlign w:val="bottom"/>
            <w:tcBorders>
              <w:bottom w:val="single" w:sz="8" w:color="E4E4E4"/>
            </w:tcBorders>
            <w:gridSpan w:val="2"/>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(448)</w:t>
            </w: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60</w:t>
            </w:r>
          </w:p>
        </w:tc>
        <w:tc>
          <w:tcPr>
            <w:tcW w:w="104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70</w:t>
            </w:r>
          </w:p>
        </w:tc>
        <w:tc>
          <w:tcPr>
            <w:tcW w:w="10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r>
      <w:tr>
        <w:trPr>
          <w:trHeight w:val="223"/>
        </w:trPr>
        <w:tc>
          <w:tcPr>
            <w:tcW w:w="2820" w:type="dxa"/>
            <w:vAlign w:val="bottom"/>
            <w:gridSpan w:val="2"/>
          </w:tcPr>
          <w:p>
            <w:pPr>
              <w:ind w:left="140"/>
              <w:spacing w:after="0"/>
              <w:rPr>
                <w:sz w:val="20"/>
                <w:szCs w:val="20"/>
                <w:color w:val="auto"/>
              </w:rPr>
            </w:pPr>
            <w:r>
              <w:rPr>
                <w:rFonts w:ascii="Arial" w:cs="Arial" w:eastAsia="Arial" w:hAnsi="Arial"/>
                <w:sz w:val="16"/>
                <w:szCs w:val="16"/>
                <w:color w:val="auto"/>
              </w:rPr>
              <w:t>Forfeited</w:t>
            </w: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2820" w:type="dxa"/>
            <w:vAlign w:val="bottom"/>
            <w:tcBorders>
              <w:bottom w:val="single" w:sz="8" w:color="E4E4E4"/>
            </w:tcBorders>
            <w:gridSpan w:val="2"/>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131</w:t>
            </w:r>
          </w:p>
        </w:tc>
        <w:tc>
          <w:tcPr>
            <w:tcW w:w="104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r>
      <w:tr>
        <w:trPr>
          <w:trHeight w:val="229"/>
        </w:trPr>
        <w:tc>
          <w:tcPr>
            <w:tcW w:w="2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Outstanding as of June 30,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5,372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4,509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368</w:t>
            </w: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282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Exercisable as of June 30, 2023</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3,044</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95</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2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b w:val="1"/>
                <w:bCs w:val="1"/>
                <w:color w:val="auto"/>
              </w:rPr>
              <w:t>N/A</w:t>
            </w:r>
          </w:p>
        </w:tc>
      </w:tr>
      <w:tr>
        <w:trPr>
          <w:trHeight w:val="229"/>
        </w:trPr>
        <w:tc>
          <w:tcPr>
            <w:tcW w:w="2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Expected to vest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3,851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313</w:t>
            </w: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right="40" w:hanging="252"/>
        <w:spacing w:after="0" w:line="270"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common stock began “regular way” trading on The Nasdaq Global Market on January 4, 2023. The shares outstanding as of January 4, 2023 pertain to GE equity-based awards issued by GE in prior periods to employees of the Company that were converted to GE HealthCare equity-based awards as part of the Spin-Off.</w:t>
      </w:r>
    </w:p>
    <w:p>
      <w:pPr>
        <w:spacing w:after="0" w:line="16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Total outstanding PSUs as of June 30, 2023 were 1,293 thousand shares with a weighted average fair value of $85 dollars. The intrinsic value and weighted average contractual term of PSUs outstanding were $105 million and 1.8 years, respectively.</w:t>
      </w:r>
    </w:p>
    <w:p>
      <w:pPr>
        <w:spacing w:after="0" w:line="19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Share-based compensation expense is recognized within Cost of products, Cost of services, SG&amp;A or Research and development (“R&amp;D”), as appropriate, in the Condensed Consolidated Statement of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Share-based Compensation Expense</w:t>
            </w:r>
          </w:p>
        </w:tc>
        <w:tc>
          <w:tcPr>
            <w:tcW w:w="2200" w:type="dxa"/>
            <w:vAlign w:val="bottom"/>
            <w:gridSpan w:val="2"/>
          </w:tcPr>
          <w:p>
            <w:pPr>
              <w:ind w:left="20"/>
              <w:spacing w:after="0"/>
              <w:rPr>
                <w:sz w:val="20"/>
                <w:szCs w:val="20"/>
                <w:color w:val="auto"/>
              </w:rPr>
            </w:pPr>
            <w:r>
              <w:rPr>
                <w:rFonts w:ascii="Arial" w:cs="Arial" w:eastAsia="Arial" w:hAnsi="Arial"/>
                <w:sz w:val="16"/>
                <w:szCs w:val="16"/>
                <w:b w:val="1"/>
                <w:bCs w:val="1"/>
                <w:color w:val="454545"/>
              </w:rPr>
              <w:t>For the three months ended</w:t>
            </w:r>
          </w:p>
        </w:tc>
        <w:tc>
          <w:tcPr>
            <w:tcW w:w="80" w:type="dxa"/>
            <w:vAlign w:val="bottom"/>
          </w:tcPr>
          <w:p>
            <w:pPr>
              <w:spacing w:after="0"/>
              <w:rPr>
                <w:sz w:val="19"/>
                <w:szCs w:val="19"/>
                <w:color w:val="auto"/>
              </w:rPr>
            </w:pPr>
          </w:p>
        </w:tc>
        <w:tc>
          <w:tcPr>
            <w:tcW w:w="21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For the six months ended</w:t>
            </w:r>
          </w:p>
        </w:tc>
      </w:tr>
      <w:tr>
        <w:trPr>
          <w:trHeight w:val="21"/>
        </w:trPr>
        <w:tc>
          <w:tcPr>
            <w:tcW w:w="6780" w:type="dxa"/>
            <w:vAlign w:val="bottom"/>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2"/>
        </w:trPr>
        <w:tc>
          <w:tcPr>
            <w:tcW w:w="678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ind w:left="560"/>
              <w:spacing w:after="0"/>
              <w:rPr>
                <w:sz w:val="20"/>
                <w:szCs w:val="20"/>
                <w:color w:val="auto"/>
              </w:rPr>
            </w:pPr>
            <w:r>
              <w:rPr>
                <w:rFonts w:ascii="Arial" w:cs="Arial" w:eastAsia="Arial" w:hAnsi="Arial"/>
                <w:sz w:val="16"/>
                <w:szCs w:val="16"/>
                <w:b w:val="1"/>
                <w:bCs w:val="1"/>
                <w:color w:val="454545"/>
              </w:rPr>
              <w:t>June 30, 2023</w:t>
            </w:r>
          </w:p>
        </w:tc>
        <w:tc>
          <w:tcPr>
            <w:tcW w:w="420" w:type="dxa"/>
            <w:vAlign w:val="bottom"/>
            <w:tcBorders>
              <w:bottom w:val="single" w:sz="8" w:color="6022A6"/>
            </w:tcBorders>
          </w:tcPr>
          <w:p>
            <w:pPr>
              <w:spacing w:after="0"/>
              <w:rPr>
                <w:sz w:val="19"/>
                <w:szCs w:val="19"/>
                <w:color w:val="auto"/>
              </w:rPr>
            </w:pPr>
          </w:p>
        </w:tc>
        <w:tc>
          <w:tcPr>
            <w:tcW w:w="80" w:type="dxa"/>
            <w:vAlign w:val="bottom"/>
            <w:tcBorders>
              <w:bottom w:val="single" w:sz="8" w:color="6022A6"/>
            </w:tcBorders>
          </w:tcPr>
          <w:p>
            <w:pPr>
              <w:spacing w:after="0"/>
              <w:rPr>
                <w:sz w:val="19"/>
                <w:szCs w:val="19"/>
                <w:color w:val="auto"/>
              </w:rPr>
            </w:pPr>
          </w:p>
        </w:tc>
        <w:tc>
          <w:tcPr>
            <w:tcW w:w="340" w:type="dxa"/>
            <w:vAlign w:val="bottom"/>
            <w:tcBorders>
              <w:bottom w:val="single" w:sz="8" w:color="6022A6"/>
            </w:tcBorders>
          </w:tcPr>
          <w:p>
            <w:pPr>
              <w:spacing w:after="0"/>
              <w:rPr>
                <w:sz w:val="19"/>
                <w:szCs w:val="19"/>
                <w:color w:val="auto"/>
              </w:rPr>
            </w:pPr>
          </w:p>
        </w:tc>
        <w:tc>
          <w:tcPr>
            <w:tcW w:w="184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June 30, 2023</w:t>
            </w:r>
          </w:p>
        </w:tc>
      </w:tr>
      <w:tr>
        <w:trPr>
          <w:trHeight w:val="231"/>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Share-based compensation expense (pre-tax)</w:t>
            </w:r>
          </w:p>
        </w:tc>
        <w:tc>
          <w:tcPr>
            <w:tcW w:w="1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420" w:type="dxa"/>
            <w:vAlign w:val="bottom"/>
            <w:tcBorders>
              <w:bottom w:val="single" w:sz="8" w:color="E4E4E4"/>
            </w:tcBorders>
            <w:gridSpan w:val="2"/>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r>
      <w:tr>
        <w:trPr>
          <w:trHeight w:val="223"/>
        </w:trPr>
        <w:tc>
          <w:tcPr>
            <w:tcW w:w="6780" w:type="dxa"/>
            <w:vAlign w:val="bottom"/>
          </w:tcPr>
          <w:p>
            <w:pPr>
              <w:ind w:left="20"/>
              <w:spacing w:after="0"/>
              <w:rPr>
                <w:sz w:val="20"/>
                <w:szCs w:val="20"/>
                <w:color w:val="auto"/>
              </w:rPr>
            </w:pPr>
            <w:r>
              <w:rPr>
                <w:rFonts w:ascii="Arial" w:cs="Arial" w:eastAsia="Arial" w:hAnsi="Arial"/>
                <w:sz w:val="16"/>
                <w:szCs w:val="16"/>
                <w:color w:val="auto"/>
              </w:rPr>
              <w:t>Income tax benefits</w:t>
            </w:r>
          </w:p>
        </w:tc>
        <w:tc>
          <w:tcPr>
            <w:tcW w:w="1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5"/>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Share-based compensation expense (after-tax)</w:t>
            </w:r>
          </w:p>
        </w:tc>
        <w:tc>
          <w:tcPr>
            <w:tcW w:w="1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420" w:type="dxa"/>
            <w:vAlign w:val="bottom"/>
            <w:tcBorders>
              <w:bottom w:val="single" w:sz="8" w:color="E4E4E4"/>
            </w:tcBorders>
            <w:gridSpan w:val="2"/>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w:t>
            </w:r>
          </w:p>
        </w:tc>
      </w:tr>
      <w:tr>
        <w:trPr>
          <w:trHeight w:val="580"/>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Share-based Compensation Data</w:t>
            </w:r>
          </w:p>
        </w:tc>
        <w:tc>
          <w:tcPr>
            <w:tcW w:w="17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156"/>
        </w:trPr>
        <w:tc>
          <w:tcPr>
            <w:tcW w:w="6780" w:type="dxa"/>
            <w:vAlign w:val="bottom"/>
            <w:tcBorders>
              <w:bottom w:val="single" w:sz="8" w:color="6022A6"/>
            </w:tcBorders>
          </w:tcPr>
          <w:p>
            <w:pPr>
              <w:spacing w:after="0"/>
              <w:rPr>
                <w:sz w:val="13"/>
                <w:szCs w:val="13"/>
                <w:color w:val="auto"/>
              </w:rPr>
            </w:pPr>
          </w:p>
        </w:tc>
        <w:tc>
          <w:tcPr>
            <w:tcW w:w="1780" w:type="dxa"/>
            <w:vAlign w:val="bottom"/>
            <w:tcBorders>
              <w:bottom w:val="single" w:sz="8" w:color="6022A6"/>
            </w:tcBorders>
          </w:tcPr>
          <w:p>
            <w:pPr>
              <w:spacing w:after="0"/>
              <w:rPr>
                <w:sz w:val="13"/>
                <w:szCs w:val="13"/>
                <w:color w:val="auto"/>
              </w:rPr>
            </w:pPr>
          </w:p>
        </w:tc>
        <w:tc>
          <w:tcPr>
            <w:tcW w:w="420" w:type="dxa"/>
            <w:vAlign w:val="bottom"/>
            <w:tcBorders>
              <w:bottom w:val="single" w:sz="8" w:color="6022A6"/>
            </w:tcBorders>
          </w:tcPr>
          <w:p>
            <w:pPr>
              <w:spacing w:after="0"/>
              <w:rPr>
                <w:sz w:val="13"/>
                <w:szCs w:val="13"/>
                <w:color w:val="auto"/>
              </w:rPr>
            </w:pPr>
          </w:p>
        </w:tc>
        <w:tc>
          <w:tcPr>
            <w:tcW w:w="80" w:type="dxa"/>
            <w:vAlign w:val="bottom"/>
            <w:tcBorders>
              <w:bottom w:val="single" w:sz="8" w:color="6022A6"/>
            </w:tcBorders>
          </w:tcPr>
          <w:p>
            <w:pPr>
              <w:spacing w:after="0"/>
              <w:rPr>
                <w:sz w:val="13"/>
                <w:szCs w:val="13"/>
                <w:color w:val="auto"/>
              </w:rPr>
            </w:pPr>
          </w:p>
        </w:tc>
        <w:tc>
          <w:tcPr>
            <w:tcW w:w="340" w:type="dxa"/>
            <w:vAlign w:val="bottom"/>
            <w:tcBorders>
              <w:bottom w:val="single" w:sz="8" w:color="6022A6"/>
            </w:tcBorders>
          </w:tcPr>
          <w:p>
            <w:pPr>
              <w:spacing w:after="0"/>
              <w:rPr>
                <w:sz w:val="13"/>
                <w:szCs w:val="13"/>
                <w:color w:val="auto"/>
              </w:rPr>
            </w:pPr>
          </w:p>
        </w:tc>
        <w:tc>
          <w:tcPr>
            <w:tcW w:w="1840" w:type="dxa"/>
            <w:vAlign w:val="bottom"/>
            <w:tcBorders>
              <w:bottom w:val="single" w:sz="8" w:color="6022A6"/>
            </w:tcBorders>
          </w:tcPr>
          <w:p>
            <w:pPr>
              <w:spacing w:after="0"/>
              <w:rPr>
                <w:sz w:val="13"/>
                <w:szCs w:val="13"/>
                <w:color w:val="auto"/>
              </w:rPr>
            </w:pPr>
          </w:p>
        </w:tc>
      </w:tr>
      <w:tr>
        <w:trPr>
          <w:trHeight w:val="264"/>
        </w:trPr>
        <w:tc>
          <w:tcPr>
            <w:tcW w:w="6780" w:type="dxa"/>
            <w:vAlign w:val="bottom"/>
            <w:shd w:val="clear" w:color="auto" w:fill="E4E4E4"/>
          </w:tcPr>
          <w:p>
            <w:pPr>
              <w:ind w:left="20"/>
              <w:spacing w:after="0"/>
              <w:rPr>
                <w:sz w:val="20"/>
                <w:szCs w:val="20"/>
                <w:color w:val="auto"/>
              </w:rPr>
            </w:pPr>
            <w:r>
              <w:rPr>
                <w:rFonts w:ascii="Arial" w:cs="Arial" w:eastAsia="Arial" w:hAnsi="Arial"/>
                <w:sz w:val="16"/>
                <w:szCs w:val="16"/>
                <w:color w:val="auto"/>
              </w:rPr>
              <w:t>Unrecognized compensation expense as of June 30, 2023</w:t>
            </w:r>
            <w:r>
              <w:rPr>
                <w:rFonts w:ascii="Arial" w:cs="Arial" w:eastAsia="Arial" w:hAnsi="Arial"/>
                <w:sz w:val="21"/>
                <w:szCs w:val="21"/>
                <w:color w:val="auto"/>
                <w:vertAlign w:val="superscript"/>
              </w:rPr>
              <w:t>(a)</w:t>
            </w:r>
          </w:p>
        </w:tc>
        <w:tc>
          <w:tcPr>
            <w:tcW w:w="1780" w:type="dxa"/>
            <w:vAlign w:val="bottom"/>
            <w:shd w:val="clear" w:color="auto" w:fill="E4E4E4"/>
          </w:tcPr>
          <w:p>
            <w:pPr>
              <w:spacing w:after="0"/>
              <w:rPr>
                <w:sz w:val="22"/>
                <w:szCs w:val="22"/>
                <w:color w:val="auto"/>
              </w:rPr>
            </w:pPr>
          </w:p>
        </w:tc>
        <w:tc>
          <w:tcPr>
            <w:tcW w:w="4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4E4E4"/>
          </w:tcPr>
          <w:p>
            <w:pPr>
              <w:spacing w:after="0"/>
              <w:rPr>
                <w:sz w:val="22"/>
                <w:szCs w:val="22"/>
                <w:color w:val="auto"/>
              </w:rPr>
            </w:pPr>
          </w:p>
        </w:tc>
        <w:tc>
          <w:tcPr>
            <w:tcW w:w="340" w:type="dxa"/>
            <w:vAlign w:val="bottom"/>
            <w:shd w:val="clear" w:color="auto" w:fill="E4E4E4"/>
          </w:tcPr>
          <w:p>
            <w:pPr>
              <w:spacing w:after="0"/>
              <w:rPr>
                <w:sz w:val="22"/>
                <w:szCs w:val="22"/>
                <w:color w:val="auto"/>
              </w:rPr>
            </w:pPr>
          </w:p>
        </w:tc>
        <w:tc>
          <w:tcPr>
            <w:tcW w:w="1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202</w:t>
            </w:r>
          </w:p>
        </w:tc>
      </w:tr>
      <w:tr>
        <w:trPr>
          <w:trHeight w:val="223"/>
        </w:trPr>
        <w:tc>
          <w:tcPr>
            <w:tcW w:w="6780" w:type="dxa"/>
            <w:vAlign w:val="bottom"/>
          </w:tcPr>
          <w:p>
            <w:pPr>
              <w:ind w:left="20"/>
              <w:spacing w:after="0"/>
              <w:rPr>
                <w:sz w:val="20"/>
                <w:szCs w:val="20"/>
                <w:color w:val="auto"/>
              </w:rPr>
            </w:pPr>
            <w:r>
              <w:rPr>
                <w:rFonts w:ascii="Arial" w:cs="Arial" w:eastAsia="Arial" w:hAnsi="Arial"/>
                <w:sz w:val="16"/>
                <w:szCs w:val="16"/>
                <w:color w:val="auto"/>
              </w:rPr>
              <w:t>Cash received from stock options exercised for the six months ended June 30, 2023</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8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1"/>
        </w:trPr>
        <w:tc>
          <w:tcPr>
            <w:tcW w:w="856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Intrinsic value of stock options exercised and RSU/PSUs vested in the six months ended June 30, 2023</w:t>
            </w:r>
          </w:p>
        </w:tc>
        <w:tc>
          <w:tcPr>
            <w:tcW w:w="42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r>
      <w:tr>
        <w:trPr>
          <w:trHeight w:val="271"/>
        </w:trPr>
        <w:tc>
          <w:tcPr>
            <w:tcW w:w="67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 Amortized over a weighted average period of 2.2 years.</w:t>
            </w:r>
          </w:p>
        </w:tc>
        <w:tc>
          <w:tcPr>
            <w:tcW w:w="17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16. EARNINGS PER SHARE</w:t>
      </w:r>
    </w:p>
    <w:p>
      <w:pPr>
        <w:spacing w:after="0" w:line="26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On January 3, 2023, there were approximately 454 million shares of GE HealthCare common stock outstanding, including the interest in our outstanding shares of common stock retained by GE following the Distribution. The computation of basic and diluted earnings per common share for all periods through December 31, 2022 was calculated using this same number of common shares outstanding since no GE HealthCare equity awards were outstanding as of the Distribution Date and is net of Net (income) loss attributable to noncontrolling interest which is fully associated with continuing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2"/>
                <w:szCs w:val="22"/>
                <w:color w:val="auto"/>
              </w:rPr>
            </w:pPr>
          </w:p>
        </w:tc>
        <w:tc>
          <w:tcPr>
            <w:tcW w:w="2840" w:type="dxa"/>
            <w:vAlign w:val="bottom"/>
            <w:gridSpan w:val="4"/>
          </w:tcPr>
          <w:p>
            <w:pPr>
              <w:ind w:left="20"/>
              <w:spacing w:after="0"/>
              <w:rPr>
                <w:sz w:val="20"/>
                <w:szCs w:val="20"/>
                <w:color w:val="auto"/>
              </w:rPr>
            </w:pPr>
            <w:r>
              <w:rPr>
                <w:rFonts w:ascii="Arial" w:cs="Arial" w:eastAsia="Arial" w:hAnsi="Arial"/>
                <w:sz w:val="16"/>
                <w:szCs w:val="16"/>
                <w:b w:val="1"/>
                <w:bCs w:val="1"/>
                <w:color w:val="454545"/>
              </w:rPr>
              <w:t>For the three months ended June 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4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2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1"/>
        </w:trPr>
        <w:tc>
          <w:tcPr>
            <w:tcW w:w="54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816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60" w:type="dxa"/>
            <w:vAlign w:val="bottom"/>
          </w:tcPr>
          <w:p>
            <w:pPr>
              <w:ind w:left="20"/>
              <w:spacing w:after="0"/>
              <w:rPr>
                <w:sz w:val="20"/>
                <w:szCs w:val="20"/>
                <w:color w:val="auto"/>
              </w:rPr>
            </w:pPr>
            <w:r>
              <w:rPr>
                <w:rFonts w:ascii="Arial" w:cs="Arial" w:eastAsia="Arial" w:hAnsi="Arial"/>
                <w:sz w:val="16"/>
                <w:szCs w:val="16"/>
                <w:color w:val="auto"/>
              </w:rPr>
              <w:t>common shareholders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607</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from discontinued operations, net of taxes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33"/>
        </w:trPr>
        <w:tc>
          <w:tcPr>
            <w:tcW w:w="5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5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Basic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24"/>
        </w:trPr>
        <w:tc>
          <w:tcPr>
            <w:tcW w:w="546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(a)</w:t>
            </w:r>
          </w:p>
        </w:tc>
        <w:tc>
          <w:tcPr>
            <w:tcW w:w="32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4E4E4"/>
          </w:tcPr>
          <w:p>
            <w:pPr>
              <w:spacing w:after="0"/>
              <w:rPr>
                <w:sz w:val="22"/>
                <w:szCs w:val="22"/>
                <w:color w:val="auto"/>
              </w:rPr>
            </w:pPr>
          </w:p>
        </w:tc>
        <w:tc>
          <w:tcPr>
            <w:tcW w:w="10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 Diluted earnings per share excludes certain shares issuable under share-based compensation plans because the effect would have been antidilutive.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SUPPLEMENTAL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26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2"/>
        </w:trPr>
        <w:tc>
          <w:tcPr>
            <w:tcW w:w="7300" w:type="dxa"/>
            <w:vAlign w:val="bottom"/>
            <w:tcBorders>
              <w:bottom w:val="single" w:sz="8" w:color="6022A6"/>
            </w:tcBorders>
          </w:tcPr>
          <w:p>
            <w:pPr>
              <w:spacing w:after="0"/>
              <w:rPr>
                <w:sz w:val="19"/>
                <w:szCs w:val="19"/>
                <w:color w:val="auto"/>
              </w:rPr>
            </w:pPr>
          </w:p>
        </w:tc>
        <w:tc>
          <w:tcPr>
            <w:tcW w:w="260" w:type="dxa"/>
            <w:vAlign w:val="bottom"/>
            <w:tcBorders>
              <w:bottom w:val="single" w:sz="8" w:color="6022A6"/>
            </w:tcBorders>
          </w:tcPr>
          <w:p>
            <w:pPr>
              <w:spacing w:after="0"/>
              <w:rPr>
                <w:sz w:val="19"/>
                <w:szCs w:val="19"/>
                <w:color w:val="auto"/>
              </w:rPr>
            </w:pPr>
          </w:p>
        </w:tc>
        <w:tc>
          <w:tcPr>
            <w:tcW w:w="1680" w:type="dxa"/>
            <w:vAlign w:val="bottom"/>
            <w:tcBorders>
              <w:bottom w:val="single" w:sz="8" w:color="6022A6"/>
            </w:tcBorders>
          </w:tcPr>
          <w:p>
            <w:pPr>
              <w:jc w:val="right"/>
              <w:ind w:right="379"/>
              <w:spacing w:after="0"/>
              <w:rPr>
                <w:sz w:val="20"/>
                <w:szCs w:val="20"/>
                <w:color w:val="auto"/>
              </w:rPr>
            </w:pPr>
            <w:r>
              <w:rPr>
                <w:rFonts w:ascii="Arial" w:cs="Arial" w:eastAsia="Arial" w:hAnsi="Arial"/>
                <w:sz w:val="16"/>
                <w:szCs w:val="16"/>
                <w:b w:val="1"/>
                <w:bCs w:val="1"/>
                <w:color w:val="454545"/>
              </w:rPr>
              <w:t>June 30, 2023</w:t>
            </w:r>
          </w:p>
        </w:tc>
        <w:tc>
          <w:tcPr>
            <w:tcW w:w="26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3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1,936</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1,440</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2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Condensed</w:t>
            </w:r>
          </w:p>
        </w:tc>
        <w:tc>
          <w:tcPr>
            <w:tcW w:w="260" w:type="dxa"/>
            <w:vAlign w:val="bottom"/>
            <w:shd w:val="clear" w:color="auto" w:fill="E4E4E4"/>
          </w:tcPr>
          <w:p>
            <w:pPr>
              <w:spacing w:after="0"/>
              <w:rPr>
                <w:sz w:val="17"/>
                <w:szCs w:val="17"/>
                <w:color w:val="auto"/>
              </w:rPr>
            </w:pPr>
          </w:p>
        </w:tc>
        <w:tc>
          <w:tcPr>
            <w:tcW w:w="16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740" w:type="dxa"/>
            <w:vAlign w:val="bottom"/>
            <w:shd w:val="clear" w:color="auto" w:fill="E4E4E4"/>
          </w:tcPr>
          <w:p>
            <w:pPr>
              <w:spacing w:after="0"/>
              <w:rPr>
                <w:sz w:val="17"/>
                <w:szCs w:val="17"/>
                <w:color w:val="auto"/>
              </w:rPr>
            </w:pPr>
          </w:p>
        </w:tc>
      </w:tr>
      <w:tr>
        <w:trPr>
          <w:trHeight w:val="253"/>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and Combined Statements of Financial Position</w:t>
            </w:r>
          </w:p>
        </w:tc>
        <w:tc>
          <w:tcPr>
            <w:tcW w:w="260" w:type="dxa"/>
            <w:vAlign w:val="bottom"/>
            <w:tcBorders>
              <w:bottom w:val="single" w:sz="8" w:color="E4E4E4"/>
            </w:tcBorders>
            <w:shd w:val="clear" w:color="auto" w:fill="E4E4E4"/>
          </w:tcPr>
          <w:p>
            <w:pPr>
              <w:spacing w:after="0"/>
              <w:rPr>
                <w:sz w:val="21"/>
                <w:szCs w:val="21"/>
                <w:color w:val="auto"/>
              </w:rPr>
            </w:pPr>
          </w:p>
        </w:tc>
        <w:tc>
          <w:tcPr>
            <w:tcW w:w="16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1,939</w:t>
            </w:r>
          </w:p>
        </w:tc>
        <w:tc>
          <w:tcPr>
            <w:tcW w:w="260" w:type="dxa"/>
            <w:vAlign w:val="bottom"/>
            <w:tcBorders>
              <w:bottom w:val="single" w:sz="8" w:color="E4E4E4"/>
            </w:tcBorders>
            <w:shd w:val="clear" w:color="auto" w:fill="E4E4E4"/>
          </w:tcPr>
          <w:p>
            <w:pPr>
              <w:spacing w:after="0"/>
              <w:rPr>
                <w:sz w:val="21"/>
                <w:szCs w:val="21"/>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1,445</w:t>
            </w:r>
          </w:p>
        </w:tc>
      </w:tr>
      <w:tr>
        <w:trPr>
          <w:trHeight w:val="250"/>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(a)</w:t>
            </w: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1"/>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Condensed</w:t>
            </w:r>
          </w:p>
        </w:tc>
        <w:tc>
          <w:tcPr>
            <w:tcW w:w="260" w:type="dxa"/>
            <w:vAlign w:val="bottom"/>
            <w:shd w:val="clear" w:color="auto" w:fill="E4E4E4"/>
          </w:tcPr>
          <w:p>
            <w:pPr>
              <w:spacing w:after="0"/>
              <w:rPr>
                <w:sz w:val="18"/>
                <w:szCs w:val="18"/>
                <w:color w:val="auto"/>
              </w:rPr>
            </w:pPr>
          </w:p>
        </w:tc>
        <w:tc>
          <w:tcPr>
            <w:tcW w:w="16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8"/>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and Combined Statements of Cash Flows</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1,945</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1,451</w:t>
            </w:r>
          </w:p>
        </w:tc>
      </w:tr>
      <w:tr>
        <w:trPr>
          <w:trHeight w:val="20"/>
        </w:trPr>
        <w:tc>
          <w:tcPr>
            <w:tcW w:w="7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 Long-term restricted cash is recognized within All other assets in the Condensed Consolidated and Combined Statements of Financial Position.</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Inventories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2"/>
        </w:trPr>
        <w:tc>
          <w:tcPr>
            <w:tcW w:w="7320" w:type="dxa"/>
            <w:vAlign w:val="bottom"/>
            <w:tcBorders>
              <w:bottom w:val="single" w:sz="8" w:color="6022A6"/>
            </w:tcBorders>
          </w:tcPr>
          <w:p>
            <w:pPr>
              <w:spacing w:after="0"/>
              <w:rPr>
                <w:sz w:val="19"/>
                <w:szCs w:val="19"/>
                <w:color w:val="auto"/>
              </w:rPr>
            </w:pPr>
          </w:p>
        </w:tc>
        <w:tc>
          <w:tcPr>
            <w:tcW w:w="280" w:type="dxa"/>
            <w:vAlign w:val="bottom"/>
            <w:tcBorders>
              <w:bottom w:val="single" w:sz="8" w:color="6022A6"/>
            </w:tcBorders>
          </w:tcPr>
          <w:p>
            <w:pPr>
              <w:spacing w:after="0"/>
              <w:rPr>
                <w:sz w:val="19"/>
                <w:szCs w:val="19"/>
                <w:color w:val="auto"/>
              </w:rPr>
            </w:pPr>
          </w:p>
        </w:tc>
        <w:tc>
          <w:tcPr>
            <w:tcW w:w="168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June 30, 2023</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3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1,103</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1,053</w:t>
            </w: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1,055</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1,011</w:t>
            </w:r>
          </w:p>
        </w:tc>
      </w:tr>
      <w:tr>
        <w:trPr>
          <w:trHeight w:val="263"/>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21"/>
                <w:szCs w:val="21"/>
                <w:b w:val="1"/>
                <w:bCs w:val="1"/>
                <w:color w:val="auto"/>
                <w:vertAlign w:val="superscript"/>
              </w:rPr>
              <w:t>(a)</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2,155</w:t>
            </w:r>
          </w:p>
        </w:tc>
      </w:tr>
    </w:tbl>
    <w:p>
      <w:pPr>
        <w:spacing w:after="0" w:line="71" w:lineRule="exact"/>
        <w:rPr>
          <w:sz w:val="20"/>
          <w:szCs w:val="20"/>
          <w:color w:val="auto"/>
        </w:rPr>
      </w:pPr>
    </w:p>
    <w:p>
      <w:pPr>
        <w:ind w:left="260" w:right="780" w:hanging="252"/>
        <w:spacing w:after="0" w:line="293"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inventory items are long-term in nature and therefore have been recognized within All other assets in the Condensed Consolidated and Combined Statements of Financial Position.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454545"/>
              </w:rPr>
              <w:t>June 30, 2023</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Original cost</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5,075</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4,989</w:t>
            </w: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(3,057)</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(2,988)</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w:t>
            </w:r>
          </w:p>
        </w:tc>
        <w:tc>
          <w:tcPr>
            <w:tcW w:w="28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339</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2,357</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2,314</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CURRENT AND NON-CURRENT ASSETS.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All other current assets primarily include prepaid expenses and deferred costs, derivative instruments, and financing receivables. All other non-current assets primarily include pension assets, equity method and other investments, long-term financing receivables, long-term customer and sundry receivables, long-term contract and other deferred assets, and long-term inventories. All other current and non-current assets increased in the six months ended June 30, 2023, primarily due to assets transferred from GE as a result of the Spin-Off. Refer to Note 1, “Organization and Basis of Presentation” for further information.</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CURRENT AND NON-CURRENT LIABILITIES.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All other current liabilities primarily include employee compensation and benefits liabilities, sales allowances, equipment projects and other commercial liabilities, product warranties, uncertain and other income tax payable, accrued freight and utilities, operating lease liabilities, and derivative instruments. All other non-current liabilities primarily include long-term contract liabilities, long-term operating lease liabilities, long-term environmental, health and safety obligations, long-term derivative instruments and long-term uncertain and other income tax payable. All other current and non-current liabilities increased in the six months ended June 30, 2023, primarily due to liabilities transferred from GE as a result of the Spin-Off. Refer to Note 1, “Organization and Basis of Presentation”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7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 In connection with the supply chain finance program, payment terms normally range from 30 to 150 days, not exceeding 180 days, depending on the underlying supplier agreements. Included in Accounts payable as of June 30, 2023 and December 31, 2022 were $422 million and $392 million, respectively, of confirmed supplier invoices that are outstanding and subject to the third-party programs.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such as a change of control of the Company. All noncontrolling interests with redemption features that are not solely within our control are recognized within the Condensed Consolidated and Combined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A change of control is generally not considered probable until it occurs.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activity attributable to redeemable noncontrolling interests for the six months ended June 30, 2023 and 2022 is presented below.</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34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c>
          <w:tcPr>
            <w:tcW w:w="50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r>
      <w:tr>
        <w:trPr>
          <w:trHeight w:val="222"/>
        </w:trPr>
        <w:tc>
          <w:tcPr>
            <w:tcW w:w="7320" w:type="dxa"/>
            <w:vAlign w:val="bottom"/>
            <w:tcBorders>
              <w:bottom w:val="single" w:sz="8" w:color="6022A6"/>
            </w:tcBorders>
          </w:tcPr>
          <w:p>
            <w:pPr>
              <w:spacing w:after="0"/>
              <w:rPr>
                <w:sz w:val="19"/>
                <w:szCs w:val="19"/>
                <w:color w:val="auto"/>
              </w:rPr>
            </w:pPr>
          </w:p>
        </w:tc>
        <w:tc>
          <w:tcPr>
            <w:tcW w:w="138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2023</w:t>
            </w:r>
          </w:p>
        </w:tc>
        <w:tc>
          <w:tcPr>
            <w:tcW w:w="600" w:type="dxa"/>
            <w:vAlign w:val="bottom"/>
            <w:tcBorders>
              <w:bottom w:val="single" w:sz="8" w:color="6022A6"/>
            </w:tcBorders>
          </w:tcPr>
          <w:p>
            <w:pPr>
              <w:spacing w:after="0"/>
              <w:rPr>
                <w:sz w:val="19"/>
                <w:szCs w:val="19"/>
                <w:color w:val="auto"/>
              </w:rPr>
            </w:pPr>
          </w:p>
        </w:tc>
        <w:tc>
          <w:tcPr>
            <w:tcW w:w="14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2022</w:t>
            </w:r>
          </w:p>
        </w:tc>
        <w:tc>
          <w:tcPr>
            <w:tcW w:w="500" w:type="dxa"/>
            <w:vAlign w:val="bottom"/>
            <w:tcBorders>
              <w:bottom w:val="single" w:sz="8" w:color="6022A6"/>
            </w:tcBorders>
          </w:tcPr>
          <w:p>
            <w:pPr>
              <w:spacing w:after="0"/>
              <w:rPr>
                <w:sz w:val="19"/>
                <w:szCs w:val="19"/>
                <w:color w:val="auto"/>
              </w:rPr>
            </w:pPr>
          </w:p>
        </w:tc>
      </w:tr>
      <w:tr>
        <w:trPr>
          <w:trHeight w:val="23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8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c>
          <w:tcPr>
            <w:tcW w:w="1440" w:type="dxa"/>
            <w:vAlign w:val="bottom"/>
            <w:tcBorders>
              <w:bottom w:val="single" w:sz="8" w:color="E4E4E4"/>
            </w:tcBorders>
            <w:shd w:val="clear" w:color="auto" w:fill="E4E4E4"/>
          </w:tcPr>
          <w:p>
            <w:pPr>
              <w:jc w:val="right"/>
              <w:ind w:right="12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w:t>
            </w: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1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(a)</w:t>
            </w:r>
          </w:p>
        </w:tc>
        <w:tc>
          <w:tcPr>
            <w:tcW w:w="1380" w:type="dxa"/>
            <w:vAlign w:val="bottom"/>
            <w:shd w:val="clear" w:color="auto" w:fill="E4E4E4"/>
          </w:tcPr>
          <w:p>
            <w:pPr>
              <w:spacing w:after="0"/>
              <w:rPr>
                <w:sz w:val="22"/>
                <w:szCs w:val="22"/>
                <w:color w:val="auto"/>
              </w:rPr>
            </w:pPr>
          </w:p>
        </w:tc>
        <w:tc>
          <w:tcPr>
            <w:tcW w:w="6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1440" w:type="dxa"/>
            <w:vAlign w:val="bottom"/>
            <w:shd w:val="clear" w:color="auto" w:fill="E4E4E4"/>
          </w:tcPr>
          <w:p>
            <w:pPr>
              <w:spacing w:after="0"/>
              <w:rPr>
                <w:sz w:val="22"/>
                <w:szCs w:val="22"/>
                <w:color w:val="auto"/>
              </w:rPr>
            </w:pPr>
          </w:p>
        </w:tc>
        <w:tc>
          <w:tcPr>
            <w:tcW w:w="5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and exercise of redeemable noncontrolling interests</w:t>
            </w:r>
            <w:r>
              <w:rPr>
                <w:rFonts w:ascii="Arial" w:cs="Arial" w:eastAsia="Arial" w:hAnsi="Arial"/>
                <w:sz w:val="21"/>
                <w:szCs w:val="21"/>
                <w:color w:val="auto"/>
                <w:vertAlign w:val="superscript"/>
              </w:rPr>
              <w:t>(b)</w:t>
            </w:r>
          </w:p>
        </w:tc>
        <w:tc>
          <w:tcPr>
            <w:tcW w:w="1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4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8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1440" w:type="dxa"/>
            <w:vAlign w:val="bottom"/>
            <w:tcBorders>
              <w:bottom w:val="single" w:sz="8" w:color="E4E4E4"/>
            </w:tcBorders>
            <w:shd w:val="clear" w:color="auto" w:fill="E4E4E4"/>
          </w:tcPr>
          <w:p>
            <w:pPr>
              <w:jc w:val="right"/>
              <w:ind w:right="12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w:t>
            </w:r>
          </w:p>
        </w:tc>
      </w:tr>
      <w:tr>
        <w:trPr>
          <w:trHeight w:val="20"/>
        </w:trPr>
        <w:tc>
          <w:tcPr>
            <w:tcW w:w="7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84" w:lineRule="exact"/>
        <w:rPr>
          <w:sz w:val="20"/>
          <w:szCs w:val="20"/>
          <w:color w:val="auto"/>
        </w:rPr>
      </w:pPr>
    </w:p>
    <w:p>
      <w:pPr>
        <w:ind w:left="260" w:right="20" w:hanging="252"/>
        <w:spacing w:after="0" w:line="254" w:lineRule="auto"/>
        <w:tabs>
          <w:tab w:leader="none" w:pos="251"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These redeemable noncontrolling interests were remeasured to their current redemption value resulting in a redemption value adjustment of $183 million. The remeasurement was accounted for as a deemed preferred stock dividend of redeemable noncontrolling interest and recorded as an adjustment to retained earnings.</w:t>
      </w:r>
    </w:p>
    <w:p>
      <w:pPr>
        <w:spacing w:after="0" w:line="2" w:lineRule="exact"/>
        <w:rPr>
          <w:rFonts w:ascii="Arial" w:cs="Arial" w:eastAsia="Arial" w:hAnsi="Arial"/>
          <w:sz w:val="16"/>
          <w:szCs w:val="16"/>
          <w:color w:val="auto"/>
        </w:rPr>
      </w:pPr>
    </w:p>
    <w:p>
      <w:pPr>
        <w:ind w:left="260" w:right="440" w:hanging="252"/>
        <w:spacing w:after="0" w:line="278"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first quarter of 2023, the redeemable noncontrolling interest holder exercised its option redemption provision. The redemption amount of $211 million was paid in the second quarter of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 Net</w:t>
            </w: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3980" w:type="dxa"/>
            <w:vAlign w:val="bottom"/>
          </w:tcPr>
          <w:p>
            <w:pPr>
              <w:spacing w:after="0"/>
              <w:rPr>
                <w:sz w:val="21"/>
                <w:szCs w:val="21"/>
                <w:color w:val="auto"/>
              </w:rPr>
            </w:pPr>
          </w:p>
        </w:tc>
        <w:tc>
          <w:tcPr>
            <w:tcW w:w="32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3980" w:type="dxa"/>
            <w:vAlign w:val="bottom"/>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r>
      <w:tr>
        <w:trPr>
          <w:trHeight w:val="222"/>
        </w:trPr>
        <w:tc>
          <w:tcPr>
            <w:tcW w:w="398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520" w:type="dxa"/>
            <w:vAlign w:val="bottom"/>
            <w:tcBorders>
              <w:bottom w:val="single" w:sz="8" w:color="6022A6"/>
            </w:tcBorders>
          </w:tcPr>
          <w:p>
            <w:pPr>
              <w:spacing w:after="0"/>
              <w:rPr>
                <w:sz w:val="19"/>
                <w:szCs w:val="19"/>
                <w:color w:val="auto"/>
              </w:rPr>
            </w:pPr>
          </w:p>
        </w:tc>
        <w:tc>
          <w:tcPr>
            <w:tcW w:w="1420" w:type="dxa"/>
            <w:vAlign w:val="bottom"/>
            <w:tcBorders>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2022</w:t>
            </w:r>
          </w:p>
        </w:tc>
        <w:tc>
          <w:tcPr>
            <w:tcW w:w="340" w:type="dxa"/>
            <w:vAlign w:val="bottom"/>
            <w:tcBorders>
              <w:bottom w:val="single" w:sz="8" w:color="6022A6"/>
            </w:tcBorders>
          </w:tcPr>
          <w:p>
            <w:pPr>
              <w:spacing w:after="0"/>
              <w:rPr>
                <w:sz w:val="19"/>
                <w:szCs w:val="19"/>
                <w:color w:val="auto"/>
              </w:rPr>
            </w:pPr>
          </w:p>
        </w:tc>
        <w:tc>
          <w:tcPr>
            <w:tcW w:w="80" w:type="dxa"/>
            <w:vAlign w:val="bottom"/>
            <w:tcBorders>
              <w:bottom w:val="single" w:sz="8" w:color="6022A6"/>
            </w:tcBorders>
          </w:tcPr>
          <w:p>
            <w:pPr>
              <w:spacing w:after="0"/>
              <w:rPr>
                <w:sz w:val="19"/>
                <w:szCs w:val="19"/>
                <w:color w:val="auto"/>
              </w:rPr>
            </w:pPr>
          </w:p>
        </w:tc>
        <w:tc>
          <w:tcPr>
            <w:tcW w:w="380" w:type="dxa"/>
            <w:vAlign w:val="bottom"/>
            <w:tcBorders>
              <w:bottom w:val="single" w:sz="8" w:color="6022A6"/>
            </w:tcBorders>
          </w:tcPr>
          <w:p>
            <w:pPr>
              <w:spacing w:after="0"/>
              <w:rPr>
                <w:sz w:val="19"/>
                <w:szCs w:val="19"/>
                <w:color w:val="auto"/>
              </w:rPr>
            </w:pPr>
          </w:p>
        </w:tc>
        <w:tc>
          <w:tcPr>
            <w:tcW w:w="1460" w:type="dxa"/>
            <w:vAlign w:val="bottom"/>
            <w:tcBorders>
              <w:bottom w:val="single" w:sz="8" w:color="6022A6"/>
            </w:tcBorders>
          </w:tcPr>
          <w:p>
            <w:pPr>
              <w:jc w:val="right"/>
              <w:ind w:right="679"/>
              <w:spacing w:after="0"/>
              <w:rPr>
                <w:sz w:val="20"/>
                <w:szCs w:val="20"/>
                <w:color w:val="auto"/>
              </w:rPr>
            </w:pPr>
            <w:r>
              <w:rPr>
                <w:rFonts w:ascii="Arial" w:cs="Arial" w:eastAsia="Arial" w:hAnsi="Arial"/>
                <w:sz w:val="16"/>
                <w:szCs w:val="16"/>
                <w:b w:val="1"/>
                <w:bCs w:val="1"/>
                <w:color w:val="454545"/>
              </w:rPr>
              <w:t>2023</w:t>
            </w:r>
          </w:p>
        </w:tc>
        <w:tc>
          <w:tcPr>
            <w:tcW w:w="420" w:type="dxa"/>
            <w:vAlign w:val="bottom"/>
            <w:tcBorders>
              <w:bottom w:val="single" w:sz="8" w:color="6022A6"/>
            </w:tcBorders>
          </w:tcPr>
          <w:p>
            <w:pPr>
              <w:spacing w:after="0"/>
              <w:rPr>
                <w:sz w:val="19"/>
                <w:szCs w:val="19"/>
                <w:color w:val="auto"/>
              </w:rPr>
            </w:pPr>
          </w:p>
        </w:tc>
        <w:tc>
          <w:tcPr>
            <w:tcW w:w="134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2022</w:t>
            </w:r>
          </w:p>
        </w:tc>
      </w:tr>
      <w:tr>
        <w:trPr>
          <w:trHeight w:val="218"/>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interest and investment income (expense)</w:t>
            </w:r>
          </w:p>
        </w:tc>
        <w:tc>
          <w:tcPr>
            <w:tcW w:w="1300" w:type="dxa"/>
            <w:vAlign w:val="bottom"/>
            <w:tcBorders>
              <w:bottom w:val="single" w:sz="8" w:color="E4E4E4"/>
            </w:tcBorders>
            <w:shd w:val="clear" w:color="auto" w:fill="E4E4E4"/>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4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0"/>
        </w:trPr>
        <w:tc>
          <w:tcPr>
            <w:tcW w:w="3980" w:type="dxa"/>
            <w:vAlign w:val="bottom"/>
          </w:tcPr>
          <w:p>
            <w:pPr>
              <w:ind w:left="20"/>
              <w:spacing w:after="0"/>
              <w:rPr>
                <w:sz w:val="20"/>
                <w:szCs w:val="20"/>
                <w:color w:val="auto"/>
              </w:rPr>
            </w:pPr>
            <w:r>
              <w:rPr>
                <w:rFonts w:ascii="Arial" w:cs="Arial" w:eastAsia="Arial" w:hAnsi="Arial"/>
                <w:sz w:val="16"/>
                <w:szCs w:val="16"/>
                <w:color w:val="auto"/>
              </w:rPr>
              <w:t>Equity method investment income</w:t>
            </w:r>
          </w:p>
        </w:tc>
        <w:tc>
          <w:tcPr>
            <w:tcW w:w="13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6"/>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w:t>
            </w:r>
          </w:p>
        </w:tc>
        <w:tc>
          <w:tcPr>
            <w:tcW w:w="130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42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(a)</w:t>
            </w:r>
          </w:p>
        </w:tc>
        <w:tc>
          <w:tcPr>
            <w:tcW w:w="1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4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0"/>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300" w:type="dxa"/>
            <w:vAlign w:val="bottom"/>
            <w:tcBorders>
              <w:bottom w:val="single" w:sz="8" w:color="E4E4E4"/>
            </w:tcBorders>
            <w:shd w:val="clear" w:color="auto" w:fill="E4E4E4"/>
          </w:tcPr>
          <w:p>
            <w:pPr>
              <w:jc w:val="right"/>
              <w:ind w:right="11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14</w:t>
            </w:r>
          </w:p>
        </w:tc>
        <w:tc>
          <w:tcPr>
            <w:tcW w:w="142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4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22</w:t>
            </w:r>
          </w:p>
        </w:tc>
        <w:tc>
          <w:tcPr>
            <w:tcW w:w="42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r>
      <w:tr>
        <w:trPr>
          <w:trHeight w:val="20"/>
        </w:trPr>
        <w:tc>
          <w:tcPr>
            <w:tcW w:w="39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71" w:lineRule="exact"/>
        <w:rPr>
          <w:sz w:val="20"/>
          <w:szCs w:val="20"/>
          <w:color w:val="auto"/>
        </w:rPr>
      </w:pPr>
    </w:p>
    <w:p>
      <w:pPr>
        <w:ind w:left="260" w:right="40" w:hanging="252"/>
        <w:spacing w:after="0" w:line="293"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items, net primarily consists of lease income, licensing and royalty income, and gains and losses related to derivatives for the three and six months ended June 30, 2023, and licensing and royalty income, and gains and losses related to derivatives for the three and six months ended June 30,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TO SPIN-OFF.</w:t>
      </w:r>
    </w:p>
    <w:p>
      <w:pPr>
        <w:spacing w:after="0" w:line="162"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Prior to the Spin-Off, GE provided the Company with significant corporate infrastructure and shared services. Some of these services continue to be provided by GE to the Company on a temporary basis under the Transition Services Agreement, as discussed below. The following disclosures summarize related party activity between GE HealthCare and GE. This activity, which occurred prior to the Spin-Off, is included in the condensed combined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Pensions, Benefit, and Contribution Plans</w:t>
      </w:r>
    </w:p>
    <w:p>
      <w:pPr>
        <w:spacing w:after="0" w:line="21" w:lineRule="exact"/>
        <w:rPr>
          <w:sz w:val="20"/>
          <w:szCs w:val="20"/>
          <w:color w:val="auto"/>
        </w:rPr>
      </w:pPr>
    </w:p>
    <w:p>
      <w:pPr>
        <w:ind w:right="560"/>
        <w:spacing w:after="0" w:line="262" w:lineRule="auto"/>
        <w:rPr>
          <w:sz w:val="20"/>
          <w:szCs w:val="20"/>
          <w:color w:val="auto"/>
        </w:rPr>
      </w:pPr>
      <w:r>
        <w:rPr>
          <w:rFonts w:ascii="Arial" w:cs="Arial" w:eastAsia="Arial" w:hAnsi="Arial"/>
          <w:sz w:val="16"/>
          <w:szCs w:val="16"/>
          <w:color w:val="auto"/>
        </w:rPr>
        <w:t>As discussed in Note 9, “Postretirement Benefit Plans,” employees of the Company participated in pensions, benefit, and contribution plans that were sponsored by GE. The Company was charged $64 million and $123 million for the three and six months ended June 30, 2022 related to employee participation in these plans. In connection with the Spin-Off, a portion of these plans were transferred to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Share-based Compensation</w:t>
      </w:r>
    </w:p>
    <w:p>
      <w:pPr>
        <w:spacing w:after="0" w:line="21"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GE granted various employee benefits to its group employees, including those of the Company, under the GE Long-Term Incentive Plan. These benefits primarily included stock options and restricted stock units. Compensation expense allocated to the Company was $20 million and $39 million for the three and six months ended June 30, 2022, respectively, and is recognized within SG&amp;A in the Condensed Combined Statement of Income.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Overhead and Other Allocations from GE</w:t>
      </w:r>
    </w:p>
    <w:p>
      <w:pPr>
        <w:spacing w:after="0" w:line="21" w:lineRule="exact"/>
        <w:rPr>
          <w:sz w:val="20"/>
          <w:szCs w:val="20"/>
          <w:color w:val="auto"/>
        </w:rPr>
      </w:pPr>
    </w:p>
    <w:p>
      <w:pPr>
        <w:ind w:right="1100"/>
        <w:spacing w:after="0" w:line="278" w:lineRule="auto"/>
        <w:rPr>
          <w:sz w:val="20"/>
          <w:szCs w:val="20"/>
          <w:color w:val="auto"/>
        </w:rPr>
      </w:pPr>
      <w:r>
        <w:rPr>
          <w:rFonts w:ascii="Arial" w:cs="Arial" w:eastAsia="Arial" w:hAnsi="Arial"/>
          <w:sz w:val="16"/>
          <w:szCs w:val="16"/>
          <w:color w:val="auto"/>
        </w:rPr>
        <w:t>GE provided certain services described below that were charged to the Company based on employee headcount, revenue, or other allocation methodologies.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7"/>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Corporate Allocations from GE</w:t>
            </w:r>
          </w:p>
        </w:tc>
        <w:tc>
          <w:tcPr>
            <w:tcW w:w="2320" w:type="dxa"/>
            <w:vAlign w:val="bottom"/>
            <w:gridSpan w:val="2"/>
          </w:tcPr>
          <w:p>
            <w:pPr>
              <w:ind w:left="80"/>
              <w:spacing w:after="0"/>
              <w:rPr>
                <w:sz w:val="20"/>
                <w:szCs w:val="20"/>
                <w:color w:val="auto"/>
              </w:rPr>
            </w:pPr>
            <w:r>
              <w:rPr>
                <w:rFonts w:ascii="Arial" w:cs="Arial" w:eastAsia="Arial" w:hAnsi="Arial"/>
                <w:sz w:val="16"/>
                <w:szCs w:val="16"/>
                <w:b w:val="1"/>
                <w:bCs w:val="1"/>
                <w:color w:val="454545"/>
              </w:rPr>
              <w:t>For the three months ended</w:t>
            </w:r>
          </w:p>
        </w:tc>
        <w:tc>
          <w:tcPr>
            <w:tcW w:w="100" w:type="dxa"/>
            <w:vAlign w:val="bottom"/>
          </w:tcPr>
          <w:p>
            <w:pPr>
              <w:spacing w:after="0"/>
              <w:rPr>
                <w:sz w:val="19"/>
                <w:szCs w:val="19"/>
                <w:color w:val="auto"/>
              </w:rPr>
            </w:pPr>
          </w:p>
        </w:tc>
        <w:tc>
          <w:tcPr>
            <w:tcW w:w="23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454545"/>
              </w:rPr>
              <w:t>For the six months ended</w:t>
            </w:r>
          </w:p>
        </w:tc>
      </w:tr>
      <w:tr>
        <w:trPr>
          <w:trHeight w:val="21"/>
        </w:trPr>
        <w:tc>
          <w:tcPr>
            <w:tcW w:w="6480" w:type="dxa"/>
            <w:vAlign w:val="bottom"/>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9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920" w:type="dxa"/>
            <w:vAlign w:val="bottom"/>
            <w:tcBorders>
              <w:bottom w:val="single" w:sz="8" w:color="454545"/>
            </w:tcBorders>
          </w:tcPr>
          <w:p>
            <w:pPr>
              <w:spacing w:after="0" w:line="20" w:lineRule="exact"/>
              <w:rPr>
                <w:sz w:val="1"/>
                <w:szCs w:val="1"/>
                <w:color w:val="auto"/>
              </w:rPr>
            </w:pPr>
          </w:p>
        </w:tc>
      </w:tr>
      <w:tr>
        <w:trPr>
          <w:trHeight w:val="222"/>
        </w:trPr>
        <w:tc>
          <w:tcPr>
            <w:tcW w:w="6480" w:type="dxa"/>
            <w:vAlign w:val="bottom"/>
            <w:tcBorders>
              <w:bottom w:val="single" w:sz="8" w:color="6022A6"/>
            </w:tcBorders>
          </w:tcPr>
          <w:p>
            <w:pPr>
              <w:spacing w:after="0"/>
              <w:rPr>
                <w:sz w:val="19"/>
                <w:szCs w:val="19"/>
                <w:color w:val="auto"/>
              </w:rPr>
            </w:pPr>
          </w:p>
        </w:tc>
        <w:tc>
          <w:tcPr>
            <w:tcW w:w="400" w:type="dxa"/>
            <w:vAlign w:val="bottom"/>
            <w:tcBorders>
              <w:bottom w:val="single" w:sz="8" w:color="6022A6"/>
            </w:tcBorders>
          </w:tcPr>
          <w:p>
            <w:pPr>
              <w:spacing w:after="0"/>
              <w:rPr>
                <w:sz w:val="19"/>
                <w:szCs w:val="19"/>
                <w:color w:val="auto"/>
              </w:rPr>
            </w:pPr>
          </w:p>
        </w:tc>
        <w:tc>
          <w:tcPr>
            <w:tcW w:w="1920" w:type="dxa"/>
            <w:vAlign w:val="bottom"/>
            <w:tcBorders>
              <w:bottom w:val="single" w:sz="8" w:color="6022A6"/>
            </w:tcBorders>
          </w:tcPr>
          <w:p>
            <w:pPr>
              <w:jc w:val="right"/>
              <w:ind w:right="559"/>
              <w:spacing w:after="0"/>
              <w:rPr>
                <w:sz w:val="20"/>
                <w:szCs w:val="20"/>
                <w:color w:val="auto"/>
              </w:rPr>
            </w:pPr>
            <w:r>
              <w:rPr>
                <w:rFonts w:ascii="Arial" w:cs="Arial" w:eastAsia="Arial" w:hAnsi="Arial"/>
                <w:sz w:val="16"/>
                <w:szCs w:val="16"/>
                <w:b w:val="1"/>
                <w:bCs w:val="1"/>
                <w:color w:val="454545"/>
              </w:rPr>
              <w:t>June 30, 2022</w:t>
            </w:r>
          </w:p>
        </w:tc>
        <w:tc>
          <w:tcPr>
            <w:tcW w:w="100" w:type="dxa"/>
            <w:vAlign w:val="bottom"/>
            <w:tcBorders>
              <w:bottom w:val="single" w:sz="8" w:color="6022A6"/>
            </w:tcBorders>
          </w:tcPr>
          <w:p>
            <w:pPr>
              <w:spacing w:after="0"/>
              <w:rPr>
                <w:sz w:val="19"/>
                <w:szCs w:val="19"/>
                <w:color w:val="auto"/>
              </w:rPr>
            </w:pPr>
          </w:p>
        </w:tc>
        <w:tc>
          <w:tcPr>
            <w:tcW w:w="420" w:type="dxa"/>
            <w:vAlign w:val="bottom"/>
            <w:tcBorders>
              <w:bottom w:val="single" w:sz="8" w:color="6022A6"/>
            </w:tcBorders>
          </w:tcPr>
          <w:p>
            <w:pPr>
              <w:spacing w:after="0"/>
              <w:rPr>
                <w:sz w:val="19"/>
                <w:szCs w:val="19"/>
                <w:color w:val="auto"/>
              </w:rPr>
            </w:pPr>
          </w:p>
        </w:tc>
        <w:tc>
          <w:tcPr>
            <w:tcW w:w="1920" w:type="dxa"/>
            <w:vAlign w:val="bottom"/>
            <w:tcBorders>
              <w:bottom w:val="single" w:sz="8" w:color="6022A6"/>
            </w:tcBorders>
          </w:tcPr>
          <w:p>
            <w:pPr>
              <w:jc w:val="right"/>
              <w:ind w:right="559"/>
              <w:spacing w:after="0"/>
              <w:rPr>
                <w:sz w:val="20"/>
                <w:szCs w:val="20"/>
                <w:color w:val="auto"/>
              </w:rPr>
            </w:pPr>
            <w:r>
              <w:rPr>
                <w:rFonts w:ascii="Arial" w:cs="Arial" w:eastAsia="Arial" w:hAnsi="Arial"/>
                <w:sz w:val="16"/>
                <w:szCs w:val="16"/>
                <w:b w:val="1"/>
                <w:bCs w:val="1"/>
                <w:color w:val="454545"/>
              </w:rPr>
              <w:t>June 30, 2022</w:t>
            </w:r>
          </w:p>
        </w:tc>
      </w:tr>
      <w:tr>
        <w:trPr>
          <w:trHeight w:val="224"/>
        </w:trPr>
        <w:tc>
          <w:tcPr>
            <w:tcW w:w="6480" w:type="dxa"/>
            <w:vAlign w:val="bottom"/>
            <w:shd w:val="clear" w:color="auto" w:fill="E4E4E4"/>
          </w:tcPr>
          <w:p>
            <w:pPr>
              <w:ind w:left="20"/>
              <w:spacing w:after="0" w:line="225" w:lineRule="exact"/>
              <w:rPr>
                <w:sz w:val="20"/>
                <w:szCs w:val="20"/>
                <w:color w:val="auto"/>
              </w:rPr>
            </w:pPr>
            <w:r>
              <w:rPr>
                <w:rFonts w:ascii="Arial" w:cs="Arial" w:eastAsia="Arial" w:hAnsi="Arial"/>
                <w:sz w:val="16"/>
                <w:szCs w:val="16"/>
                <w:color w:val="auto"/>
              </w:rPr>
              <w:t>Costs for centralized services</w:t>
            </w:r>
            <w:r>
              <w:rPr>
                <w:rFonts w:ascii="Arial" w:cs="Arial" w:eastAsia="Arial" w:hAnsi="Arial"/>
                <w:sz w:val="21"/>
                <w:szCs w:val="21"/>
                <w:color w:val="auto"/>
                <w:vertAlign w:val="superscript"/>
              </w:rPr>
              <w:t>(a)</w:t>
            </w:r>
          </w:p>
        </w:tc>
        <w:tc>
          <w:tcPr>
            <w:tcW w:w="400" w:type="dxa"/>
            <w:vAlign w:val="bottom"/>
            <w:shd w:val="clear" w:color="auto" w:fill="E4E4E4"/>
          </w:tcPr>
          <w:p>
            <w:pPr>
              <w:ind w:left="1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520" w:type="dxa"/>
            <w:vAlign w:val="bottom"/>
            <w:gridSpan w:val="2"/>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Costs associated with employee medical insurance</w:t>
            </w:r>
            <w:r>
              <w:rPr>
                <w:rFonts w:ascii="Arial" w:cs="Arial" w:eastAsia="Arial" w:hAnsi="Arial"/>
                <w:sz w:val="21"/>
                <w:szCs w:val="21"/>
                <w:color w:val="auto"/>
                <w:vertAlign w:val="superscript"/>
              </w:rPr>
              <w:t>(b)</w:t>
            </w:r>
          </w:p>
        </w:tc>
        <w:tc>
          <w:tcPr>
            <w:tcW w:w="4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6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Costs for corporate and shared services</w:t>
            </w:r>
            <w:r>
              <w:rPr>
                <w:rFonts w:ascii="Arial" w:cs="Arial" w:eastAsia="Arial" w:hAnsi="Arial"/>
                <w:sz w:val="21"/>
                <w:szCs w:val="21"/>
                <w:color w:val="auto"/>
                <w:vertAlign w:val="superscript"/>
              </w:rPr>
              <w:t>(c)</w:t>
            </w:r>
          </w:p>
        </w:tc>
        <w:tc>
          <w:tcPr>
            <w:tcW w:w="400" w:type="dxa"/>
            <w:vAlign w:val="bottom"/>
            <w:tcBorders>
              <w:bottom w:val="single" w:sz="8" w:color="auto"/>
            </w:tcBorders>
            <w:shd w:val="clear" w:color="auto" w:fill="E4E4E4"/>
          </w:tcPr>
          <w:p>
            <w:pPr>
              <w:spacing w:after="0"/>
              <w:rPr>
                <w:sz w:val="21"/>
                <w:szCs w:val="21"/>
                <w:color w:val="auto"/>
              </w:rPr>
            </w:pPr>
          </w:p>
        </w:tc>
        <w:tc>
          <w:tcPr>
            <w:tcW w:w="1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auto"/>
            </w:tcBorders>
            <w:shd w:val="clear" w:color="auto" w:fill="E4E4E4"/>
          </w:tcPr>
          <w:p>
            <w:pPr>
              <w:spacing w:after="0"/>
              <w:rPr>
                <w:sz w:val="21"/>
                <w:szCs w:val="21"/>
                <w:color w:val="auto"/>
              </w:rPr>
            </w:pPr>
          </w:p>
        </w:tc>
        <w:tc>
          <w:tcPr>
            <w:tcW w:w="420" w:type="dxa"/>
            <w:vAlign w:val="bottom"/>
            <w:tcBorders>
              <w:bottom w:val="single" w:sz="8" w:color="auto"/>
            </w:tcBorders>
            <w:shd w:val="clear" w:color="auto" w:fill="E4E4E4"/>
          </w:tcPr>
          <w:p>
            <w:pPr>
              <w:spacing w:after="0"/>
              <w:rPr>
                <w:sz w:val="21"/>
                <w:szCs w:val="21"/>
                <w:color w:val="auto"/>
              </w:rPr>
            </w:pPr>
          </w:p>
        </w:tc>
        <w:tc>
          <w:tcPr>
            <w:tcW w:w="1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220</w:t>
            </w:r>
          </w:p>
        </w:tc>
      </w:tr>
    </w:tbl>
    <w:p>
      <w:pPr>
        <w:spacing w:after="0" w:line="71" w:lineRule="exact"/>
        <w:rPr>
          <w:sz w:val="20"/>
          <w:szCs w:val="20"/>
          <w:color w:val="auto"/>
        </w:rPr>
      </w:pPr>
    </w:p>
    <w:p>
      <w:pPr>
        <w:ind w:left="260" w:right="740" w:hanging="252"/>
        <w:spacing w:after="0" w:line="263"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for centralized services such as public relations, treasury and cash management, and other services were recognized within SG&amp;A in the Condensed Combined Statement of Income.</w:t>
      </w:r>
    </w:p>
    <w:p>
      <w:pPr>
        <w:ind w:left="260" w:right="560" w:hanging="252"/>
        <w:spacing w:after="0" w:line="250"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associated with employee medical insurance were recognized within Cost of products, Cost of services, SG&amp;A, and R&amp;D in the Condensed Combined Statement of Income based on the employee population.</w:t>
      </w:r>
    </w:p>
    <w:p>
      <w:pPr>
        <w:ind w:left="260" w:right="180" w:hanging="252"/>
        <w:spacing w:after="0" w:line="270" w:lineRule="auto"/>
        <w:tabs>
          <w:tab w:leader="none" w:pos="25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for corporate and shared services such as information technology, finance and other services were primarily recognized in SG&amp;A and R&amp;D in the Condensed Combined Statement of Income.</w:t>
      </w:r>
    </w:p>
    <w:p>
      <w:pPr>
        <w:spacing w:after="0" w:line="216"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Management believes that the expense and cost allocations have been determined on a basis that is a reasonable reflection of the utilization of services provided or the benefit received by the Company during the three and six months ended June 30, 2022. The amounts that would have been, or will be incurred, on a stand-alone basis could materially differ from the amounts allocated due to economies of scale, difference in management judgment, a requirement for more or fewer employees, or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SPIN-OFF.</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Company and GE, including, but not limited to the following which had activity during the first six months of 2023:</w:t>
      </w:r>
    </w:p>
    <w:p>
      <w:pPr>
        <w:spacing w:after="0" w:line="246" w:lineRule="exact"/>
        <w:rPr>
          <w:sz w:val="20"/>
          <w:szCs w:val="20"/>
          <w:color w:val="auto"/>
        </w:rPr>
      </w:pPr>
    </w:p>
    <w:p>
      <w:pPr>
        <w:ind w:left="660" w:right="100" w:hanging="328"/>
        <w:spacing w:after="0" w:line="26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Separation and Distribution Agreement </w:t>
      </w:r>
      <w:r>
        <w:rPr>
          <w:rFonts w:ascii="Arial" w:cs="Arial" w:eastAsia="Arial" w:hAnsi="Arial"/>
          <w:sz w:val="16"/>
          <w:szCs w:val="16"/>
          <w:color w:val="auto"/>
        </w:rPr>
        <w:t>– sets forth the principal actions to be taken in connection with the Spin-Off, including the transfer of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assumption of liabilities, and establishes certain rights and obligations between the Company and GE following the Distribution, including procedures with respect to claims subject to indemnification and related matters.</w:t>
      </w:r>
    </w:p>
    <w:p>
      <w:pPr>
        <w:spacing w:after="0" w:line="218" w:lineRule="exact"/>
        <w:rPr>
          <w:rFonts w:ascii="Arial" w:cs="Arial" w:eastAsia="Arial" w:hAnsi="Arial"/>
          <w:sz w:val="16"/>
          <w:szCs w:val="16"/>
          <w:color w:val="auto"/>
        </w:rPr>
      </w:pPr>
    </w:p>
    <w:p>
      <w:pPr>
        <w:ind w:left="660" w:right="6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 governs all matters relating to the provision of services between the Company and GE on a transitional basis.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Company receives include support for digital technology, human resources, supply chain, finance, and real estate services, among others. The services generally commenced on the date of the Spin-Off and will terminate up to 36 months following the Distribution Date depending upon the related transitional service. For the three and six months ended June 30, 2023, we incurred $84 million and $192 million, net, which represents fees charged from GE to the Company primarily for information technology, human resources, and R&amp;D and is net of fees charged from the Company to GE for facilities and other shared services.</w:t>
      </w:r>
    </w:p>
    <w:p>
      <w:pPr>
        <w:spacing w:after="0" w:line="208"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Tax Matters Agreement (“TMA”) </w:t>
      </w:r>
      <w:r>
        <w:rPr>
          <w:rFonts w:ascii="Arial" w:cs="Arial" w:eastAsia="Arial" w:hAnsi="Arial"/>
          <w:sz w:val="16"/>
          <w:szCs w:val="16"/>
          <w:color w:val="auto"/>
        </w:rPr>
        <w:t>– governs the respective rights, responsibilities, and obligations between the Company and GE with respect to all</w:t>
      </w:r>
      <w:r>
        <w:rPr>
          <w:rFonts w:ascii="Arial" w:cs="Arial" w:eastAsia="Arial" w:hAnsi="Arial"/>
          <w:sz w:val="16"/>
          <w:szCs w:val="16"/>
          <w:i w:val="1"/>
          <w:iCs w:val="1"/>
          <w:color w:val="auto"/>
        </w:rPr>
        <w:t xml:space="preserve"> </w:t>
      </w:r>
      <w:r>
        <w:rPr>
          <w:rFonts w:ascii="Arial" w:cs="Arial" w:eastAsia="Arial" w:hAnsi="Arial"/>
          <w:sz w:val="16"/>
          <w:szCs w:val="16"/>
          <w:color w:val="auto"/>
        </w:rPr>
        <w:t>tax matters (excluding employee-related taxes covered under the Employee Matters Agreement), in addition to certain restrictions which generally prohibit us from taking or failing to take any action in the two-year period following the Distribution that would prevent the Distribution from qualifying as tax-free for U.S. federal income tax purposes, including limitations on our ability to pursue certain strategic transactions. The TMA specifies the portion of tax liability for which the Company will bear contractual responsibility, and the Company and GE will each agree to indemnify each other against any amounts for which such indemnified party is not responsible.</w:t>
      </w:r>
    </w:p>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Current amounts due from and to GE under the various agreements described above are recognized within Due from related parties or Due to related parties, as applicable, in the Condensed Consolidated and Combined Statements of Financial Position. Non-current amounts due from GE were $88 million and due to GE were $132 million, and were recognized within All other assets or All other liabilities, as applicable, in the Condensed Consolidated Statements of Financial Position as of June 30, 2023. These amounts primarily relate to tax and other indemnities.</w:t>
      </w:r>
    </w:p>
    <w:p>
      <w:pPr>
        <w:spacing w:after="0" w:line="209"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GE HealthCare sells products and services in the ordinary course of business to certain entities associated with two members of our Board of Directors. During the three and six months ended June 30, 2023, we recognized revenue of $23 million and $47 million, respectively, from these entities in connection with providing products and services. Current amounts due from these entities as of June 30, 2023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0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950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9500" w:type="dxa"/>
            <w:vAlign w:val="bottom"/>
          </w:tcPr>
          <w:p>
            <w:pPr>
              <w:ind w:left="2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 (“MD&amp;A”)</w:t>
            </w:r>
          </w:p>
        </w:tc>
        <w:tc>
          <w:tcPr>
            <w:tcW w:w="17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1"/>
        </w:trPr>
        <w:tc>
          <w:tcPr>
            <w:tcW w:w="950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500" w:type="dxa"/>
            <w:vAlign w:val="bottom"/>
          </w:tcPr>
          <w:p>
            <w:pPr>
              <w:ind w:left="20"/>
              <w:spacing w:after="0" w:line="183" w:lineRule="exact"/>
              <w:rPr>
                <w:sz w:val="20"/>
                <w:szCs w:val="20"/>
                <w:color w:val="auto"/>
              </w:rPr>
            </w:pPr>
            <w:r>
              <w:rPr>
                <w:rFonts w:ascii="Arial" w:cs="Arial" w:eastAsia="Arial" w:hAnsi="Arial"/>
                <w:sz w:val="16"/>
                <w:szCs w:val="16"/>
                <w:color w:val="auto"/>
              </w:rPr>
              <w:t>Trends and Factors Impacting Our Performance</w:t>
            </w:r>
          </w:p>
        </w:tc>
        <w:tc>
          <w:tcPr>
            <w:tcW w:w="1540" w:type="dxa"/>
            <w:vAlign w:val="bottom"/>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31</w:t>
            </w:r>
          </w:p>
        </w:tc>
        <w:tc>
          <w:tcPr>
            <w:tcW w:w="20" w:type="dxa"/>
            <w:vAlign w:val="bottom"/>
          </w:tcPr>
          <w:p>
            <w:pPr>
              <w:spacing w:after="0"/>
              <w:rPr>
                <w:sz w:val="15"/>
                <w:szCs w:val="15"/>
                <w:color w:val="auto"/>
              </w:rPr>
            </w:pP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Summary of Key Performance Measures</w:t>
            </w:r>
          </w:p>
        </w:tc>
        <w:tc>
          <w:tcPr>
            <w:tcW w:w="15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32</w:t>
            </w:r>
          </w:p>
        </w:tc>
        <w:tc>
          <w:tcPr>
            <w:tcW w:w="20" w:type="dxa"/>
            <w:vAlign w:val="bottom"/>
          </w:tcPr>
          <w:p>
            <w:pPr>
              <w:spacing w:after="0"/>
              <w:rPr>
                <w:sz w:val="20"/>
                <w:szCs w:val="20"/>
                <w:color w:val="auto"/>
              </w:rPr>
            </w:pP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Results of Operations</w:t>
            </w:r>
          </w:p>
        </w:tc>
        <w:tc>
          <w:tcPr>
            <w:tcW w:w="15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33</w:t>
            </w:r>
          </w:p>
        </w:tc>
        <w:tc>
          <w:tcPr>
            <w:tcW w:w="20" w:type="dxa"/>
            <w:vAlign w:val="bottom"/>
          </w:tcPr>
          <w:p>
            <w:pPr>
              <w:spacing w:after="0"/>
              <w:rPr>
                <w:sz w:val="20"/>
                <w:szCs w:val="20"/>
                <w:color w:val="auto"/>
              </w:rPr>
            </w:pP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Results of Operations – Segments</w:t>
            </w:r>
          </w:p>
        </w:tc>
        <w:tc>
          <w:tcPr>
            <w:tcW w:w="15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37</w:t>
            </w:r>
          </w:p>
        </w:tc>
        <w:tc>
          <w:tcPr>
            <w:tcW w:w="20" w:type="dxa"/>
            <w:vAlign w:val="bottom"/>
          </w:tcPr>
          <w:p>
            <w:pPr>
              <w:spacing w:after="0"/>
              <w:rPr>
                <w:sz w:val="20"/>
                <w:szCs w:val="20"/>
                <w:color w:val="auto"/>
              </w:rPr>
            </w:pPr>
          </w:p>
        </w:tc>
      </w:tr>
      <w:tr>
        <w:trPr>
          <w:trHeight w:val="250"/>
        </w:trPr>
        <w:tc>
          <w:tcPr>
            <w:tcW w:w="9500" w:type="dxa"/>
            <w:vAlign w:val="bottom"/>
          </w:tcPr>
          <w:p>
            <w:pPr>
              <w:ind w:left="20"/>
              <w:spacing w:after="0"/>
              <w:rPr>
                <w:sz w:val="20"/>
                <w:szCs w:val="20"/>
                <w:color w:val="auto"/>
              </w:rPr>
            </w:pPr>
            <w:r>
              <w:rPr>
                <w:rFonts w:ascii="Arial" w:cs="Arial" w:eastAsia="Arial" w:hAnsi="Arial"/>
                <w:sz w:val="16"/>
                <w:szCs w:val="16"/>
                <w:color w:val="auto"/>
              </w:rPr>
              <w:t>Non-GAAP Financial Measures</w:t>
            </w:r>
          </w:p>
        </w:tc>
        <w:tc>
          <w:tcPr>
            <w:tcW w:w="1540" w:type="dxa"/>
            <w:vAlign w:val="bottom"/>
          </w:tcPr>
          <w:p>
            <w:pPr>
              <w:spacing w:after="0"/>
              <w:rPr>
                <w:sz w:val="21"/>
                <w:szCs w:val="21"/>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38</w:t>
            </w:r>
          </w:p>
        </w:tc>
        <w:tc>
          <w:tcPr>
            <w:tcW w:w="20" w:type="dxa"/>
            <w:vAlign w:val="bottom"/>
          </w:tcPr>
          <w:p>
            <w:pPr>
              <w:spacing w:after="0"/>
              <w:rPr>
                <w:sz w:val="21"/>
                <w:szCs w:val="21"/>
                <w:color w:val="auto"/>
              </w:rPr>
            </w:pP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15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41</w:t>
            </w:r>
          </w:p>
        </w:tc>
        <w:tc>
          <w:tcPr>
            <w:tcW w:w="20" w:type="dxa"/>
            <w:vAlign w:val="bottom"/>
          </w:tcPr>
          <w:p>
            <w:pPr>
              <w:spacing w:after="0"/>
              <w:rPr>
                <w:sz w:val="20"/>
                <w:szCs w:val="20"/>
                <w:color w:val="auto"/>
              </w:rPr>
            </w:pPr>
          </w:p>
        </w:tc>
      </w:tr>
      <w:tr>
        <w:trPr>
          <w:trHeight w:val="236"/>
        </w:trPr>
        <w:tc>
          <w:tcPr>
            <w:tcW w:w="9500" w:type="dxa"/>
            <w:vAlign w:val="bottom"/>
          </w:tcPr>
          <w:p>
            <w:pPr>
              <w:ind w:left="20"/>
              <w:spacing w:after="0"/>
              <w:rPr>
                <w:sz w:val="20"/>
                <w:szCs w:val="20"/>
                <w:color w:val="auto"/>
              </w:rPr>
            </w:pPr>
            <w:r>
              <w:rPr>
                <w:rFonts w:ascii="Arial" w:cs="Arial" w:eastAsia="Arial" w:hAnsi="Arial"/>
                <w:sz w:val="16"/>
                <w:szCs w:val="16"/>
                <w:color w:val="auto"/>
              </w:rPr>
              <w:t>Recently Issued Accounting Pronouncements</w:t>
            </w:r>
          </w:p>
        </w:tc>
        <w:tc>
          <w:tcPr>
            <w:tcW w:w="15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43</w:t>
            </w:r>
          </w:p>
        </w:tc>
        <w:tc>
          <w:tcPr>
            <w:tcW w:w="20" w:type="dxa"/>
            <w:vAlign w:val="bottom"/>
          </w:tcPr>
          <w:p>
            <w:pPr>
              <w:spacing w:after="0"/>
              <w:rPr>
                <w:sz w:val="20"/>
                <w:szCs w:val="20"/>
                <w:color w:val="auto"/>
              </w:rPr>
            </w:pP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Critical Accounting Estimates</w:t>
            </w:r>
          </w:p>
        </w:tc>
        <w:tc>
          <w:tcPr>
            <w:tcW w:w="15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condensed consolidated and combined financial statements and corresponding notes included elsewhere in this Quarterly Report on Form 10-Q. The following discussion and analysis provides information management believes to be relevant to understanding the financial condition and results of operations of GE HealthCare Technologies Inc. (“GE HealthCare,” the “Company,” “our,” or “we”) for the three and six months ended June 30, 2023 and 2022.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2022.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2022. Actual results may differ materially from these expectations, see “Forward-Looking Statements.”</w:t>
      </w:r>
    </w:p>
    <w:p>
      <w:pPr>
        <w:spacing w:after="0" w:line="21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w:t>
      </w:r>
    </w:p>
    <w:p>
      <w:pPr>
        <w:spacing w:after="0" w:line="21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(i) General Electric Company's ("GE's") healthcare business prior to the previously announced spin-off of the Company on January 3, 2023 (the “Spin-Off”) as a carve-out business of GE with related condensed combined financial statements and (ii) GE HealthCare Technologies Inc. and its subsidiaries following the Spin-Off with related condensed consolidated financial statements.</w:t>
      </w:r>
    </w:p>
    <w:p>
      <w:pPr>
        <w:spacing w:after="0" w:line="209"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and we evaluate their operating performance using revenue and Segment EBIT.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65"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We had $141 million and $143 million of assets in, or directly related to, these two countries as of June 30, 2023 and December 31, 2022, respectively, none of which are subject to sanctions that impact the carrying value of the assets. We generated revenues of $155 million and $148 million from customers in these two countries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and June 30, 2022, respectively. The potential inability to repatriate earnings from these two countries will not have a material impact on our ability to operate.</w:t>
      </w:r>
    </w:p>
    <w:p>
      <w:pPr>
        <w:spacing w:after="0" w:line="21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In May 2023, the U.S. Department of Commerce implemented expanded measures that require us to obtain a license for the export, reexport to, or transfer of specified medical equipment and spare parts to customers in Russia. The European Union and other countries have also expanded licensing requirements for certain spare parts and other items. We are applying for the licenses needed to continue supplying these customers. The implementation of these new measures affected our ability to supply customers in Russia in the second quarter of 2023 and will continue to do so until we are able to obtain licenses, and there is no guarantee we will obtain all of the licenses for which we applied or that our business in Russia will not be further disrupted due to evolving legal or operational considerations. Our board of directors (the "Board"), with management, will continue to assess whether developments related to the conflict have had, or are reasonably likely to have, a material impact on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TRANSITION TO STAND-ALONE COMPANY.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Presentation Under GE Ownership</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GE HealthCare utilized allocations and carve-out methodologies through the date of the Spin-Off to prepare historical condensed combined financial statements. The condensed combined financial statements herein for periods prior to the Spin-Off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Note 1, “Organization and Basis of Presentation” to the condensed consolidated and combined financial statements.</w:t>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i w:val="1"/>
          <w:iCs w:val="1"/>
          <w:color w:val="auto"/>
        </w:rPr>
        <w:t>Pension and Other Benefit-Related Liabilities</w:t>
      </w:r>
    </w:p>
    <w:p>
      <w:pPr>
        <w:spacing w:after="0" w:line="21"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 connection with the Spin-Off, on January 1, 2023, GE transferred certain plan liabilities and assets to GE HealthCare. The amounts related to the plans assumed by GE HealthCare on January 1, 2023, in addition to the existing GE HealthCare plans, are shown in the table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 Plans</w:t>
            </w: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83"/>
        </w:trPr>
        <w:tc>
          <w:tcPr>
            <w:tcW w:w="4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454545"/>
              </w:rPr>
              <w:t>Projected benefit</w:t>
            </w:r>
          </w:p>
        </w:tc>
        <w:tc>
          <w:tcPr>
            <w:tcW w:w="740" w:type="dxa"/>
            <w:vAlign w:val="bottom"/>
          </w:tcPr>
          <w:p>
            <w:pPr>
              <w:spacing w:after="0"/>
              <w:rPr>
                <w:sz w:val="15"/>
                <w:szCs w:val="15"/>
                <w:color w:val="auto"/>
              </w:rPr>
            </w:pPr>
          </w:p>
        </w:tc>
        <w:tc>
          <w:tcPr>
            <w:tcW w:w="3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454545"/>
              </w:rPr>
              <w:t>Funded status – surplus</w:t>
            </w:r>
          </w:p>
        </w:tc>
      </w:tr>
      <w:tr>
        <w:trPr>
          <w:trHeight w:val="216"/>
        </w:trPr>
        <w:tc>
          <w:tcPr>
            <w:tcW w:w="4440" w:type="dxa"/>
            <w:vAlign w:val="bottom"/>
            <w:tcBorders>
              <w:bottom w:val="single" w:sz="8" w:color="6022A6"/>
            </w:tcBorders>
          </w:tcPr>
          <w:p>
            <w:pPr>
              <w:spacing w:after="0"/>
              <w:rPr>
                <w:sz w:val="18"/>
                <w:szCs w:val="18"/>
                <w:color w:val="auto"/>
              </w:rPr>
            </w:pPr>
          </w:p>
        </w:tc>
        <w:tc>
          <w:tcPr>
            <w:tcW w:w="1300" w:type="dxa"/>
            <w:vAlign w:val="bottom"/>
            <w:tcBorders>
              <w:bottom w:val="single" w:sz="8" w:color="6022A6"/>
            </w:tcBorders>
          </w:tcPr>
          <w:p>
            <w:pPr>
              <w:spacing w:after="0"/>
              <w:rPr>
                <w:sz w:val="18"/>
                <w:szCs w:val="18"/>
                <w:color w:val="auto"/>
              </w:rPr>
            </w:pPr>
          </w:p>
        </w:tc>
        <w:tc>
          <w:tcPr>
            <w:tcW w:w="1260" w:type="dxa"/>
            <w:vAlign w:val="bottom"/>
            <w:tcBorders>
              <w:bottom w:val="single" w:sz="8" w:color="6022A6"/>
            </w:tcBorders>
          </w:tcPr>
          <w:p>
            <w:pPr>
              <w:ind w:left="380"/>
              <w:spacing w:after="0"/>
              <w:rPr>
                <w:sz w:val="20"/>
                <w:szCs w:val="20"/>
                <w:color w:val="auto"/>
              </w:rPr>
            </w:pPr>
            <w:r>
              <w:rPr>
                <w:rFonts w:ascii="Arial" w:cs="Arial" w:eastAsia="Arial" w:hAnsi="Arial"/>
                <w:sz w:val="16"/>
                <w:szCs w:val="16"/>
                <w:b w:val="1"/>
                <w:bCs w:val="1"/>
                <w:color w:val="454545"/>
              </w:rPr>
              <w:t>obligations</w:t>
            </w:r>
          </w:p>
        </w:tc>
        <w:tc>
          <w:tcPr>
            <w:tcW w:w="2340" w:type="dxa"/>
            <w:vAlign w:val="bottom"/>
            <w:tcBorders>
              <w:bottom w:val="single" w:sz="8" w:color="6022A6"/>
            </w:tcBorders>
            <w:gridSpan w:val="3"/>
          </w:tcPr>
          <w:p>
            <w:pPr>
              <w:jc w:val="right"/>
              <w:spacing w:after="0"/>
              <w:rPr>
                <w:sz w:val="20"/>
                <w:szCs w:val="20"/>
                <w:color w:val="auto"/>
              </w:rPr>
            </w:pPr>
            <w:r>
              <w:rPr>
                <w:rFonts w:ascii="Arial" w:cs="Arial" w:eastAsia="Arial" w:hAnsi="Arial"/>
                <w:sz w:val="16"/>
                <w:szCs w:val="16"/>
                <w:b w:val="1"/>
                <w:bCs w:val="1"/>
                <w:color w:val="454545"/>
              </w:rPr>
              <w:t>Fair value of plan assets</w:t>
            </w:r>
          </w:p>
        </w:tc>
        <w:tc>
          <w:tcPr>
            <w:tcW w:w="400" w:type="dxa"/>
            <w:vAlign w:val="bottom"/>
            <w:tcBorders>
              <w:bottom w:val="single" w:sz="8" w:color="6022A6"/>
            </w:tcBorders>
          </w:tcPr>
          <w:p>
            <w:pPr>
              <w:spacing w:after="0"/>
              <w:rPr>
                <w:sz w:val="18"/>
                <w:szCs w:val="18"/>
                <w:color w:val="auto"/>
              </w:rPr>
            </w:pPr>
          </w:p>
        </w:tc>
        <w:tc>
          <w:tcPr>
            <w:tcW w:w="1500" w:type="dxa"/>
            <w:vAlign w:val="bottom"/>
            <w:tcBorders>
              <w:bottom w:val="single" w:sz="8" w:color="6022A6"/>
            </w:tcBorders>
          </w:tcPr>
          <w:p>
            <w:pPr>
              <w:jc w:val="right"/>
              <w:ind w:right="559"/>
              <w:spacing w:after="0"/>
              <w:rPr>
                <w:sz w:val="20"/>
                <w:szCs w:val="20"/>
                <w:color w:val="auto"/>
              </w:rPr>
            </w:pPr>
            <w:r>
              <w:rPr>
                <w:rFonts w:ascii="Arial" w:cs="Arial" w:eastAsia="Arial" w:hAnsi="Arial"/>
                <w:sz w:val="16"/>
                <w:szCs w:val="16"/>
                <w:b w:val="1"/>
                <w:bCs w:val="1"/>
                <w:color w:val="454545"/>
              </w:rPr>
              <w:t>(deficit)</w:t>
            </w: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GE HealthCare Pension Plan</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15,968</w:t>
            </w:r>
          </w:p>
        </w:tc>
        <w:tc>
          <w:tcPr>
            <w:tcW w:w="740" w:type="dxa"/>
            <w:vAlign w:val="bottom"/>
            <w:tcBorders>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14,860</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(1,108)</w:t>
            </w: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color w:val="auto"/>
              </w:rPr>
              <w:t>GE HealthCare Supplementary Pension Plan</w:t>
            </w: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2,032</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(2,032)</w:t>
            </w:r>
          </w:p>
        </w:tc>
      </w:tr>
      <w:tr>
        <w:trPr>
          <w:trHeight w:val="33"/>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Pension Plans</w:t>
            </w:r>
          </w:p>
        </w:tc>
        <w:tc>
          <w:tcPr>
            <w:tcW w:w="13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3,743</w:t>
            </w:r>
          </w:p>
        </w:tc>
        <w:tc>
          <w:tcPr>
            <w:tcW w:w="7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4,048</w:t>
            </w:r>
          </w:p>
        </w:tc>
        <w:tc>
          <w:tcPr>
            <w:tcW w:w="40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305</w:t>
            </w:r>
          </w:p>
        </w:tc>
      </w:tr>
      <w:tr>
        <w:trPr>
          <w:trHeight w:val="224"/>
        </w:trPr>
        <w:tc>
          <w:tcPr>
            <w:tcW w:w="4440" w:type="dxa"/>
            <w:vAlign w:val="bottom"/>
          </w:tcPr>
          <w:p>
            <w:pPr>
              <w:ind w:left="20"/>
              <w:spacing w:after="0"/>
              <w:rPr>
                <w:sz w:val="20"/>
                <w:szCs w:val="20"/>
                <w:color w:val="auto"/>
              </w:rPr>
            </w:pPr>
            <w:r>
              <w:rPr>
                <w:rFonts w:ascii="Arial" w:cs="Arial" w:eastAsia="Arial" w:hAnsi="Arial"/>
                <w:sz w:val="16"/>
                <w:szCs w:val="16"/>
                <w:color w:val="auto"/>
              </w:rPr>
              <w:t>Retiree Benefit Plans</w:t>
            </w: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1,210</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(1,210)</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2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transferred plans</w:t>
            </w:r>
          </w:p>
        </w:tc>
        <w:tc>
          <w:tcPr>
            <w:tcW w:w="2200" w:type="dxa"/>
            <w:vAlign w:val="bottom"/>
            <w:tcBorders>
              <w:top w:val="single" w:sz="8" w:color="auto"/>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22,953</w:t>
            </w:r>
          </w:p>
        </w:tc>
        <w:tc>
          <w:tcPr>
            <w:tcW w:w="740" w:type="dxa"/>
            <w:vAlign w:val="bottom"/>
            <w:tcBorders>
              <w:top w:val="single" w:sz="8" w:color="auto"/>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18,908</w:t>
            </w:r>
          </w:p>
        </w:tc>
        <w:tc>
          <w:tcPr>
            <w:tcW w:w="740" w:type="dxa"/>
            <w:vAlign w:val="bottom"/>
            <w:tcBorders>
              <w:top w:val="single" w:sz="8" w:color="auto"/>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(4,045)</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Plans sponsored by GE HealthCare</w:t>
            </w:r>
          </w:p>
        </w:tc>
        <w:tc>
          <w:tcPr>
            <w:tcW w:w="2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703</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33"/>
        </w:trPr>
        <w:tc>
          <w:tcPr>
            <w:tcW w:w="4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postretirement benefit plans</w:t>
            </w:r>
          </w:p>
        </w:tc>
        <w:tc>
          <w:tcPr>
            <w:tcW w:w="220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23,656</w:t>
            </w:r>
          </w:p>
        </w:tc>
        <w:tc>
          <w:tcPr>
            <w:tcW w:w="740" w:type="dxa"/>
            <w:vAlign w:val="bottom"/>
            <w:tcBorders>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19,333</w:t>
            </w:r>
          </w:p>
        </w:tc>
        <w:tc>
          <w:tcPr>
            <w:tcW w:w="740" w:type="dxa"/>
            <w:vAlign w:val="bottom"/>
            <w:tcBorders>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(4,323)</w:t>
            </w:r>
          </w:p>
        </w:tc>
      </w:tr>
      <w:tr>
        <w:trPr>
          <w:trHeight w:val="20"/>
        </w:trPr>
        <w:tc>
          <w:tcPr>
            <w:tcW w:w="41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Note 9, “Postretirement Benefit Plans” to the condensed consolidated and combined financial statements for further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8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231F20"/>
        </w:rPr>
        <w:t xml:space="preserve">Management reviews and analyzes several key performance measures including Total revenues, Remaining Performance Obligations (“RPO”), Operating income, Net income attributable to GE HealthCare, Earnings per share </w:t>
      </w:r>
      <w:r>
        <w:rPr>
          <w:rFonts w:ascii="Arial" w:cs="Arial" w:eastAsia="Arial" w:hAnsi="Arial"/>
          <w:sz w:val="19"/>
          <w:szCs w:val="19"/>
          <w:color w:val="000000"/>
        </w:rPr>
        <w:t>–</w:t>
      </w:r>
      <w:r>
        <w:rPr>
          <w:rFonts w:ascii="Arial" w:cs="Arial" w:eastAsia="Arial" w:hAnsi="Arial"/>
          <w:sz w:val="16"/>
          <w:szCs w:val="16"/>
          <w:color w:val="231F20"/>
        </w:rPr>
        <w:t xml:space="preserve"> continuing operations, and Cash flow from operations. Management also reviews</w:t>
      </w:r>
    </w:p>
    <w:p>
      <w:pPr>
        <w:spacing w:after="0" w:line="1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231F20"/>
        </w:rPr>
        <w:t>and analyzes Organic revenue*, Adjusted Earnings Before Interest and Taxes* (“Adjusted EBIT*”), Adjusted net income*,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6"/>
          <w:szCs w:val="16"/>
          <w:color w:val="231F20"/>
        </w:rPr>
        <w:t>The non-GAAP financial measures should be considered along with the most directly comparable U.S. generally accepted accounting principles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231F20"/>
        </w:rPr>
        <w:t>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tables set forth our results of operations for each of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gridSpan w:val="7"/>
          </w:tcPr>
          <w:p>
            <w:pPr>
              <w:ind w:left="20"/>
              <w:spacing w:after="0"/>
              <w:rPr>
                <w:sz w:val="20"/>
                <w:szCs w:val="20"/>
                <w:color w:val="auto"/>
              </w:rPr>
            </w:pPr>
            <w:r>
              <w:rPr>
                <w:rFonts w:ascii="Arial" w:cs="Arial" w:eastAsia="Arial" w:hAnsi="Arial"/>
                <w:sz w:val="16"/>
                <w:szCs w:val="16"/>
                <w:b w:val="1"/>
                <w:bCs w:val="1"/>
                <w:color w:val="auto"/>
              </w:rPr>
              <w:t>Condensed Consolidated and Combined Statements of Income</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2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0" w:type="dxa"/>
            <w:vAlign w:val="bottom"/>
            <w:gridSpan w:val="14"/>
          </w:tcPr>
          <w:p>
            <w:pPr>
              <w:ind w:left="40"/>
              <w:spacing w:after="0"/>
              <w:rPr>
                <w:sz w:val="20"/>
                <w:szCs w:val="20"/>
                <w:color w:val="auto"/>
              </w:rPr>
            </w:pPr>
            <w:r>
              <w:rPr>
                <w:rFonts w:ascii="Arial" w:cs="Arial" w:eastAsia="Arial" w:hAnsi="Arial"/>
                <w:sz w:val="16"/>
                <w:szCs w:val="16"/>
                <w:b w:val="1"/>
                <w:bCs w:val="1"/>
                <w:color w:val="454545"/>
              </w:rPr>
              <w:t>For the three months ended June 30   For the six months ended June 30</w:t>
            </w:r>
          </w:p>
        </w:tc>
      </w:tr>
      <w:tr>
        <w:trPr>
          <w:trHeight w:val="21"/>
        </w:trPr>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gridSpan w:val="2"/>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r>
      <w:tr>
        <w:trPr>
          <w:trHeight w:val="229"/>
        </w:trPr>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19"/>
                <w:szCs w:val="19"/>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2022</w:t>
            </w:r>
          </w:p>
        </w:tc>
        <w:tc>
          <w:tcPr>
            <w:tcW w:w="100" w:type="dxa"/>
            <w:vAlign w:val="bottom"/>
          </w:tcPr>
          <w:p>
            <w:pPr>
              <w:spacing w:after="0"/>
              <w:rPr>
                <w:sz w:val="19"/>
                <w:szCs w:val="19"/>
                <w:color w:val="auto"/>
              </w:rPr>
            </w:pPr>
          </w:p>
        </w:tc>
      </w:tr>
      <w:tr>
        <w:trPr>
          <w:trHeight w:val="21"/>
        </w:trPr>
        <w:tc>
          <w:tcPr>
            <w:tcW w:w="22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gridSpan w:val="2"/>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r>
      <w:tr>
        <w:trPr>
          <w:trHeight w:val="250"/>
        </w:trPr>
        <w:tc>
          <w:tcPr>
            <w:tcW w:w="22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auto"/>
              </w:rPr>
              <w:t>Sales of products</w:t>
            </w:r>
          </w:p>
        </w:tc>
        <w:tc>
          <w:tcPr>
            <w:tcW w:w="440" w:type="dxa"/>
            <w:vAlign w:val="bottom"/>
            <w:shd w:val="clear" w:color="auto" w:fill="E4E4E4"/>
          </w:tcPr>
          <w:p>
            <w:pPr>
              <w:spacing w:after="0"/>
              <w:rPr>
                <w:sz w:val="21"/>
                <w:szCs w:val="21"/>
                <w:color w:val="auto"/>
              </w:rPr>
            </w:pPr>
          </w:p>
        </w:tc>
        <w:tc>
          <w:tcPr>
            <w:tcW w:w="50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80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780" w:type="dxa"/>
            <w:vAlign w:val="bottom"/>
            <w:gridSpan w:val="2"/>
            <w:shd w:val="clear" w:color="auto" w:fill="E4E4E4"/>
          </w:tcPr>
          <w:p>
            <w:pPr>
              <w:ind w:left="3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3,213</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4E4E4"/>
          </w:tcPr>
          <w:p>
            <w:pPr>
              <w:spacing w:after="0"/>
              <w:rPr>
                <w:sz w:val="21"/>
                <w:szCs w:val="21"/>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2,903</w:t>
            </w:r>
          </w:p>
        </w:tc>
        <w:tc>
          <w:tcPr>
            <w:tcW w:w="480" w:type="dxa"/>
            <w:vAlign w:val="bottom"/>
            <w:gridSpan w:val="3"/>
            <w:shd w:val="clear" w:color="auto" w:fill="E4E4E4"/>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6,344</w:t>
            </w:r>
          </w:p>
        </w:tc>
        <w:tc>
          <w:tcPr>
            <w:tcW w:w="520" w:type="dxa"/>
            <w:vAlign w:val="bottom"/>
            <w:shd w:val="clear" w:color="auto" w:fill="E4E4E4"/>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5,690</w:t>
            </w:r>
          </w:p>
        </w:tc>
      </w:tr>
      <w:tr>
        <w:trPr>
          <w:trHeight w:val="224"/>
        </w:trPr>
        <w:tc>
          <w:tcPr>
            <w:tcW w:w="2260" w:type="dxa"/>
            <w:vAlign w:val="bottom"/>
            <w:gridSpan w:val="2"/>
          </w:tcPr>
          <w:p>
            <w:pPr>
              <w:ind w:left="100"/>
              <w:spacing w:after="0"/>
              <w:rPr>
                <w:sz w:val="20"/>
                <w:szCs w:val="20"/>
                <w:color w:val="auto"/>
              </w:rPr>
            </w:pPr>
            <w:r>
              <w:rPr>
                <w:rFonts w:ascii="Arial" w:cs="Arial" w:eastAsia="Arial" w:hAnsi="Arial"/>
                <w:sz w:val="16"/>
                <w:szCs w:val="16"/>
                <w:color w:val="auto"/>
              </w:rPr>
              <w:t>Sales of services</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1,604</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3,180</w:t>
            </w:r>
          </w:p>
        </w:tc>
        <w:tc>
          <w:tcPr>
            <w:tcW w:w="5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3,137</w:t>
            </w:r>
          </w:p>
        </w:tc>
      </w:tr>
      <w:tr>
        <w:trPr>
          <w:trHeight w:val="33"/>
        </w:trPr>
        <w:tc>
          <w:tcPr>
            <w:tcW w:w="2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5"/>
        </w:trPr>
        <w:tc>
          <w:tcPr>
            <w:tcW w:w="226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b w:val="1"/>
                <w:bCs w:val="1"/>
                <w:color w:val="auto"/>
              </w:rPr>
              <w:t>Total revenues</w:t>
            </w:r>
          </w:p>
        </w:tc>
        <w:tc>
          <w:tcPr>
            <w:tcW w:w="44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b w:val="1"/>
                <w:bCs w:val="1"/>
                <w:color w:val="auto"/>
              </w:rPr>
              <w:t>4,817</w:t>
            </w:r>
          </w:p>
        </w:tc>
        <w:tc>
          <w:tcPr>
            <w:tcW w:w="16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4,484</w:t>
            </w:r>
          </w:p>
        </w:tc>
        <w:tc>
          <w:tcPr>
            <w:tcW w:w="6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9,524</w:t>
            </w:r>
          </w:p>
        </w:tc>
        <w:tc>
          <w:tcPr>
            <w:tcW w:w="520" w:type="dxa"/>
            <w:vAlign w:val="bottom"/>
            <w:tcBorders>
              <w:bottom w:val="single" w:sz="8" w:color="E4E4E4"/>
            </w:tcBorders>
            <w:shd w:val="clear" w:color="auto" w:fill="E4E4E4"/>
          </w:tcPr>
          <w:p>
            <w:pPr>
              <w:spacing w:after="0"/>
              <w:rPr>
                <w:sz w:val="21"/>
                <w:szCs w:val="21"/>
                <w:color w:val="auto"/>
              </w:rPr>
            </w:pPr>
          </w:p>
        </w:tc>
        <w:tc>
          <w:tcPr>
            <w:tcW w:w="9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b w:val="1"/>
                <w:bCs w:val="1"/>
                <w:color w:val="auto"/>
              </w:rPr>
              <w:t>8,827</w:t>
            </w:r>
          </w:p>
        </w:tc>
      </w:tr>
      <w:tr>
        <w:trPr>
          <w:trHeight w:val="217"/>
        </w:trPr>
        <w:tc>
          <w:tcPr>
            <w:tcW w:w="22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Cost of products</w:t>
            </w:r>
          </w:p>
        </w:tc>
        <w:tc>
          <w:tcPr>
            <w:tcW w:w="4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2,084</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3,829</w:t>
            </w:r>
          </w:p>
        </w:tc>
      </w:tr>
      <w:tr>
        <w:trPr>
          <w:trHeight w:val="33"/>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226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color w:val="auto"/>
              </w:rPr>
              <w:t>Cost of services</w:t>
            </w:r>
          </w:p>
        </w:tc>
        <w:tc>
          <w:tcPr>
            <w:tcW w:w="440" w:type="dxa"/>
            <w:vAlign w:val="bottom"/>
            <w:tcBorders>
              <w:bottom w:val="single" w:sz="8" w:color="E4E4E4"/>
            </w:tcBorders>
            <w:shd w:val="clear" w:color="auto" w:fill="E4E4E4"/>
          </w:tcPr>
          <w:p>
            <w:pPr>
              <w:spacing w:after="0"/>
              <w:rPr>
                <w:sz w:val="22"/>
                <w:szCs w:val="22"/>
                <w:color w:val="auto"/>
              </w:rPr>
            </w:pPr>
          </w:p>
        </w:tc>
        <w:tc>
          <w:tcPr>
            <w:tcW w:w="50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793</w:t>
            </w:r>
          </w:p>
        </w:tc>
        <w:tc>
          <w:tcPr>
            <w:tcW w:w="1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773</w:t>
            </w:r>
          </w:p>
        </w:tc>
        <w:tc>
          <w:tcPr>
            <w:tcW w:w="6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1,572</w:t>
            </w:r>
          </w:p>
        </w:tc>
        <w:tc>
          <w:tcPr>
            <w:tcW w:w="52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1,524</w:t>
            </w:r>
          </w:p>
        </w:tc>
      </w:tr>
      <w:tr>
        <w:trPr>
          <w:trHeight w:val="229"/>
        </w:trPr>
        <w:tc>
          <w:tcPr>
            <w:tcW w:w="22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Gross profit</w:t>
            </w:r>
          </w:p>
        </w:tc>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1,940</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1,796</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3,831</w:t>
            </w: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3,474</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50"/>
        </w:trPr>
        <w:tc>
          <w:tcPr>
            <w:tcW w:w="2700" w:type="dxa"/>
            <w:vAlign w:val="bottom"/>
            <w:gridSpan w:val="3"/>
            <w:shd w:val="clear" w:color="auto" w:fill="E4E4E4"/>
          </w:tcPr>
          <w:p>
            <w:pPr>
              <w:ind w:left="10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80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460" w:type="dxa"/>
            <w:vAlign w:val="bottom"/>
            <w:shd w:val="clear" w:color="auto" w:fill="E4E4E4"/>
          </w:tcPr>
          <w:p>
            <w:pPr>
              <w:spacing w:after="0"/>
              <w:rPr>
                <w:sz w:val="21"/>
                <w:szCs w:val="21"/>
                <w:color w:val="auto"/>
              </w:rPr>
            </w:pPr>
          </w:p>
        </w:tc>
        <w:tc>
          <w:tcPr>
            <w:tcW w:w="960" w:type="dxa"/>
            <w:vAlign w:val="bottom"/>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1,072</w:t>
            </w:r>
          </w:p>
        </w:tc>
        <w:tc>
          <w:tcPr>
            <w:tcW w:w="160" w:type="dxa"/>
            <w:vAlign w:val="bottom"/>
            <w:shd w:val="clear" w:color="auto" w:fill="E4E4E4"/>
          </w:tcPr>
          <w:p>
            <w:pPr>
              <w:spacing w:after="0"/>
              <w:rPr>
                <w:sz w:val="21"/>
                <w:szCs w:val="21"/>
                <w:color w:val="auto"/>
              </w:rPr>
            </w:pPr>
          </w:p>
        </w:tc>
        <w:tc>
          <w:tcPr>
            <w:tcW w:w="680" w:type="dxa"/>
            <w:vAlign w:val="bottom"/>
            <w:shd w:val="clear" w:color="auto" w:fill="E4E4E4"/>
          </w:tcPr>
          <w:p>
            <w:pPr>
              <w:spacing w:after="0"/>
              <w:rPr>
                <w:sz w:val="21"/>
                <w:szCs w:val="21"/>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908</w:t>
            </w:r>
          </w:p>
        </w:tc>
        <w:tc>
          <w:tcPr>
            <w:tcW w:w="6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2,134</w:t>
            </w:r>
          </w:p>
        </w:tc>
        <w:tc>
          <w:tcPr>
            <w:tcW w:w="520" w:type="dxa"/>
            <w:vAlign w:val="bottom"/>
            <w:shd w:val="clear" w:color="auto" w:fill="E4E4E4"/>
          </w:tcPr>
          <w:p>
            <w:pPr>
              <w:spacing w:after="0"/>
              <w:rPr>
                <w:sz w:val="21"/>
                <w:szCs w:val="21"/>
                <w:color w:val="auto"/>
              </w:rPr>
            </w:pPr>
          </w:p>
        </w:tc>
        <w:tc>
          <w:tcPr>
            <w:tcW w:w="940" w:type="dxa"/>
            <w:vAlign w:val="bottom"/>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1,839</w:t>
            </w:r>
          </w:p>
        </w:tc>
      </w:tr>
      <w:tr>
        <w:trPr>
          <w:trHeight w:val="223"/>
        </w:trPr>
        <w:tc>
          <w:tcPr>
            <w:tcW w:w="2260" w:type="dxa"/>
            <w:vAlign w:val="bottom"/>
            <w:gridSpan w:val="2"/>
          </w:tcPr>
          <w:p>
            <w:pPr>
              <w:ind w:left="100"/>
              <w:spacing w:after="0"/>
              <w:rPr>
                <w:sz w:val="20"/>
                <w:szCs w:val="20"/>
                <w:color w:val="auto"/>
              </w:rPr>
            </w:pPr>
            <w:r>
              <w:rPr>
                <w:rFonts w:ascii="Arial" w:cs="Arial" w:eastAsia="Arial" w:hAnsi="Arial"/>
                <w:sz w:val="16"/>
                <w:szCs w:val="16"/>
                <w:color w:val="auto"/>
              </w:rPr>
              <w:t>Research and development</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298</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568</w:t>
            </w:r>
          </w:p>
        </w:tc>
        <w:tc>
          <w:tcPr>
            <w:tcW w:w="5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495</w:t>
            </w:r>
          </w:p>
        </w:tc>
      </w:tr>
      <w:tr>
        <w:trPr>
          <w:trHeight w:val="33"/>
        </w:trPr>
        <w:tc>
          <w:tcPr>
            <w:tcW w:w="2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5"/>
        </w:trPr>
        <w:tc>
          <w:tcPr>
            <w:tcW w:w="226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b w:val="1"/>
                <w:bCs w:val="1"/>
                <w:color w:val="auto"/>
              </w:rPr>
              <w:t>Total operating expenses</w:t>
            </w:r>
          </w:p>
        </w:tc>
        <w:tc>
          <w:tcPr>
            <w:tcW w:w="44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b w:val="1"/>
                <w:bCs w:val="1"/>
                <w:color w:val="auto"/>
              </w:rPr>
              <w:t>1,370</w:t>
            </w:r>
          </w:p>
        </w:tc>
        <w:tc>
          <w:tcPr>
            <w:tcW w:w="16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1,165</w:t>
            </w:r>
          </w:p>
        </w:tc>
        <w:tc>
          <w:tcPr>
            <w:tcW w:w="6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2,702</w:t>
            </w:r>
          </w:p>
        </w:tc>
        <w:tc>
          <w:tcPr>
            <w:tcW w:w="520" w:type="dxa"/>
            <w:vAlign w:val="bottom"/>
            <w:tcBorders>
              <w:bottom w:val="single" w:sz="8" w:color="E4E4E4"/>
            </w:tcBorders>
            <w:shd w:val="clear" w:color="auto" w:fill="E4E4E4"/>
          </w:tcPr>
          <w:p>
            <w:pPr>
              <w:spacing w:after="0"/>
              <w:rPr>
                <w:sz w:val="21"/>
                <w:szCs w:val="21"/>
                <w:color w:val="auto"/>
              </w:rPr>
            </w:pPr>
          </w:p>
        </w:tc>
        <w:tc>
          <w:tcPr>
            <w:tcW w:w="9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b w:val="1"/>
                <w:bCs w:val="1"/>
                <w:color w:val="auto"/>
              </w:rPr>
              <w:t>2,334</w:t>
            </w:r>
          </w:p>
        </w:tc>
      </w:tr>
      <w:tr>
        <w:trPr>
          <w:trHeight w:val="229"/>
        </w:trPr>
        <w:tc>
          <w:tcPr>
            <w:tcW w:w="22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Operating income</w:t>
            </w:r>
          </w:p>
        </w:tc>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570</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1,129</w:t>
            </w: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1,140</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30"/>
        </w:trPr>
        <w:tc>
          <w:tcPr>
            <w:tcW w:w="3200" w:type="dxa"/>
            <w:vAlign w:val="bottom"/>
            <w:tcBorders>
              <w:bottom w:val="single" w:sz="8" w:color="E4E4E4"/>
            </w:tcBorders>
            <w:gridSpan w:val="4"/>
            <w:shd w:val="clear" w:color="auto" w:fill="E4E4E4"/>
          </w:tcPr>
          <w:p>
            <w:pPr>
              <w:ind w:left="100"/>
              <w:spacing w:after="0"/>
              <w:rPr>
                <w:sz w:val="20"/>
                <w:szCs w:val="20"/>
                <w:color w:val="auto"/>
              </w:rPr>
            </w:pPr>
            <w:r>
              <w:rPr>
                <w:rFonts w:ascii="Arial" w:cs="Arial" w:eastAsia="Arial" w:hAnsi="Arial"/>
                <w:sz w:val="16"/>
                <w:szCs w:val="16"/>
                <w:color w:val="auto"/>
              </w:rPr>
              <w:t>Interest and other financial charges – net</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137</w:t>
            </w:r>
          </w:p>
        </w:tc>
        <w:tc>
          <w:tcPr>
            <w:tcW w:w="1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c>
          <w:tcPr>
            <w:tcW w:w="52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16</w:t>
            </w:r>
          </w:p>
        </w:tc>
      </w:tr>
      <w:tr>
        <w:trPr>
          <w:trHeight w:val="254"/>
        </w:trPr>
        <w:tc>
          <w:tcPr>
            <w:tcW w:w="3200" w:type="dxa"/>
            <w:vAlign w:val="bottom"/>
            <w:gridSpan w:val="4"/>
          </w:tcPr>
          <w:p>
            <w:pPr>
              <w:ind w:left="100"/>
              <w:spacing w:after="0"/>
              <w:rPr>
                <w:sz w:val="20"/>
                <w:szCs w:val="20"/>
                <w:color w:val="auto"/>
              </w:rPr>
            </w:pPr>
            <w:r>
              <w:rPr>
                <w:rFonts w:ascii="Arial" w:cs="Arial" w:eastAsia="Arial" w:hAnsi="Arial"/>
                <w:sz w:val="16"/>
                <w:szCs w:val="16"/>
                <w:color w:val="auto"/>
              </w:rPr>
              <w:t>Non-operating benefit (income) costs</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w:t>
            </w:r>
          </w:p>
        </w:tc>
        <w:tc>
          <w:tcPr>
            <w:tcW w:w="52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264"/>
        </w:trPr>
        <w:tc>
          <w:tcPr>
            <w:tcW w:w="226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color w:val="auto"/>
              </w:rPr>
              <w:t>Other (income) expense – net</w:t>
            </w:r>
          </w:p>
        </w:tc>
        <w:tc>
          <w:tcPr>
            <w:tcW w:w="440" w:type="dxa"/>
            <w:vAlign w:val="bottom"/>
            <w:tcBorders>
              <w:bottom w:val="single" w:sz="8" w:color="E4E4E4"/>
            </w:tcBorders>
            <w:shd w:val="clear" w:color="auto" w:fill="E4E4E4"/>
          </w:tcPr>
          <w:p>
            <w:pPr>
              <w:spacing w:after="0"/>
              <w:rPr>
                <w:sz w:val="22"/>
                <w:szCs w:val="22"/>
                <w:color w:val="auto"/>
              </w:rPr>
            </w:pPr>
          </w:p>
        </w:tc>
        <w:tc>
          <w:tcPr>
            <w:tcW w:w="50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6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52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(45)</w:t>
            </w:r>
          </w:p>
        </w:tc>
      </w:tr>
      <w:tr>
        <w:trPr>
          <w:trHeight w:val="229"/>
        </w:trPr>
        <w:tc>
          <w:tcPr>
            <w:tcW w:w="5120" w:type="dxa"/>
            <w:vAlign w:val="bottom"/>
            <w:tcBorders>
              <w:top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570</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639</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1,116</w:t>
            </w: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1,172</w:t>
            </w:r>
          </w:p>
        </w:tc>
      </w:tr>
      <w:tr>
        <w:trPr>
          <w:trHeight w:val="21"/>
        </w:trPr>
        <w:tc>
          <w:tcPr>
            <w:tcW w:w="2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2700" w:type="dxa"/>
            <w:vAlign w:val="bottom"/>
            <w:tcBorders>
              <w:bottom w:val="single" w:sz="8" w:color="auto"/>
            </w:tcBorders>
            <w:gridSpan w:val="3"/>
            <w:shd w:val="clear" w:color="auto" w:fill="E4E4E4"/>
          </w:tcPr>
          <w:p>
            <w:pPr>
              <w:ind w:left="100"/>
              <w:spacing w:after="0"/>
              <w:rPr>
                <w:sz w:val="20"/>
                <w:szCs w:val="20"/>
                <w:color w:val="auto"/>
              </w:rPr>
            </w:pPr>
            <w:r>
              <w:rPr>
                <w:rFonts w:ascii="Arial" w:cs="Arial" w:eastAsia="Arial" w:hAnsi="Arial"/>
                <w:sz w:val="16"/>
                <w:szCs w:val="16"/>
                <w:color w:val="auto"/>
              </w:rPr>
              <w:t>Benefit (provision) for income taxes</w:t>
            </w:r>
          </w:p>
        </w:tc>
        <w:tc>
          <w:tcPr>
            <w:tcW w:w="50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80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spacing w:after="0"/>
              <w:rPr>
                <w:sz w:val="22"/>
                <w:szCs w:val="22"/>
                <w:color w:val="auto"/>
              </w:rPr>
            </w:pPr>
          </w:p>
        </w:tc>
        <w:tc>
          <w:tcPr>
            <w:tcW w:w="320" w:type="dxa"/>
            <w:vAlign w:val="bottom"/>
            <w:tcBorders>
              <w:bottom w:val="single" w:sz="8" w:color="auto"/>
            </w:tcBorders>
            <w:shd w:val="clear" w:color="auto" w:fill="E4E4E4"/>
          </w:tcPr>
          <w:p>
            <w:pPr>
              <w:spacing w:after="0"/>
              <w:rPr>
                <w:sz w:val="22"/>
                <w:szCs w:val="22"/>
                <w:color w:val="auto"/>
              </w:rPr>
            </w:pPr>
          </w:p>
        </w:tc>
        <w:tc>
          <w:tcPr>
            <w:tcW w:w="46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(137)</w:t>
            </w:r>
          </w:p>
        </w:tc>
        <w:tc>
          <w:tcPr>
            <w:tcW w:w="160" w:type="dxa"/>
            <w:vAlign w:val="bottom"/>
            <w:tcBorders>
              <w:bottom w:val="single" w:sz="8" w:color="auto"/>
            </w:tcBorders>
            <w:shd w:val="clear" w:color="auto" w:fill="E4E4E4"/>
          </w:tcPr>
          <w:p>
            <w:pPr>
              <w:spacing w:after="0"/>
              <w:rPr>
                <w:sz w:val="22"/>
                <w:szCs w:val="22"/>
                <w:color w:val="auto"/>
              </w:rPr>
            </w:pPr>
          </w:p>
        </w:tc>
        <w:tc>
          <w:tcPr>
            <w:tcW w:w="6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60" w:type="dxa"/>
            <w:vAlign w:val="bottom"/>
            <w:tcBorders>
              <w:bottom w:val="single" w:sz="8" w:color="auto"/>
            </w:tcBorders>
            <w:shd w:val="clear" w:color="auto" w:fill="E4E4E4"/>
          </w:tcPr>
          <w:p>
            <w:pPr>
              <w:spacing w:after="0"/>
              <w:rPr>
                <w:sz w:val="22"/>
                <w:szCs w:val="22"/>
                <w:color w:val="auto"/>
              </w:rPr>
            </w:pPr>
          </w:p>
        </w:tc>
        <w:tc>
          <w:tcPr>
            <w:tcW w:w="100" w:type="dxa"/>
            <w:vAlign w:val="bottom"/>
            <w:tcBorders>
              <w:bottom w:val="single" w:sz="8" w:color="auto"/>
            </w:tcBorders>
            <w:shd w:val="clear" w:color="auto" w:fill="E4E4E4"/>
          </w:tcPr>
          <w:p>
            <w:pPr>
              <w:spacing w:after="0"/>
              <w:rPr>
                <w:sz w:val="22"/>
                <w:szCs w:val="22"/>
                <w:color w:val="auto"/>
              </w:rPr>
            </w:pPr>
          </w:p>
        </w:tc>
        <w:tc>
          <w:tcPr>
            <w:tcW w:w="32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(300)</w:t>
            </w:r>
          </w:p>
        </w:tc>
        <w:tc>
          <w:tcPr>
            <w:tcW w:w="520" w:type="dxa"/>
            <w:vAlign w:val="bottom"/>
            <w:tcBorders>
              <w:bottom w:val="single" w:sz="8" w:color="auto"/>
            </w:tcBorders>
            <w:shd w:val="clear" w:color="auto" w:fill="E4E4E4"/>
          </w:tcPr>
          <w:p>
            <w:pPr>
              <w:spacing w:after="0"/>
              <w:rPr>
                <w:sz w:val="22"/>
                <w:szCs w:val="22"/>
                <w:color w:val="auto"/>
              </w:rPr>
            </w:pPr>
          </w:p>
        </w:tc>
        <w:tc>
          <w:tcPr>
            <w:tcW w:w="940" w:type="dxa"/>
            <w:vAlign w:val="bottom"/>
            <w:tcBorders>
              <w:bottom w:val="single" w:sz="8" w:color="auto"/>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(284)</w:t>
            </w:r>
          </w:p>
        </w:tc>
      </w:tr>
      <w:tr>
        <w:trPr>
          <w:trHeight w:val="232"/>
        </w:trPr>
        <w:tc>
          <w:tcPr>
            <w:tcW w:w="3200" w:type="dxa"/>
            <w:vAlign w:val="bottom"/>
            <w:gridSpan w:val="4"/>
          </w:tcPr>
          <w:p>
            <w:pPr>
              <w:ind w:left="100"/>
              <w:spacing w:after="0"/>
              <w:rPr>
                <w:sz w:val="20"/>
                <w:szCs w:val="20"/>
                <w:color w:val="auto"/>
              </w:rPr>
            </w:pPr>
            <w:r>
              <w:rPr>
                <w:rFonts w:ascii="Arial" w:cs="Arial" w:eastAsia="Arial" w:hAnsi="Arial"/>
                <w:sz w:val="16"/>
                <w:szCs w:val="16"/>
                <w:b w:val="1"/>
                <w:bCs w:val="1"/>
                <w:color w:val="auto"/>
              </w:rPr>
              <w:t>Net income from continuing operations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433</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816</w:t>
            </w:r>
          </w:p>
        </w:tc>
        <w:tc>
          <w:tcPr>
            <w:tcW w:w="5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888</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5"/>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55"/>
        </w:trPr>
        <w:tc>
          <w:tcPr>
            <w:tcW w:w="4220" w:type="dxa"/>
            <w:vAlign w:val="bottom"/>
            <w:tcBorders>
              <w:bottom w:val="single" w:sz="8" w:color="E4E4E4"/>
            </w:tcBorders>
            <w:gridSpan w:val="6"/>
            <w:shd w:val="clear" w:color="auto" w:fill="E4E4E4"/>
          </w:tcPr>
          <w:p>
            <w:pPr>
              <w:ind w:left="100"/>
              <w:spacing w:after="0"/>
              <w:rPr>
                <w:sz w:val="20"/>
                <w:szCs w:val="20"/>
                <w:color w:val="auto"/>
              </w:rPr>
            </w:pPr>
            <w:r>
              <w:rPr>
                <w:rFonts w:ascii="Arial" w:cs="Arial" w:eastAsia="Arial" w:hAnsi="Arial"/>
                <w:sz w:val="16"/>
                <w:szCs w:val="16"/>
                <w:color w:val="auto"/>
              </w:rPr>
              <w:t>Income from discontinued operations, net of taxes</w:t>
            </w:r>
          </w:p>
        </w:tc>
        <w:tc>
          <w:tcPr>
            <w:tcW w:w="90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spacing w:after="0"/>
              <w:rPr>
                <w:sz w:val="21"/>
                <w:szCs w:val="21"/>
                <w:color w:val="auto"/>
              </w:rPr>
            </w:pPr>
          </w:p>
        </w:tc>
        <w:tc>
          <w:tcPr>
            <w:tcW w:w="74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spacing w:after="0"/>
              <w:rPr>
                <w:sz w:val="21"/>
                <w:szCs w:val="21"/>
                <w:color w:val="auto"/>
              </w:rPr>
            </w:pPr>
          </w:p>
        </w:tc>
        <w:tc>
          <w:tcPr>
            <w:tcW w:w="9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12</w:t>
            </w:r>
          </w:p>
        </w:tc>
      </w:tr>
      <w:tr>
        <w:trPr>
          <w:trHeight w:val="229"/>
        </w:trPr>
        <w:tc>
          <w:tcPr>
            <w:tcW w:w="22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Net income</w:t>
            </w:r>
          </w:p>
        </w:tc>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433</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498</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816</w:t>
            </w: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900</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5"/>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47"/>
        </w:trPr>
        <w:tc>
          <w:tcPr>
            <w:tcW w:w="4220" w:type="dxa"/>
            <w:vAlign w:val="bottom"/>
            <w:tcBorders>
              <w:bottom w:val="single" w:sz="8" w:color="auto"/>
            </w:tcBorders>
            <w:gridSpan w:val="6"/>
            <w:shd w:val="clear" w:color="auto" w:fill="E4E4E4"/>
          </w:tcPr>
          <w:p>
            <w:pPr>
              <w:ind w:left="100"/>
              <w:spacing w:after="0"/>
              <w:rPr>
                <w:sz w:val="20"/>
                <w:szCs w:val="20"/>
                <w:color w:val="auto"/>
              </w:rPr>
            </w:pPr>
            <w:r>
              <w:rPr>
                <w:rFonts w:ascii="Arial" w:cs="Arial" w:eastAsia="Arial" w:hAnsi="Arial"/>
                <w:sz w:val="16"/>
                <w:szCs w:val="16"/>
                <w:color w:val="auto"/>
              </w:rPr>
              <w:t>Net (income) attributable to noncontrolling interests</w:t>
            </w:r>
          </w:p>
        </w:tc>
        <w:tc>
          <w:tcPr>
            <w:tcW w:w="900" w:type="dxa"/>
            <w:vAlign w:val="bottom"/>
            <w:tcBorders>
              <w:bottom w:val="single" w:sz="8" w:color="auto"/>
            </w:tcBorders>
            <w:shd w:val="clear" w:color="auto" w:fill="E4E4E4"/>
          </w:tcPr>
          <w:p>
            <w:pPr>
              <w:spacing w:after="0"/>
              <w:rPr>
                <w:sz w:val="21"/>
                <w:szCs w:val="21"/>
                <w:color w:val="auto"/>
              </w:rPr>
            </w:pPr>
          </w:p>
        </w:tc>
        <w:tc>
          <w:tcPr>
            <w:tcW w:w="320" w:type="dxa"/>
            <w:vAlign w:val="bottom"/>
            <w:tcBorders>
              <w:bottom w:val="single" w:sz="8" w:color="auto"/>
            </w:tcBorders>
            <w:shd w:val="clear" w:color="auto" w:fill="E4E4E4"/>
          </w:tcPr>
          <w:p>
            <w:pPr>
              <w:spacing w:after="0"/>
              <w:rPr>
                <w:sz w:val="21"/>
                <w:szCs w:val="21"/>
                <w:color w:val="auto"/>
              </w:rPr>
            </w:pPr>
          </w:p>
        </w:tc>
        <w:tc>
          <w:tcPr>
            <w:tcW w:w="46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shd w:val="clear" w:color="auto" w:fill="E4E4E4"/>
          </w:tcPr>
          <w:p>
            <w:pPr>
              <w:spacing w:after="0"/>
              <w:rPr>
                <w:sz w:val="21"/>
                <w:szCs w:val="21"/>
                <w:color w:val="auto"/>
              </w:rPr>
            </w:pPr>
          </w:p>
        </w:tc>
        <w:tc>
          <w:tcPr>
            <w:tcW w:w="680" w:type="dxa"/>
            <w:vAlign w:val="bottom"/>
            <w:tcBorders>
              <w:bottom w:val="single" w:sz="8" w:color="auto"/>
            </w:tcBorders>
            <w:shd w:val="clear" w:color="auto" w:fill="E4E4E4"/>
          </w:tcPr>
          <w:p>
            <w:pPr>
              <w:spacing w:after="0"/>
              <w:rPr>
                <w:sz w:val="21"/>
                <w:szCs w:val="21"/>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auto"/>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32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520" w:type="dxa"/>
            <w:vAlign w:val="bottom"/>
            <w:tcBorders>
              <w:bottom w:val="single" w:sz="8" w:color="auto"/>
            </w:tcBorders>
            <w:shd w:val="clear" w:color="auto" w:fill="E4E4E4"/>
          </w:tcPr>
          <w:p>
            <w:pPr>
              <w:spacing w:after="0"/>
              <w:rPr>
                <w:sz w:val="21"/>
                <w:szCs w:val="21"/>
                <w:color w:val="auto"/>
              </w:rPr>
            </w:pPr>
          </w:p>
        </w:tc>
        <w:tc>
          <w:tcPr>
            <w:tcW w:w="940" w:type="dxa"/>
            <w:vAlign w:val="bottom"/>
            <w:tcBorders>
              <w:bottom w:val="single" w:sz="8" w:color="auto"/>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(26)</w:t>
            </w:r>
          </w:p>
        </w:tc>
      </w:tr>
      <w:tr>
        <w:trPr>
          <w:trHeight w:val="232"/>
        </w:trPr>
        <w:tc>
          <w:tcPr>
            <w:tcW w:w="3420" w:type="dxa"/>
            <w:vAlign w:val="bottom"/>
            <w:gridSpan w:val="5"/>
          </w:tcPr>
          <w:p>
            <w:pPr>
              <w:ind w:left="100"/>
              <w:spacing w:after="0"/>
              <w:rPr>
                <w:sz w:val="20"/>
                <w:szCs w:val="20"/>
                <w:color w:val="auto"/>
              </w:rPr>
            </w:pPr>
            <w:r>
              <w:rPr>
                <w:rFonts w:ascii="Arial" w:cs="Arial" w:eastAsia="Arial" w:hAnsi="Arial"/>
                <w:sz w:val="16"/>
                <w:szCs w:val="16"/>
                <w:b w:val="1"/>
                <w:bCs w:val="1"/>
                <w:color w:val="231F20"/>
              </w:rPr>
              <w:t>Net income attributable to GE HealthCare</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418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485</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790</w:t>
            </w:r>
          </w:p>
        </w:tc>
        <w:tc>
          <w:tcPr>
            <w:tcW w:w="52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874</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526"/>
        </w:trPr>
        <w:tc>
          <w:tcPr>
            <w:tcW w:w="2700" w:type="dxa"/>
            <w:vAlign w:val="bottom"/>
            <w:gridSpan w:val="3"/>
          </w:tcPr>
          <w:p>
            <w:pPr>
              <w:spacing w:after="0"/>
              <w:rPr>
                <w:sz w:val="20"/>
                <w:szCs w:val="20"/>
                <w:color w:val="auto"/>
              </w:rPr>
            </w:pPr>
            <w:r>
              <w:rPr>
                <w:rFonts w:ascii="Arial" w:cs="Arial" w:eastAsia="Arial" w:hAnsi="Arial"/>
                <w:sz w:val="16"/>
                <w:szCs w:val="16"/>
                <w:b w:val="1"/>
                <w:bCs w:val="1"/>
                <w:color w:val="auto"/>
              </w:rPr>
              <w:t>TOTAL REVENUES AND RPO.</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226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0" w:type="dxa"/>
            <w:vAlign w:val="bottom"/>
            <w:gridSpan w:val="6"/>
          </w:tcPr>
          <w:p>
            <w:pPr>
              <w:ind w:left="340"/>
              <w:spacing w:after="0"/>
              <w:rPr>
                <w:sz w:val="20"/>
                <w:szCs w:val="20"/>
                <w:color w:val="auto"/>
              </w:rPr>
            </w:pPr>
            <w:r>
              <w:rPr>
                <w:rFonts w:ascii="Arial" w:cs="Arial" w:eastAsia="Arial" w:hAnsi="Arial"/>
                <w:sz w:val="16"/>
                <w:szCs w:val="16"/>
                <w:b w:val="1"/>
                <w:bCs w:val="1"/>
                <w:color w:val="454545"/>
              </w:rPr>
              <w:t>For the three months ended June 30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7"/>
          </w:tcPr>
          <w:p>
            <w:pPr>
              <w:jc w:val="right"/>
              <w:spacing w:after="0"/>
              <w:rPr>
                <w:sz w:val="20"/>
                <w:szCs w:val="20"/>
                <w:color w:val="auto"/>
              </w:rPr>
            </w:pPr>
            <w:r>
              <w:rPr>
                <w:rFonts w:ascii="Arial" w:cs="Arial" w:eastAsia="Arial" w:hAnsi="Arial"/>
                <w:sz w:val="16"/>
                <w:szCs w:val="16"/>
                <w:b w:val="1"/>
                <w:bCs w:val="1"/>
                <w:color w:val="454545"/>
              </w:rPr>
              <w:t>For the six months ended June 30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224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gridSpan w:val="2"/>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gridSpan w:val="4"/>
          </w:tcPr>
          <w:p>
            <w:pPr>
              <w:spacing w:after="0" w:line="20" w:lineRule="exact"/>
              <w:rPr>
                <w:sz w:val="1"/>
                <w:szCs w:val="1"/>
                <w:color w:val="auto"/>
              </w:rPr>
            </w:pPr>
          </w:p>
        </w:tc>
        <w:tc>
          <w:tcPr>
            <w:tcW w:w="2420" w:type="dxa"/>
            <w:vAlign w:val="bottom"/>
            <w:tcBorders>
              <w:bottom w:val="single" w:sz="8" w:color="454545"/>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454545"/>
              </w:rPr>
              <w:t>% organic* change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2023</w:t>
            </w:r>
          </w:p>
        </w:tc>
        <w:tc>
          <w:tcPr>
            <w:tcW w:w="102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454545"/>
              </w:rPr>
              <w:t>2022</w:t>
            </w:r>
          </w:p>
        </w:tc>
        <w:tc>
          <w:tcPr>
            <w:tcW w:w="25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454545"/>
              </w:rPr>
              <w:t>% change  % organic* change</w:t>
            </w:r>
          </w:p>
        </w:tc>
      </w:tr>
      <w:tr>
        <w:trPr>
          <w:trHeight w:val="21"/>
        </w:trPr>
        <w:tc>
          <w:tcPr>
            <w:tcW w:w="22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260" w:type="dxa"/>
            <w:vAlign w:val="bottom"/>
            <w:tcBorders>
              <w:bottom w:val="single" w:sz="8" w:color="E4E4E4"/>
            </w:tcBorders>
            <w:gridSpan w:val="2"/>
            <w:shd w:val="clear" w:color="auto" w:fill="E4E4E4"/>
          </w:tcPr>
          <w:p>
            <w:pPr>
              <w:ind w:left="60"/>
              <w:spacing w:after="0"/>
              <w:rPr>
                <w:sz w:val="20"/>
                <w:szCs w:val="20"/>
                <w:color w:val="auto"/>
              </w:rPr>
            </w:pPr>
            <w:r>
              <w:rPr>
                <w:rFonts w:ascii="Arial" w:cs="Arial" w:eastAsia="Arial" w:hAnsi="Arial"/>
                <w:sz w:val="16"/>
                <w:szCs w:val="16"/>
                <w:color w:val="auto"/>
              </w:rPr>
              <w:t>Segment revenues</w:t>
            </w:r>
          </w:p>
        </w:tc>
        <w:tc>
          <w:tcPr>
            <w:tcW w:w="44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2260" w:type="dxa"/>
            <w:vAlign w:val="bottom"/>
            <w:gridSpan w:val="2"/>
          </w:tcPr>
          <w:p>
            <w:pPr>
              <w:ind w:left="300"/>
              <w:spacing w:after="0"/>
              <w:rPr>
                <w:sz w:val="20"/>
                <w:szCs w:val="20"/>
                <w:color w:val="auto"/>
              </w:rPr>
            </w:pPr>
            <w:r>
              <w:rPr>
                <w:rFonts w:ascii="Arial" w:cs="Arial" w:eastAsia="Arial" w:hAnsi="Arial"/>
                <w:sz w:val="16"/>
                <w:szCs w:val="16"/>
                <w:color w:val="auto"/>
              </w:rPr>
              <w:t>Imaging</w:t>
            </w:r>
          </w:p>
        </w:tc>
        <w:tc>
          <w:tcPr>
            <w:tcW w:w="440" w:type="dxa"/>
            <w:vAlign w:val="bottom"/>
          </w:tcPr>
          <w:p>
            <w:pPr>
              <w:jc w:val="right"/>
              <w:ind w:right="28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2,620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2,449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5,116</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16"/>
                <w:szCs w:val="16"/>
                <w:color w:val="auto"/>
                <w:w w:val="94"/>
              </w:rPr>
              <w:t>4,760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r>
      <w:tr>
        <w:trPr>
          <w:trHeight w:val="33"/>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2260" w:type="dxa"/>
            <w:vAlign w:val="bottom"/>
            <w:tcBorders>
              <w:bottom w:val="single" w:sz="8" w:color="E4E4E4"/>
            </w:tcBorders>
            <w:gridSpan w:val="2"/>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440" w:type="dxa"/>
            <w:vAlign w:val="bottom"/>
            <w:tcBorders>
              <w:bottom w:val="single" w:sz="8" w:color="E4E4E4"/>
            </w:tcBorders>
            <w:shd w:val="clear" w:color="auto" w:fill="E4E4E4"/>
          </w:tcPr>
          <w:p>
            <w:pPr>
              <w:spacing w:after="0"/>
              <w:rPr>
                <w:sz w:val="24"/>
                <w:szCs w:val="24"/>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839</w:t>
            </w: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828</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E4E4E4"/>
            </w:tcBorders>
            <w:shd w:val="clear" w:color="auto" w:fill="E4E4E4"/>
          </w:tcPr>
          <w:p>
            <w:pPr>
              <w:spacing w:after="0"/>
              <w:rPr>
                <w:sz w:val="24"/>
                <w:szCs w:val="24"/>
                <w:color w:val="auto"/>
              </w:rPr>
            </w:pPr>
          </w:p>
        </w:tc>
        <w:tc>
          <w:tcPr>
            <w:tcW w:w="46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160" w:type="dxa"/>
            <w:vAlign w:val="bottom"/>
            <w:tcBorders>
              <w:bottom w:val="single" w:sz="8" w:color="E4E4E4"/>
            </w:tcBorders>
            <w:shd w:val="clear" w:color="auto" w:fill="E4E4E4"/>
          </w:tcPr>
          <w:p>
            <w:pPr>
              <w:spacing w:after="0"/>
              <w:rPr>
                <w:sz w:val="24"/>
                <w:szCs w:val="24"/>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1,698</w:t>
            </w:r>
          </w:p>
        </w:tc>
        <w:tc>
          <w:tcPr>
            <w:tcW w:w="540" w:type="dxa"/>
            <w:vAlign w:val="bottom"/>
            <w:tcBorders>
              <w:bottom w:val="single" w:sz="8" w:color="E4E4E4"/>
            </w:tcBorders>
            <w:shd w:val="clear" w:color="auto" w:fill="E4E4E4"/>
          </w:tcPr>
          <w:p>
            <w:pPr>
              <w:spacing w:after="0"/>
              <w:rPr>
                <w:sz w:val="24"/>
                <w:szCs w:val="24"/>
                <w:color w:val="auto"/>
              </w:rPr>
            </w:pPr>
          </w:p>
        </w:tc>
        <w:tc>
          <w:tcPr>
            <w:tcW w:w="48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color w:val="auto"/>
                <w:w w:val="94"/>
              </w:rPr>
              <w:t>1,643</w:t>
            </w:r>
          </w:p>
        </w:tc>
        <w:tc>
          <w:tcPr>
            <w:tcW w:w="10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3%</w:t>
            </w:r>
          </w:p>
        </w:tc>
        <w:tc>
          <w:tcPr>
            <w:tcW w:w="5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r>
      <w:tr>
        <w:trPr>
          <w:trHeight w:val="250"/>
        </w:trPr>
        <w:tc>
          <w:tcPr>
            <w:tcW w:w="2260" w:type="dxa"/>
            <w:vAlign w:val="bottom"/>
            <w:gridSpan w:val="2"/>
          </w:tcPr>
          <w:p>
            <w:pPr>
              <w:ind w:left="300"/>
              <w:spacing w:after="0"/>
              <w:rPr>
                <w:sz w:val="20"/>
                <w:szCs w:val="20"/>
                <w:color w:val="auto"/>
              </w:rPr>
            </w:pPr>
            <w:r>
              <w:rPr>
                <w:rFonts w:ascii="Arial" w:cs="Arial" w:eastAsia="Arial" w:hAnsi="Arial"/>
                <w:sz w:val="16"/>
                <w:szCs w:val="16"/>
                <w:color w:val="auto"/>
              </w:rPr>
              <w:t>PCS</w:t>
            </w:r>
          </w:p>
        </w:tc>
        <w:tc>
          <w:tcPr>
            <w:tcW w:w="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713</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1,551</w:t>
            </w:r>
          </w:p>
        </w:tc>
        <w:tc>
          <w:tcPr>
            <w:tcW w:w="540" w:type="dxa"/>
            <w:vAlign w:val="bottom"/>
          </w:tcPr>
          <w:p>
            <w:pPr>
              <w:spacing w:after="0"/>
              <w:rPr>
                <w:sz w:val="21"/>
                <w:szCs w:val="21"/>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6"/>
                <w:szCs w:val="16"/>
                <w:color w:val="auto"/>
                <w:w w:val="94"/>
              </w:rPr>
              <w:t>1,429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r>
      <w:tr>
        <w:trPr>
          <w:trHeight w:val="33"/>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2260" w:type="dxa"/>
            <w:vAlign w:val="bottom"/>
            <w:tcBorders>
              <w:bottom w:val="single" w:sz="8" w:color="E4E4E4"/>
            </w:tcBorders>
            <w:gridSpan w:val="2"/>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440" w:type="dxa"/>
            <w:vAlign w:val="bottom"/>
            <w:tcBorders>
              <w:bottom w:val="single" w:sz="8" w:color="E4E4E4"/>
            </w:tcBorders>
            <w:shd w:val="clear" w:color="auto" w:fill="E4E4E4"/>
          </w:tcPr>
          <w:p>
            <w:pPr>
              <w:spacing w:after="0"/>
              <w:rPr>
                <w:sz w:val="24"/>
                <w:szCs w:val="24"/>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568</w:t>
            </w: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478</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E4E4E4"/>
            </w:tcBorders>
            <w:shd w:val="clear" w:color="auto" w:fill="E4E4E4"/>
          </w:tcPr>
          <w:p>
            <w:pPr>
              <w:spacing w:after="0"/>
              <w:rPr>
                <w:sz w:val="24"/>
                <w:szCs w:val="24"/>
                <w:color w:val="auto"/>
              </w:rPr>
            </w:pPr>
          </w:p>
        </w:tc>
        <w:tc>
          <w:tcPr>
            <w:tcW w:w="46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160" w:type="dxa"/>
            <w:vAlign w:val="bottom"/>
            <w:tcBorders>
              <w:bottom w:val="single" w:sz="8" w:color="E4E4E4"/>
            </w:tcBorders>
            <w:shd w:val="clear" w:color="auto" w:fill="E4E4E4"/>
          </w:tcPr>
          <w:p>
            <w:pPr>
              <w:spacing w:after="0"/>
              <w:rPr>
                <w:sz w:val="24"/>
                <w:szCs w:val="24"/>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1,126</w:t>
            </w:r>
          </w:p>
        </w:tc>
        <w:tc>
          <w:tcPr>
            <w:tcW w:w="540" w:type="dxa"/>
            <w:vAlign w:val="bottom"/>
            <w:tcBorders>
              <w:bottom w:val="single" w:sz="8" w:color="E4E4E4"/>
            </w:tcBorders>
            <w:shd w:val="clear" w:color="auto" w:fill="E4E4E4"/>
          </w:tcPr>
          <w:p>
            <w:pPr>
              <w:spacing w:after="0"/>
              <w:rPr>
                <w:sz w:val="24"/>
                <w:szCs w:val="24"/>
                <w:color w:val="auto"/>
              </w:rPr>
            </w:pPr>
          </w:p>
        </w:tc>
        <w:tc>
          <w:tcPr>
            <w:tcW w:w="48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color w:val="auto"/>
              </w:rPr>
              <w:t>962</w:t>
            </w:r>
          </w:p>
        </w:tc>
        <w:tc>
          <w:tcPr>
            <w:tcW w:w="10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17%</w:t>
            </w:r>
          </w:p>
        </w:tc>
        <w:tc>
          <w:tcPr>
            <w:tcW w:w="5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r>
      <w:tr>
        <w:trPr>
          <w:trHeight w:val="282"/>
        </w:trPr>
        <w:tc>
          <w:tcPr>
            <w:tcW w:w="2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33</w:t>
            </w: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2"/>
        </w:trPr>
        <w:tc>
          <w:tcPr>
            <w:tcW w:w="2260" w:type="dxa"/>
            <w:vAlign w:val="bottom"/>
            <w:tcBorders>
              <w:bottom w:val="single" w:sz="8" w:color="E4E4E4"/>
            </w:tcBorders>
            <w:gridSpan w:val="2"/>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440" w:type="dxa"/>
            <w:vAlign w:val="bottom"/>
            <w:tcBorders>
              <w:bottom w:val="single" w:sz="8" w:color="E4E4E4"/>
            </w:tcBorders>
            <w:shd w:val="clear" w:color="auto" w:fill="E4E4E4"/>
          </w:tcPr>
          <w:p>
            <w:pPr>
              <w:jc w:val="right"/>
              <w:ind w:right="282"/>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4,817</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4,484</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320" w:type="dxa"/>
            <w:vAlign w:val="bottom"/>
            <w:tcBorders>
              <w:bottom w:val="single" w:sz="8" w:color="E4E4E4"/>
            </w:tcBorders>
            <w:shd w:val="clear" w:color="auto" w:fill="E4E4E4"/>
          </w:tcPr>
          <w:p>
            <w:pPr>
              <w:spacing w:after="0"/>
              <w:rPr>
                <w:sz w:val="23"/>
                <w:szCs w:val="23"/>
                <w:color w:val="auto"/>
              </w:rPr>
            </w:pPr>
          </w:p>
        </w:tc>
        <w:tc>
          <w:tcPr>
            <w:tcW w:w="460" w:type="dxa"/>
            <w:vAlign w:val="bottom"/>
            <w:tcBorders>
              <w:bottom w:val="single" w:sz="8" w:color="E4E4E4"/>
            </w:tcBorders>
            <w:shd w:val="clear" w:color="auto" w:fill="E4E4E4"/>
          </w:tcPr>
          <w:p>
            <w:pPr>
              <w:spacing w:after="0"/>
              <w:rPr>
                <w:sz w:val="23"/>
                <w:szCs w:val="23"/>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E4E4E4"/>
            </w:tcBorders>
            <w:shd w:val="clear" w:color="auto" w:fill="E4E4E4"/>
          </w:tcPr>
          <w:p>
            <w:pPr>
              <w:spacing w:after="0"/>
              <w:rPr>
                <w:sz w:val="23"/>
                <w:szCs w:val="23"/>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9,524</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b w:val="1"/>
                <w:bCs w:val="1"/>
                <w:color w:val="auto"/>
                <w:w w:val="94"/>
              </w:rPr>
              <w:t>8,827</w:t>
            </w:r>
          </w:p>
        </w:tc>
        <w:tc>
          <w:tcPr>
            <w:tcW w:w="10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8%</w:t>
            </w:r>
          </w:p>
        </w:tc>
        <w:tc>
          <w:tcPr>
            <w:tcW w:w="520" w:type="dxa"/>
            <w:vAlign w:val="bottom"/>
            <w:tcBorders>
              <w:bottom w:val="single" w:sz="8" w:color="E4E4E4"/>
            </w:tcBorders>
            <w:shd w:val="clear" w:color="auto" w:fill="E4E4E4"/>
          </w:tcPr>
          <w:p>
            <w:pPr>
              <w:spacing w:after="0"/>
              <w:rPr>
                <w:sz w:val="23"/>
                <w:szCs w:val="23"/>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3"/>
                <w:szCs w:val="23"/>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right="380" w:hanging="332"/>
        <w:spacing w:after="0" w:line="29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97"/>
        </w:trPr>
        <w:tc>
          <w:tcPr>
            <w:tcW w:w="2960" w:type="dxa"/>
            <w:vAlign w:val="bottom"/>
          </w:tcPr>
          <w:p>
            <w:pPr>
              <w:spacing w:after="0"/>
              <w:rPr>
                <w:sz w:val="24"/>
                <w:szCs w:val="24"/>
                <w:color w:val="auto"/>
              </w:rPr>
            </w:pPr>
          </w:p>
        </w:tc>
        <w:tc>
          <w:tcPr>
            <w:tcW w:w="40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454545"/>
              </w:rPr>
              <w:t>For the three months ended June 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296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29"/>
        </w:trPr>
        <w:tc>
          <w:tcPr>
            <w:tcW w:w="2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80" w:type="dxa"/>
            <w:vAlign w:val="bottom"/>
          </w:tcPr>
          <w:p>
            <w:pPr>
              <w:spacing w:after="0"/>
              <w:rPr>
                <w:sz w:val="19"/>
                <w:szCs w:val="19"/>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2022</w:t>
            </w: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29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r>
      <w:tr>
        <w:trPr>
          <w:trHeight w:val="257"/>
        </w:trPr>
        <w:tc>
          <w:tcPr>
            <w:tcW w:w="2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USCAN</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2,139</w:t>
            </w:r>
          </w:p>
        </w:tc>
        <w:tc>
          <w:tcPr>
            <w:tcW w:w="94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99"/>
              </w:rPr>
              <w:t>2,027</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4,222</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3,970</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2960" w:type="dxa"/>
            <w:vAlign w:val="bottom"/>
          </w:tcPr>
          <w:p>
            <w:pPr>
              <w:ind w:left="80"/>
              <w:spacing w:after="0"/>
              <w:rPr>
                <w:sz w:val="20"/>
                <w:szCs w:val="20"/>
                <w:color w:val="auto"/>
              </w:rPr>
            </w:pPr>
            <w:r>
              <w:rPr>
                <w:rFonts w:ascii="Arial" w:cs="Arial" w:eastAsia="Arial" w:hAnsi="Arial"/>
                <w:sz w:val="16"/>
                <w:szCs w:val="16"/>
                <w:color w:val="auto"/>
              </w:rPr>
              <w:t>EMEA</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1,216</w:t>
            </w:r>
          </w:p>
        </w:tc>
        <w:tc>
          <w:tcPr>
            <w:tcW w:w="94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1,118</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2,384</w:t>
            </w: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2,210</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60"/>
        </w:trPr>
        <w:tc>
          <w:tcPr>
            <w:tcW w:w="2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63"/>
        </w:trPr>
        <w:tc>
          <w:tcPr>
            <w:tcW w:w="2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China region</w:t>
            </w:r>
          </w:p>
        </w:tc>
        <w:tc>
          <w:tcPr>
            <w:tcW w:w="92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714</w:t>
            </w:r>
          </w:p>
        </w:tc>
        <w:tc>
          <w:tcPr>
            <w:tcW w:w="94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636</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1,386</w:t>
            </w:r>
          </w:p>
        </w:tc>
        <w:tc>
          <w:tcPr>
            <w:tcW w:w="3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1,205</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96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748</w:t>
            </w:r>
          </w:p>
        </w:tc>
        <w:tc>
          <w:tcPr>
            <w:tcW w:w="94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703</w:t>
            </w: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1,532</w:t>
            </w: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1,442</w:t>
            </w: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46"/>
        </w:trPr>
        <w:tc>
          <w:tcPr>
            <w:tcW w:w="2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71"/>
        </w:trPr>
        <w:tc>
          <w:tcPr>
            <w:tcW w:w="2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4,817</w:t>
            </w:r>
          </w:p>
        </w:tc>
        <w:tc>
          <w:tcPr>
            <w:tcW w:w="94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99"/>
              </w:rPr>
              <w:t>4,484</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40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9,524</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8,827</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0"/>
        </w:trPr>
        <w:tc>
          <w:tcPr>
            <w:tcW w:w="2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89" w:right="339" w:bottom="2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237"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i w:val="1"/>
          <w:iCs w:val="1"/>
          <w:color w:val="231F20"/>
        </w:rPr>
        <w:t>For the three months ended June 30, 2023</w:t>
      </w:r>
    </w:p>
    <w:p>
      <w:pPr>
        <w:spacing w:after="0" w:line="25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Total revenues were $4,817 million for the three months ended June 30, 2023, growing 7% or $333 million as reported and 9% organically*. The reported growth was primarily due to Sales of products growing 11% or $310 million as reported, driven primarily by growth in Imaging, PDx, and PCS revenues.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480" w:hanging="328"/>
        <w:spacing w:after="0" w:line="26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Imaging segment revenues were $2,620 million for the three months ended June 30, 2023, growing 7% or $171 million as reported due to an increase in Organic revenue*, partially offset by unfavorable foreign currency impacts. Organic revenue* grew 9% primarily due to growth in Molecular Imaging and Computed Tomography (“MI/CT”) and Magnetic Resonance (“MR”) product lines, due to supply chain fulfillment improvements, stable demand in the past few quarters, new product introductions, and an increase in price;</w:t>
      </w:r>
    </w:p>
    <w:p>
      <w:pPr>
        <w:spacing w:after="0" w:line="60" w:lineRule="exact"/>
        <w:rPr>
          <w:rFonts w:ascii="Arial" w:cs="Arial" w:eastAsia="Arial" w:hAnsi="Arial"/>
          <w:sz w:val="16"/>
          <w:szCs w:val="16"/>
          <w:color w:val="auto"/>
        </w:rPr>
      </w:pPr>
    </w:p>
    <w:p>
      <w:pPr>
        <w:ind w:left="660" w:right="140" w:hanging="328"/>
        <w:spacing w:after="0" w:line="27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Ultrasound segment revenues were $839 million for the three months ended June 30, 2023, growing 1% or $11 million as reported due to an increase in Organic revenue*, partially offset by unfavorable foreign currency impacts. Organic revenue* grew 3% primarily due to revenue growth in Cardiovascular and Women's Health product lines due to new product introductions;</w:t>
      </w:r>
    </w:p>
    <w:p>
      <w:pPr>
        <w:spacing w:after="0" w:line="54" w:lineRule="exact"/>
        <w:rPr>
          <w:rFonts w:ascii="Arial" w:cs="Arial" w:eastAsia="Arial" w:hAnsi="Arial"/>
          <w:sz w:val="16"/>
          <w:szCs w:val="16"/>
          <w:color w:val="auto"/>
        </w:rPr>
      </w:pPr>
    </w:p>
    <w:p>
      <w:pPr>
        <w:ind w:left="660" w:right="120" w:hanging="328"/>
        <w:spacing w:after="0" w:line="27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PCS segment revenues were $770 million for the three months ended June 30, 2023, growing 8% or $57 million as reported due to an increase in Organic revenue*, partially offset by unfavorable foreign currency impacts. Organic revenue* grew 9% primarily due to growth in Monitoring Solutions and Anesthesia and Respiratory Care product lines due to an increase in price and supply chain fulfillment improvements; and</w:t>
      </w:r>
    </w:p>
    <w:p>
      <w:pPr>
        <w:spacing w:after="0" w:line="54" w:lineRule="exact"/>
        <w:rPr>
          <w:rFonts w:ascii="Arial" w:cs="Arial" w:eastAsia="Arial" w:hAnsi="Arial"/>
          <w:sz w:val="16"/>
          <w:szCs w:val="16"/>
          <w:color w:val="auto"/>
        </w:rPr>
      </w:pPr>
    </w:p>
    <w:p>
      <w:pPr>
        <w:ind w:left="660" w:right="60" w:hanging="328"/>
        <w:spacing w:after="0" w:line="27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PDx segment revenues were $568 million for the three months ended June 30, 2023, growing 19% or $90 million as reported due to an increase in Organic revenue*, partially offset by unfavorable foreign currency impacts. Organic revenue* grew 20%, with growth across all regions due to an increase in price and improving demand.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60" w:right="140" w:hanging="328"/>
        <w:spacing w:after="0" w:line="27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USCAN revenues were $2,139 million for the three months ended June 30, 2023, growing 6% or $112 million as reported due to growth across all segment revenues;</w:t>
      </w:r>
    </w:p>
    <w:p>
      <w:pPr>
        <w:spacing w:after="0" w:line="49" w:lineRule="exact"/>
        <w:rPr>
          <w:rFonts w:ascii="Arial" w:cs="Arial" w:eastAsia="Arial" w:hAnsi="Arial"/>
          <w:sz w:val="16"/>
          <w:szCs w:val="16"/>
          <w:color w:val="auto"/>
        </w:rPr>
      </w:pPr>
    </w:p>
    <w:p>
      <w:pPr>
        <w:ind w:left="660" w:right="280" w:hanging="328"/>
        <w:spacing w:after="0" w:line="27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EMEA revenues were $1,216 million for the three months ended June 30, 2023, growing 9% or $98 million as reported due to growth in Imaging and PDx revenues;</w:t>
      </w:r>
    </w:p>
    <w:p>
      <w:pPr>
        <w:spacing w:after="0" w:line="49" w:lineRule="exact"/>
        <w:rPr>
          <w:rFonts w:ascii="Arial" w:cs="Arial" w:eastAsia="Arial" w:hAnsi="Arial"/>
          <w:sz w:val="16"/>
          <w:szCs w:val="16"/>
          <w:color w:val="auto"/>
        </w:rPr>
      </w:pPr>
    </w:p>
    <w:p>
      <w:pPr>
        <w:ind w:left="660" w:right="120" w:hanging="328"/>
        <w:spacing w:after="0" w:line="29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China region revenues were $714 million for the three months ended June 30, 2023, growing 12% or $78 million as reported due to growth across all segment revenues, partially offset by unfavorable foreign currency impacts; and</w:t>
      </w:r>
    </w:p>
    <w:p>
      <w:pPr>
        <w:spacing w:after="0" w:line="36" w:lineRule="exact"/>
        <w:rPr>
          <w:rFonts w:ascii="Arial" w:cs="Arial" w:eastAsia="Arial" w:hAnsi="Arial"/>
          <w:sz w:val="16"/>
          <w:szCs w:val="16"/>
          <w:color w:val="auto"/>
        </w:rPr>
      </w:pPr>
    </w:p>
    <w:p>
      <w:pPr>
        <w:ind w:left="660" w:right="140" w:hanging="328"/>
        <w:spacing w:after="0" w:line="27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 of World revenues were $748 million for the three months ended June 30, 2023, growing 6% or $45 million as reported due to growth in PDx and Imaging revenues, partially offset by unfavorable foreign currency impacts.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six months ended June 30, 2023</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Total revenues were $9,524 for the </w:t>
      </w:r>
      <w:r>
        <w:rPr>
          <w:rFonts w:ascii="Arial" w:cs="Arial" w:eastAsia="Arial" w:hAnsi="Arial"/>
          <w:sz w:val="16"/>
          <w:szCs w:val="16"/>
          <w:color w:val="231F20"/>
        </w:rPr>
        <w:t>six months ended June 30, 2023, growing 8% or $697 million as reported and 11% organically*. The reported growth was</w:t>
      </w:r>
      <w:r>
        <w:rPr>
          <w:rFonts w:ascii="Arial" w:cs="Arial" w:eastAsia="Arial" w:hAnsi="Arial"/>
          <w:sz w:val="16"/>
          <w:szCs w:val="16"/>
          <w:color w:val="auto"/>
        </w:rPr>
        <w:t xml:space="preserve"> </w:t>
      </w:r>
      <w:r>
        <w:rPr>
          <w:rFonts w:ascii="Arial" w:cs="Arial" w:eastAsia="Arial" w:hAnsi="Arial"/>
          <w:sz w:val="16"/>
          <w:szCs w:val="16"/>
          <w:color w:val="231F20"/>
        </w:rPr>
        <w:t>primarily due to Sales of products growing 11% or $654 million as reported with growth across all segment revenues.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60" w:right="20" w:hanging="328"/>
        <w:spacing w:after="0" w:line="268" w:lineRule="auto"/>
        <w:tabs>
          <w:tab w:leader="none" w:pos="66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 xml:space="preserve">Imaging segment revenues were $5,116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7% or $356 million as reported due to an increase in Organic revenue*, partially offset by unfavorable foreign currency impacts. Organic revenue* grew 11% primarily due to growth in MI/CT and MR product lines, due to supply chain fulfillment improvements, stable demand in the past few quarters, new product introductions, and an increase in price;</w:t>
      </w:r>
    </w:p>
    <w:p>
      <w:pPr>
        <w:spacing w:after="0" w:line="55" w:lineRule="exact"/>
        <w:rPr>
          <w:rFonts w:ascii="Arial" w:cs="Arial" w:eastAsia="Arial" w:hAnsi="Arial"/>
          <w:sz w:val="16"/>
          <w:szCs w:val="16"/>
          <w:color w:val="231F20"/>
        </w:rPr>
      </w:pPr>
    </w:p>
    <w:p>
      <w:pPr>
        <w:jc w:val="both"/>
        <w:ind w:left="660" w:right="540" w:hanging="328"/>
        <w:spacing w:after="0" w:line="261" w:lineRule="auto"/>
        <w:tabs>
          <w:tab w:leader="none" w:pos="66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 xml:space="preserve">Ultrasound segment revenues were $1,698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3% or $55 million as reported due to an increase in Organic revenue*, partially offset by unfavorable foreign currency impacts. Organic revenue* grew 7% primarily due to growth in Cardiovascular and Women's Health product lines due to new product introductions and supply chain fulfillment improvements;</w:t>
      </w:r>
    </w:p>
    <w:p>
      <w:pPr>
        <w:spacing w:after="0" w:line="61" w:lineRule="exact"/>
        <w:rPr>
          <w:rFonts w:ascii="Arial" w:cs="Arial" w:eastAsia="Arial" w:hAnsi="Arial"/>
          <w:sz w:val="16"/>
          <w:szCs w:val="16"/>
          <w:color w:val="231F20"/>
        </w:rPr>
      </w:pPr>
    </w:p>
    <w:p>
      <w:pPr>
        <w:ind w:left="660" w:right="80" w:hanging="328"/>
        <w:spacing w:after="0" w:line="270" w:lineRule="auto"/>
        <w:tabs>
          <w:tab w:leader="none" w:pos="66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 xml:space="preserve">PCS segment revenues were $1,551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9% or $122 million as reported due to an increase in Organic revenue*, partially offset by unfavorable foreign currency impacts. Organic revenue* grew 10% with growth across all product lines driven by an increase in price and supply chain fulfillment improvements; and</w:t>
      </w:r>
    </w:p>
    <w:p>
      <w:pPr>
        <w:spacing w:after="0" w:line="54" w:lineRule="exact"/>
        <w:rPr>
          <w:rFonts w:ascii="Arial" w:cs="Arial" w:eastAsia="Arial" w:hAnsi="Arial"/>
          <w:sz w:val="16"/>
          <w:szCs w:val="16"/>
          <w:color w:val="231F20"/>
        </w:rPr>
      </w:pPr>
    </w:p>
    <w:p>
      <w:pPr>
        <w:ind w:left="660" w:right="20" w:hanging="328"/>
        <w:spacing w:after="0" w:line="263" w:lineRule="auto"/>
        <w:tabs>
          <w:tab w:leader="none" w:pos="66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 xml:space="preserve">PDx segment revenues were $1,126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17% or $164 million as reported due to an increase in Organic revenue*, partially offset by unfavorable foreign currency impacts. Organic revenue* grew 20%, with growth across all regions due to</w:t>
      </w:r>
    </w:p>
    <w:p>
      <w:pPr>
        <w:ind w:left="660"/>
        <w:spacing w:after="0" w:line="236" w:lineRule="auto"/>
        <w:rPr>
          <w:sz w:val="20"/>
          <w:szCs w:val="20"/>
          <w:color w:val="auto"/>
        </w:rPr>
      </w:pPr>
      <w:r>
        <w:rPr>
          <w:rFonts w:ascii="Arial" w:cs="Arial" w:eastAsia="Arial" w:hAnsi="Arial"/>
          <w:sz w:val="16"/>
          <w:szCs w:val="16"/>
          <w:color w:val="auto"/>
        </w:rPr>
        <w:t>improving demand and an increase in price.</w:t>
      </w:r>
    </w:p>
    <w:p>
      <w:pPr>
        <w:spacing w:after="0"/>
        <w:rPr>
          <w:sz w:val="20"/>
          <w:szCs w:val="20"/>
          <w:color w:val="auto"/>
        </w:rPr>
      </w:pPr>
      <w:r>
        <w:rPr>
          <w:rFonts w:ascii="Arial" w:cs="Arial" w:eastAsia="Arial" w:hAnsi="Arial"/>
          <w:sz w:val="13"/>
          <w:szCs w:val="13"/>
          <w:color w:val="auto"/>
        </w:rPr>
        <w:t>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60" w:right="320" w:hanging="328"/>
        <w:spacing w:after="0" w:line="293" w:lineRule="auto"/>
        <w:tabs>
          <w:tab w:leader="none" w:pos="66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 xml:space="preserve">USCAN revenues were $4,222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6% or $252 million as reported due to growth across all segment revenues;</w:t>
      </w:r>
    </w:p>
    <w:p>
      <w:pPr>
        <w:spacing w:after="0" w:line="36" w:lineRule="exact"/>
        <w:rPr>
          <w:rFonts w:ascii="Arial" w:cs="Arial" w:eastAsia="Arial" w:hAnsi="Arial"/>
          <w:sz w:val="16"/>
          <w:szCs w:val="16"/>
          <w:color w:val="231F20"/>
        </w:rPr>
      </w:pPr>
    </w:p>
    <w:p>
      <w:pPr>
        <w:ind w:left="660" w:right="60" w:hanging="328"/>
        <w:spacing w:after="0" w:line="276" w:lineRule="auto"/>
        <w:tabs>
          <w:tab w:leader="none" w:pos="66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 xml:space="preserve">EMEA revenues were $2,384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8% or $174 million as reported due to growth in Imaging and PDx revenues, partially offset by unfavorable foreign currency impacts;</w:t>
      </w:r>
    </w:p>
    <w:p>
      <w:pPr>
        <w:spacing w:after="0" w:line="49" w:lineRule="exact"/>
        <w:rPr>
          <w:rFonts w:ascii="Arial" w:cs="Arial" w:eastAsia="Arial" w:hAnsi="Arial"/>
          <w:sz w:val="16"/>
          <w:szCs w:val="16"/>
          <w:color w:val="231F20"/>
        </w:rPr>
      </w:pPr>
    </w:p>
    <w:p>
      <w:pPr>
        <w:ind w:left="660" w:right="80" w:hanging="328"/>
        <w:spacing w:after="0" w:line="276" w:lineRule="auto"/>
        <w:tabs>
          <w:tab w:leader="none" w:pos="66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 xml:space="preserve">China region revenues were $1,386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15% or $181 million as reported due to growth across all segment revenues, partially offset by unfavorable foreign currency impacts; and</w:t>
      </w:r>
    </w:p>
    <w:p>
      <w:pPr>
        <w:spacing w:after="0" w:line="62" w:lineRule="exact"/>
        <w:rPr>
          <w:rFonts w:ascii="Arial" w:cs="Arial" w:eastAsia="Arial" w:hAnsi="Arial"/>
          <w:sz w:val="16"/>
          <w:szCs w:val="16"/>
          <w:color w:val="231F20"/>
        </w:rPr>
      </w:pPr>
    </w:p>
    <w:p>
      <w:pPr>
        <w:ind w:left="660" w:right="560" w:hanging="328"/>
        <w:spacing w:after="0" w:line="276" w:lineRule="auto"/>
        <w:tabs>
          <w:tab w:leader="none" w:pos="66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 xml:space="preserve">Rest of World revenues were $1,532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growing 6% or $90 million as reported due to growth in Imaging and PDx revenues, partially offset by unfavorable foreign currency impacts.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5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jc w:val="right"/>
              <w:ind w:right="1199"/>
              <w:spacing w:after="0"/>
              <w:rPr>
                <w:sz w:val="20"/>
                <w:szCs w:val="20"/>
                <w:color w:val="auto"/>
              </w:rPr>
            </w:pPr>
            <w:r>
              <w:rPr>
                <w:rFonts w:ascii="Arial" w:cs="Arial" w:eastAsia="Arial" w:hAnsi="Arial"/>
                <w:sz w:val="16"/>
                <w:szCs w:val="16"/>
                <w:b w:val="1"/>
                <w:bCs w:val="1"/>
                <w:color w:val="454545"/>
              </w:rPr>
              <w:t>As of</w:t>
            </w:r>
          </w:p>
        </w:tc>
        <w:tc>
          <w:tcPr>
            <w:tcW w:w="1480" w:type="dxa"/>
            <w:vAlign w:val="bottom"/>
          </w:tcPr>
          <w:p>
            <w:pPr>
              <w:spacing w:after="0"/>
              <w:rPr>
                <w:sz w:val="22"/>
                <w:szCs w:val="22"/>
                <w:color w:val="auto"/>
              </w:rPr>
            </w:pPr>
          </w:p>
        </w:tc>
      </w:tr>
      <w:tr>
        <w:trPr>
          <w:trHeight w:val="21"/>
        </w:trPr>
        <w:tc>
          <w:tcPr>
            <w:tcW w:w="534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454545"/>
              </w:rPr>
              <w:t>June 30, 2023</w:t>
            </w:r>
          </w:p>
        </w:tc>
        <w:tc>
          <w:tcPr>
            <w:tcW w:w="240" w:type="dxa"/>
            <w:vAlign w:val="bottom"/>
          </w:tcPr>
          <w:p>
            <w:pPr>
              <w:spacing w:after="0"/>
              <w:rPr>
                <w:sz w:val="19"/>
                <w:szCs w:val="19"/>
                <w:color w:val="auto"/>
              </w:rPr>
            </w:pPr>
          </w:p>
        </w:tc>
        <w:tc>
          <w:tcPr>
            <w:tcW w:w="2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December 31, 2022</w:t>
            </w:r>
          </w:p>
        </w:tc>
        <w:tc>
          <w:tcPr>
            <w:tcW w:w="1480" w:type="dxa"/>
            <w:vAlign w:val="bottom"/>
          </w:tcPr>
          <w:p>
            <w:pPr>
              <w:ind w:left="260"/>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7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70"/>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Products</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4,992</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4,992</w:t>
            </w:r>
          </w:p>
        </w:tc>
        <w:tc>
          <w:tcPr>
            <w:tcW w:w="1480" w:type="dxa"/>
            <w:vAlign w:val="bottom"/>
            <w:tcBorders>
              <w:bottom w:val="single" w:sz="8" w:color="E4E4E4"/>
            </w:tcBorders>
            <w:shd w:val="clear" w:color="auto" w:fill="E4E4E4"/>
          </w:tcPr>
          <w:p>
            <w:pPr>
              <w:ind w:left="1100"/>
              <w:spacing w:after="0"/>
              <w:rPr>
                <w:sz w:val="20"/>
                <w:szCs w:val="20"/>
                <w:color w:val="auto"/>
              </w:rPr>
            </w:pPr>
            <w:r>
              <w:rPr>
                <w:rFonts w:ascii="Arial" w:cs="Arial" w:eastAsia="Arial" w:hAnsi="Arial"/>
                <w:sz w:val="16"/>
                <w:szCs w:val="16"/>
                <w:color w:val="auto"/>
              </w:rPr>
              <w:t>—%</w:t>
            </w:r>
          </w:p>
        </w:tc>
      </w:tr>
      <w:tr>
        <w:trPr>
          <w:trHeight w:val="251"/>
        </w:trPr>
        <w:tc>
          <w:tcPr>
            <w:tcW w:w="5340" w:type="dxa"/>
            <w:vAlign w:val="bottom"/>
          </w:tcPr>
          <w:p>
            <w:pPr>
              <w:ind w:left="80"/>
              <w:spacing w:after="0"/>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9,317</w:t>
            </w:r>
          </w:p>
        </w:tc>
        <w:tc>
          <w:tcPr>
            <w:tcW w:w="240" w:type="dxa"/>
            <w:vAlign w:val="bottom"/>
          </w:tcPr>
          <w:p>
            <w:pPr>
              <w:spacing w:after="0"/>
              <w:rPr>
                <w:sz w:val="21"/>
                <w:szCs w:val="21"/>
                <w:color w:val="auto"/>
              </w:rPr>
            </w:pPr>
          </w:p>
        </w:tc>
        <w:tc>
          <w:tcPr>
            <w:tcW w:w="2100" w:type="dxa"/>
            <w:vAlign w:val="bottom"/>
          </w:tcPr>
          <w:p>
            <w:pPr>
              <w:jc w:val="right"/>
              <w:ind w:right="179"/>
              <w:spacing w:after="0"/>
              <w:rPr>
                <w:sz w:val="20"/>
                <w:szCs w:val="20"/>
                <w:color w:val="auto"/>
              </w:rPr>
            </w:pPr>
            <w:r>
              <w:rPr>
                <w:rFonts w:ascii="Arial" w:cs="Arial" w:eastAsia="Arial" w:hAnsi="Arial"/>
                <w:sz w:val="16"/>
                <w:szCs w:val="16"/>
                <w:color w:val="auto"/>
              </w:rPr>
              <w:t>9,351</w:t>
            </w:r>
          </w:p>
        </w:tc>
        <w:tc>
          <w:tcPr>
            <w:tcW w:w="148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33"/>
        </w:trPr>
        <w:tc>
          <w:tcPr>
            <w:tcW w:w="5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0"/>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RPO</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14,309</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14,343</w:t>
            </w:r>
          </w:p>
        </w:tc>
        <w:tc>
          <w:tcPr>
            <w:tcW w:w="1480" w:type="dxa"/>
            <w:vAlign w:val="bottom"/>
            <w:tcBorders>
              <w:bottom w:val="single" w:sz="8" w:color="E4E4E4"/>
            </w:tcBorders>
            <w:shd w:val="clear" w:color="auto" w:fill="E4E4E4"/>
          </w:tcPr>
          <w:p>
            <w:pPr>
              <w:ind w:left="1100"/>
              <w:spacing w:after="0"/>
              <w:rPr>
                <w:sz w:val="20"/>
                <w:szCs w:val="20"/>
                <w:color w:val="auto"/>
              </w:rPr>
            </w:pPr>
            <w:r>
              <w:rPr>
                <w:rFonts w:ascii="Arial" w:cs="Arial" w:eastAsia="Arial" w:hAnsi="Arial"/>
                <w:sz w:val="16"/>
                <w:szCs w:val="16"/>
                <w:b w:val="1"/>
                <w:bCs w:val="1"/>
                <w:color w:val="auto"/>
              </w:rPr>
              <w:t>—%</w:t>
            </w:r>
          </w:p>
        </w:tc>
      </w:tr>
      <w:tr>
        <w:trPr>
          <w:trHeight w:val="20"/>
        </w:trPr>
        <w:tc>
          <w:tcPr>
            <w:tcW w:w="5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27" w:lineRule="exact"/>
        <w:rPr>
          <w:sz w:val="20"/>
          <w:szCs w:val="20"/>
          <w:color w:val="auto"/>
        </w:rPr>
      </w:pPr>
    </w:p>
    <w:p>
      <w:pPr>
        <w:jc w:val="both"/>
        <w:ind w:right="300"/>
        <w:spacing w:after="0" w:line="278"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June 30, 2023 was flat to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302"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80" w:type="dxa"/>
            <w:vAlign w:val="bottom"/>
            <w:gridSpan w:val="4"/>
          </w:tcPr>
          <w:p>
            <w:pPr>
              <w:ind w:left="600"/>
              <w:spacing w:after="0"/>
              <w:rPr>
                <w:sz w:val="20"/>
                <w:szCs w:val="20"/>
                <w:color w:val="auto"/>
              </w:rPr>
            </w:pPr>
            <w:r>
              <w:rPr>
                <w:rFonts w:ascii="Arial" w:cs="Arial" w:eastAsia="Arial" w:hAnsi="Arial"/>
                <w:sz w:val="16"/>
                <w:szCs w:val="16"/>
                <w:b w:val="1"/>
                <w:bCs w:val="1"/>
                <w:color w:val="454545"/>
              </w:rPr>
              <w:t>For the three months ended June 30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6"/>
                <w:szCs w:val="16"/>
                <w:b w:val="1"/>
                <w:bCs w:val="1"/>
                <w:color w:val="454545"/>
              </w:rPr>
              <w:t>For the six months ended June 30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 of Total</w:t>
            </w:r>
          </w:p>
        </w:tc>
        <w:tc>
          <w:tcPr>
            <w:tcW w:w="7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454545"/>
                <w:w w:val="99"/>
              </w:rPr>
              <w:t>% of Total</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454545"/>
              </w:rPr>
              <w:t>% of Total</w:t>
            </w:r>
          </w:p>
        </w:tc>
        <w:tc>
          <w:tcPr>
            <w:tcW w:w="7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454545"/>
                <w:w w:val="99"/>
              </w:rPr>
              <w:t>% of Total</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0" w:type="dxa"/>
            <w:vAlign w:val="bottom"/>
          </w:tcPr>
          <w:p>
            <w:pPr>
              <w:spacing w:after="0"/>
              <w:rPr>
                <w:sz w:val="1"/>
                <w:szCs w:val="1"/>
                <w:color w:val="auto"/>
              </w:rPr>
            </w:pPr>
          </w:p>
        </w:tc>
      </w:tr>
      <w:tr>
        <w:trPr>
          <w:trHeight w:val="227"/>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454545"/>
                <w:w w:val="99"/>
              </w:rPr>
              <w:t>revenues</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2022</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454545"/>
                <w:w w:val="99"/>
              </w:rPr>
              <w:t>revenues</w:t>
            </w:r>
          </w:p>
        </w:tc>
        <w:tc>
          <w:tcPr>
            <w:tcW w:w="10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454545"/>
              </w:rPr>
              <w:t>change</w:t>
            </w: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revenues</w:t>
            </w: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2022</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454545"/>
              </w:rPr>
              <w:t>revenues</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22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2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570</w:t>
            </w:r>
          </w:p>
        </w:tc>
        <w:tc>
          <w:tcPr>
            <w:tcW w:w="11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11.8%   $</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631</w:t>
            </w:r>
          </w:p>
        </w:tc>
        <w:tc>
          <w:tcPr>
            <w:tcW w:w="90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14.1%</w:t>
            </w:r>
          </w:p>
        </w:tc>
        <w:tc>
          <w:tcPr>
            <w:tcW w:w="1000" w:type="dxa"/>
            <w:vAlign w:val="bottom"/>
            <w:tcBorders>
              <w:bottom w:val="single" w:sz="8" w:color="E4E4E4"/>
            </w:tcBorders>
            <w:gridSpan w:val="3"/>
            <w:shd w:val="clear" w:color="auto" w:fill="E4E4E4"/>
          </w:tcPr>
          <w:p>
            <w:pPr>
              <w:jc w:val="right"/>
              <w:ind w:right="100"/>
              <w:spacing w:after="0"/>
              <w:rPr>
                <w:sz w:val="20"/>
                <w:szCs w:val="20"/>
                <w:color w:val="auto"/>
              </w:rPr>
            </w:pPr>
            <w:r>
              <w:rPr>
                <w:rFonts w:ascii="Arial" w:cs="Arial" w:eastAsia="Arial" w:hAnsi="Arial"/>
                <w:sz w:val="16"/>
                <w:szCs w:val="16"/>
                <w:color w:val="auto"/>
              </w:rPr>
              <w:t>(10)%  $</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1,129</w:t>
            </w:r>
          </w:p>
        </w:tc>
        <w:tc>
          <w:tcPr>
            <w:tcW w:w="11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11.9%   $</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1,140</w:t>
            </w:r>
          </w:p>
        </w:tc>
        <w:tc>
          <w:tcPr>
            <w:tcW w:w="8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12.9%</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280" w:type="dxa"/>
            <w:vAlign w:val="bottom"/>
          </w:tcPr>
          <w:p>
            <w:pPr>
              <w:ind w:left="80"/>
              <w:spacing w:after="0"/>
              <w:rPr>
                <w:sz w:val="20"/>
                <w:szCs w:val="20"/>
                <w:color w:val="auto"/>
              </w:rPr>
            </w:pPr>
            <w:r>
              <w:rPr>
                <w:rFonts w:ascii="Arial" w:cs="Arial" w:eastAsia="Arial" w:hAnsi="Arial"/>
                <w:sz w:val="16"/>
                <w:szCs w:val="16"/>
                <w:color w:val="auto"/>
              </w:rPr>
              <w:t>Net income attributable to GE</w:t>
            </w:r>
          </w:p>
        </w:tc>
        <w:tc>
          <w:tcPr>
            <w:tcW w:w="20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1100" w:type="dxa"/>
            <w:vAlign w:val="bottom"/>
            <w:vMerge w:val="restart"/>
          </w:tcPr>
          <w:p>
            <w:pPr>
              <w:jc w:val="center"/>
              <w:ind w:right="119"/>
              <w:spacing w:after="0"/>
              <w:rPr>
                <w:sz w:val="20"/>
                <w:szCs w:val="20"/>
                <w:color w:val="auto"/>
              </w:rPr>
            </w:pPr>
            <w:r>
              <w:rPr>
                <w:rFonts w:ascii="Arial" w:cs="Arial" w:eastAsia="Arial" w:hAnsi="Arial"/>
                <w:sz w:val="16"/>
                <w:szCs w:val="16"/>
                <w:color w:val="auto"/>
              </w:rPr>
              <w:t>8.7%</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485</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rPr>
              <w:t>10.8%</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1160" w:type="dxa"/>
            <w:vAlign w:val="bottom"/>
            <w:vMerge w:val="restart"/>
          </w:tcPr>
          <w:p>
            <w:pPr>
              <w:jc w:val="center"/>
              <w:ind w:right="59"/>
              <w:spacing w:after="0"/>
              <w:rPr>
                <w:sz w:val="20"/>
                <w:szCs w:val="20"/>
                <w:color w:val="auto"/>
              </w:rPr>
            </w:pPr>
            <w:r>
              <w:rPr>
                <w:rFonts w:ascii="Arial" w:cs="Arial" w:eastAsia="Arial" w:hAnsi="Arial"/>
                <w:sz w:val="16"/>
                <w:szCs w:val="16"/>
                <w:color w:val="auto"/>
              </w:rPr>
              <w:t>8.3%</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874</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8"/>
              </w:rPr>
              <w:t>9.9%</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12"/>
        </w:trPr>
        <w:tc>
          <w:tcPr>
            <w:tcW w:w="2280" w:type="dxa"/>
            <w:vAlign w:val="bottom"/>
            <w:vMerge w:val="restart"/>
          </w:tcPr>
          <w:p>
            <w:pPr>
              <w:ind w:left="28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Adjusted EBIT*</w:t>
            </w:r>
          </w:p>
        </w:tc>
        <w:tc>
          <w:tcPr>
            <w:tcW w:w="20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711</w:t>
            </w:r>
          </w:p>
        </w:tc>
        <w:tc>
          <w:tcPr>
            <w:tcW w:w="1100" w:type="dxa"/>
            <w:vAlign w:val="bottom"/>
            <w:tcBorders>
              <w:bottom w:val="single" w:sz="8" w:color="E4E4E4"/>
            </w:tcBorders>
            <w:shd w:val="clear" w:color="auto" w:fill="E4E4E4"/>
          </w:tcPr>
          <w:p>
            <w:pPr>
              <w:jc w:val="center"/>
              <w:ind w:right="119"/>
              <w:spacing w:after="0"/>
              <w:rPr>
                <w:sz w:val="20"/>
                <w:szCs w:val="20"/>
                <w:color w:val="auto"/>
              </w:rPr>
            </w:pPr>
            <w:r>
              <w:rPr>
                <w:rFonts w:ascii="Arial" w:cs="Arial" w:eastAsia="Arial" w:hAnsi="Arial"/>
                <w:sz w:val="16"/>
                <w:szCs w:val="16"/>
                <w:color w:val="auto"/>
              </w:rPr>
              <w:t>14.8%</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719</w:t>
            </w:r>
          </w:p>
        </w:tc>
        <w:tc>
          <w:tcPr>
            <w:tcW w:w="90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16.0%</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1,375</w:t>
            </w:r>
          </w:p>
        </w:tc>
        <w:tc>
          <w:tcPr>
            <w:tcW w:w="1160" w:type="dxa"/>
            <w:vAlign w:val="bottom"/>
            <w:tcBorders>
              <w:bottom w:val="single" w:sz="8" w:color="E4E4E4"/>
            </w:tcBorders>
            <w:shd w:val="clear" w:color="auto" w:fill="E4E4E4"/>
          </w:tcPr>
          <w:p>
            <w:pPr>
              <w:jc w:val="center"/>
              <w:ind w:right="59"/>
              <w:spacing w:after="0"/>
              <w:rPr>
                <w:sz w:val="20"/>
                <w:szCs w:val="20"/>
                <w:color w:val="auto"/>
              </w:rPr>
            </w:pPr>
            <w:r>
              <w:rPr>
                <w:rFonts w:ascii="Arial" w:cs="Arial" w:eastAsia="Arial" w:hAnsi="Arial"/>
                <w:sz w:val="16"/>
                <w:szCs w:val="16"/>
                <w:color w:val="auto"/>
              </w:rPr>
              <w:t>14.4%</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1,318</w:t>
            </w:r>
          </w:p>
        </w:tc>
        <w:tc>
          <w:tcPr>
            <w:tcW w:w="8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14.9%</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228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419</w:t>
            </w:r>
          </w:p>
        </w:tc>
        <w:tc>
          <w:tcPr>
            <w:tcW w:w="1100" w:type="dxa"/>
            <w:vAlign w:val="bottom"/>
          </w:tcPr>
          <w:p>
            <w:pPr>
              <w:jc w:val="center"/>
              <w:ind w:right="119"/>
              <w:spacing w:after="0"/>
              <w:rPr>
                <w:sz w:val="20"/>
                <w:szCs w:val="20"/>
                <w:color w:val="auto"/>
              </w:rPr>
            </w:pPr>
            <w:r>
              <w:rPr>
                <w:rFonts w:ascii="Arial" w:cs="Arial" w:eastAsia="Arial" w:hAnsi="Arial"/>
                <w:sz w:val="16"/>
                <w:szCs w:val="16"/>
                <w:color w:val="auto"/>
              </w:rPr>
              <w:t>8.7%</w:t>
            </w:r>
          </w:p>
        </w:tc>
        <w:tc>
          <w:tcPr>
            <w:tcW w:w="740" w:type="dxa"/>
            <w:vAlign w:val="bottom"/>
          </w:tcPr>
          <w:p>
            <w:pPr>
              <w:jc w:val="right"/>
              <w:spacing w:after="0"/>
              <w:rPr>
                <w:sz w:val="20"/>
                <w:szCs w:val="20"/>
                <w:color w:val="auto"/>
              </w:rPr>
            </w:pPr>
            <w:r>
              <w:rPr>
                <w:rFonts w:ascii="Arial" w:cs="Arial" w:eastAsia="Arial" w:hAnsi="Arial"/>
                <w:sz w:val="16"/>
                <w:szCs w:val="16"/>
                <w:color w:val="auto"/>
              </w:rPr>
              <w:t>524</w:t>
            </w:r>
          </w:p>
        </w:tc>
        <w:tc>
          <w:tcPr>
            <w:tcW w:w="900" w:type="dxa"/>
            <w:vAlign w:val="bottom"/>
          </w:tcPr>
          <w:p>
            <w:pPr>
              <w:jc w:val="center"/>
              <w:spacing w:after="0"/>
              <w:rPr>
                <w:sz w:val="20"/>
                <w:szCs w:val="20"/>
                <w:color w:val="auto"/>
              </w:rPr>
            </w:pPr>
            <w:r>
              <w:rPr>
                <w:rFonts w:ascii="Arial" w:cs="Arial" w:eastAsia="Arial" w:hAnsi="Arial"/>
                <w:sz w:val="16"/>
                <w:szCs w:val="16"/>
                <w:color w:val="auto"/>
              </w:rPr>
              <w:t>11.7%</w:t>
            </w: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807</w:t>
            </w:r>
          </w:p>
        </w:tc>
        <w:tc>
          <w:tcPr>
            <w:tcW w:w="1160" w:type="dxa"/>
            <w:vAlign w:val="bottom"/>
          </w:tcPr>
          <w:p>
            <w:pPr>
              <w:jc w:val="center"/>
              <w:ind w:right="59"/>
              <w:spacing w:after="0"/>
              <w:rPr>
                <w:sz w:val="20"/>
                <w:szCs w:val="20"/>
                <w:color w:val="auto"/>
              </w:rPr>
            </w:pPr>
            <w:r>
              <w:rPr>
                <w:rFonts w:ascii="Arial" w:cs="Arial" w:eastAsia="Arial" w:hAnsi="Arial"/>
                <w:sz w:val="16"/>
                <w:szCs w:val="16"/>
                <w:color w:val="auto"/>
              </w:rPr>
              <w:t>8.5%</w:t>
            </w:r>
          </w:p>
        </w:tc>
        <w:tc>
          <w:tcPr>
            <w:tcW w:w="760" w:type="dxa"/>
            <w:vAlign w:val="bottom"/>
          </w:tcPr>
          <w:p>
            <w:pPr>
              <w:jc w:val="right"/>
              <w:spacing w:after="0"/>
              <w:rPr>
                <w:sz w:val="20"/>
                <w:szCs w:val="20"/>
                <w:color w:val="auto"/>
              </w:rPr>
            </w:pPr>
            <w:r>
              <w:rPr>
                <w:rFonts w:ascii="Arial" w:cs="Arial" w:eastAsia="Arial" w:hAnsi="Arial"/>
                <w:sz w:val="16"/>
                <w:szCs w:val="16"/>
                <w:color w:val="auto"/>
              </w:rPr>
              <w:t>961</w:t>
            </w:r>
          </w:p>
        </w:tc>
        <w:tc>
          <w:tcPr>
            <w:tcW w:w="880" w:type="dxa"/>
            <w:vAlign w:val="bottom"/>
          </w:tcPr>
          <w:p>
            <w:pPr>
              <w:jc w:val="center"/>
              <w:spacing w:after="0"/>
              <w:rPr>
                <w:sz w:val="20"/>
                <w:szCs w:val="20"/>
                <w:color w:val="auto"/>
              </w:rPr>
            </w:pPr>
            <w:r>
              <w:rPr>
                <w:rFonts w:ascii="Arial" w:cs="Arial" w:eastAsia="Arial" w:hAnsi="Arial"/>
                <w:sz w:val="16"/>
                <w:szCs w:val="16"/>
                <w:color w:val="auto"/>
              </w:rPr>
              <w:t>10.9%</w:t>
            </w: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June 30, 2023</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Operating income was $570 million for the </w:t>
      </w:r>
      <w:r>
        <w:rPr>
          <w:rFonts w:ascii="Arial" w:cs="Arial" w:eastAsia="Arial" w:hAnsi="Arial"/>
          <w:sz w:val="16"/>
          <w:szCs w:val="16"/>
          <w:color w:val="231F20"/>
        </w:rPr>
        <w:t>three months ended</w:t>
      </w:r>
      <w:r>
        <w:rPr>
          <w:rFonts w:ascii="Arial" w:cs="Arial" w:eastAsia="Arial" w:hAnsi="Arial"/>
          <w:sz w:val="16"/>
          <w:szCs w:val="16"/>
          <w:color w:val="auto"/>
        </w:rPr>
        <w:t xml:space="preserve"> June 30, 2023, a decrease of $61 million or 230 basis points as a percent of Total revenues.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decrease as a percent of Total revenues was due to the following factors:</w:t>
      </w:r>
    </w:p>
    <w:p>
      <w:pPr>
        <w:spacing w:after="0" w:line="250" w:lineRule="exact"/>
        <w:rPr>
          <w:sz w:val="20"/>
          <w:szCs w:val="20"/>
          <w:color w:val="auto"/>
        </w:rPr>
      </w:pPr>
    </w:p>
    <w:p>
      <w:pPr>
        <w:ind w:left="660" w:right="60" w:hanging="328"/>
        <w:spacing w:after="0" w:line="25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of products sold increased $169 million but decreased 110 basis points as a percent of Sales of products. The decrease as a percent of sales was driven by an increase in pricing of our products and cost productivity, partially offset by continued cost inflation. Cost of services sold increased $20 million or 50 basis points as a percent of Sales of services. The increase as a percent of sales was driven by cost inflation, partially offset by cost productivity and an increase in pricing of our service offerings. Included in our total cost of revenue for the three months ended June 30, 2023, as part of our product investment, was $110 million in engineering costs for design follow-through on new product introductions and product lifecycle maintenance subsequent to the initial product launch, compared to $109 million for the three months ended June 30, 2022; and</w:t>
      </w:r>
    </w:p>
    <w:p>
      <w:pPr>
        <w:spacing w:after="0" w:line="64" w:lineRule="exact"/>
        <w:rPr>
          <w:rFonts w:ascii="Arial" w:cs="Arial" w:eastAsia="Arial" w:hAnsi="Arial"/>
          <w:sz w:val="16"/>
          <w:szCs w:val="16"/>
          <w:color w:val="auto"/>
        </w:rPr>
      </w:pPr>
    </w:p>
    <w:p>
      <w:pPr>
        <w:ind w:left="660" w:hanging="328"/>
        <w:spacing w:after="0" w:line="26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operating expenses increased $205 million due to an increase in Selling, general, and administrative (“SG&amp;A”) expense of $164 million driven by increased costs associated with both the stand-up and operation as a standalone company and commercial and marketing investments and a planned increase in Research and Development (“R&amp;D”) investments of $41 million. As a result, SG&amp;A as a percentage of Total revenues increased by 210 basis points and R&amp;D as a percentage of Total revenues increased by 50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35" w:name="page36"/>
    <w:bookmarkEnd w:id="35"/>
    <w:p>
      <w:pPr>
        <w:ind w:right="300"/>
        <w:spacing w:after="0" w:line="293" w:lineRule="auto"/>
        <w:rPr>
          <w:sz w:val="20"/>
          <w:szCs w:val="20"/>
          <w:color w:val="auto"/>
        </w:rPr>
      </w:pPr>
      <w:r>
        <w:rPr>
          <w:rFonts w:ascii="Arial" w:cs="Arial" w:eastAsia="Arial" w:hAnsi="Arial"/>
          <w:sz w:val="16"/>
          <w:szCs w:val="16"/>
          <w:color w:val="auto"/>
        </w:rPr>
        <w:t>Net income attributable to GE HealthCare and Net income margin were $418 million and 8.7%, for the three months ended June 30, 2023, a decrease of $67 million and 210 basis points, respectively, primarily due to the following factors:</w:t>
      </w:r>
    </w:p>
    <w:p>
      <w:pPr>
        <w:spacing w:after="0" w:line="19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i w:val="1"/>
          <w:iCs w:val="1"/>
          <w:color w:val="231F20"/>
        </w:rPr>
      </w:pPr>
      <w:r>
        <w:rPr>
          <w:rFonts w:ascii="Arial" w:cs="Arial" w:eastAsia="Arial" w:hAnsi="Arial"/>
          <w:sz w:val="16"/>
          <w:szCs w:val="16"/>
          <w:color w:val="auto"/>
        </w:rPr>
        <w:t>Operating income decreased $61 million, as discussed above;</w:t>
      </w:r>
    </w:p>
    <w:p>
      <w:pPr>
        <w:spacing w:after="0" w:line="99" w:lineRule="exact"/>
        <w:rPr>
          <w:rFonts w:ascii="Arial" w:cs="Arial" w:eastAsia="Arial" w:hAnsi="Arial"/>
          <w:sz w:val="16"/>
          <w:szCs w:val="16"/>
          <w:i w:val="1"/>
          <w:iCs w:val="1"/>
          <w:color w:val="231F20"/>
        </w:rPr>
      </w:pPr>
    </w:p>
    <w:p>
      <w:pPr>
        <w:ind w:left="660" w:right="52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and other financial charges – net increased $125 million primarily due to interest expense related to the debt securities issued by GE HealthCare in November of 2022 and the Term Loan Facility drawn upon in January of 2023;</w:t>
      </w:r>
    </w:p>
    <w:p>
      <w:pPr>
        <w:spacing w:after="0" w:line="36" w:lineRule="exact"/>
        <w:rPr>
          <w:rFonts w:ascii="Arial" w:cs="Arial" w:eastAsia="Arial" w:hAnsi="Arial"/>
          <w:sz w:val="16"/>
          <w:szCs w:val="16"/>
          <w:color w:val="auto"/>
        </w:rPr>
      </w:pPr>
    </w:p>
    <w:p>
      <w:pPr>
        <w:ind w:left="660" w:right="180" w:hanging="328"/>
        <w:spacing w:after="0" w:line="27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Non-operating benefit income, net, increased $122 million primarily related to the pension plans transferred to GE HealthCare as part of the Spin-Off; and</w:t>
      </w:r>
    </w:p>
    <w:p>
      <w:pPr>
        <w:spacing w:after="0" w:line="49" w:lineRule="exact"/>
        <w:rPr>
          <w:rFonts w:ascii="Arial" w:cs="Arial" w:eastAsia="Arial" w:hAnsi="Arial"/>
          <w:sz w:val="16"/>
          <w:szCs w:val="16"/>
          <w:color w:val="auto"/>
        </w:rPr>
      </w:pPr>
    </w:p>
    <w:p>
      <w:pPr>
        <w:ind w:left="660" w:right="50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 for income taxes decreased $16 million primarily due to the impact of lower income before taxes. For additional detail regarding our income taxes, see Note 10, “Income Taxes” to the condensed consolidated and combined financial statements.</w:t>
      </w:r>
    </w:p>
    <w:p>
      <w:pPr>
        <w:spacing w:after="0" w:line="185"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Adjusted EBIT* and Adjusted EBIT margin* were $711 million and 14.8% for the three months ended June 30, 2023, a decrease of $8 million and 120 basis points, respectively, primarily due to the increase in Total operating expenses as discussed above, excluding one-time spin-off and separation costs, partially offset by an increase in Total revenues.</w:t>
      </w:r>
    </w:p>
    <w:p>
      <w:pPr>
        <w:spacing w:after="0" w:line="203"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color w:val="auto"/>
        </w:rPr>
        <w:t xml:space="preserve">Adjusted net income* was $419 million for the three months ended June 30, 2023, a decrease of $105 million primarily due to higher Interest and other financial charges </w:t>
      </w:r>
      <w:r>
        <w:rPr>
          <w:rFonts w:ascii="Arial" w:cs="Arial" w:eastAsia="Arial" w:hAnsi="Arial"/>
          <w:sz w:val="19"/>
          <w:szCs w:val="19"/>
          <w:color w:val="auto"/>
        </w:rPr>
        <w:t>–</w:t>
      </w:r>
      <w:r>
        <w:rPr>
          <w:rFonts w:ascii="Arial" w:cs="Arial" w:eastAsia="Arial" w:hAnsi="Arial"/>
          <w:sz w:val="16"/>
          <w:szCs w:val="16"/>
          <w:color w:val="auto"/>
        </w:rPr>
        <w:t xml:space="preserve"> net.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six months ended June 30, 2023</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Operating income was $1,129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 decrease of $11 million or 100 basis points as a percent of Total revenues.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decrease as a percent of Total revenues was due to the following factors:</w:t>
      </w:r>
    </w:p>
    <w:p>
      <w:pPr>
        <w:spacing w:after="0" w:line="236" w:lineRule="exact"/>
        <w:rPr>
          <w:sz w:val="20"/>
          <w:szCs w:val="20"/>
          <w:color w:val="auto"/>
        </w:rPr>
      </w:pPr>
    </w:p>
    <w:p>
      <w:pPr>
        <w:ind w:left="660" w:right="40" w:hanging="328"/>
        <w:spacing w:after="0" w:line="259" w:lineRule="auto"/>
        <w:tabs>
          <w:tab w:leader="none" w:pos="660"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 xml:space="preserve">Cost of products sold increased $292 million but decreased 230 basis points as a percent of Sales of products. The decrease as a percent of sales was driven by cost productivity and an increase in pricing of our products, partially offset by continued cost inflation. Cost of services sold increased $48 million or 80 basis points as a percent of Sales of services. The increase as a percent of sales was driven by cost inflation, partially offset by cost productivity and an increase in pricing of our service offerings. Included in our total cost of revenue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as part of our product investment, was $220 million in engineering costs for design follow-through on new product introductions and product lifecycle maintenance subsequent to the initial product launch, compared to $214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2022; and</w:t>
      </w:r>
    </w:p>
    <w:p>
      <w:pPr>
        <w:spacing w:after="0" w:line="64" w:lineRule="exact"/>
        <w:rPr>
          <w:rFonts w:ascii="Arial" w:cs="Arial" w:eastAsia="Arial" w:hAnsi="Arial"/>
          <w:sz w:val="16"/>
          <w:szCs w:val="16"/>
          <w:color w:val="231F20"/>
        </w:rPr>
      </w:pPr>
    </w:p>
    <w:p>
      <w:pPr>
        <w:ind w:left="660" w:right="40" w:hanging="328"/>
        <w:spacing w:after="0" w:line="26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increased $368 million due to an increase in SG&amp;A expense of $295 million driven by increased costs associated with both the stand-up and operation as a standalone company and commercial and marketing investments and a planned increase in R&amp;D investments of $73 million. As a result, SG&amp;A as a percentage of Total revenues increased by 160 basis points and R&amp;D as a percentage of Total revenues increased by 40 basis points.</w:t>
      </w:r>
    </w:p>
    <w:p>
      <w:pPr>
        <w:spacing w:after="0" w:line="20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Net income attributable to GE HealthCare and Net income margin were $790 million and 8.3%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 decrease of $84 million and 160 basis points, respectively, primarily due to the following factors:</w:t>
      </w:r>
    </w:p>
    <w:p>
      <w:pPr>
        <w:spacing w:after="0" w:line="18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Operating income decreased $11 million, as discussed above;</w:t>
      </w:r>
    </w:p>
    <w:p>
      <w:pPr>
        <w:spacing w:after="0" w:line="99" w:lineRule="exact"/>
        <w:rPr>
          <w:rFonts w:ascii="Arial" w:cs="Arial" w:eastAsia="Arial" w:hAnsi="Arial"/>
          <w:sz w:val="16"/>
          <w:szCs w:val="16"/>
          <w:i w:val="1"/>
          <w:iCs w:val="1"/>
          <w:color w:val="231F20"/>
        </w:rPr>
      </w:pPr>
    </w:p>
    <w:p>
      <w:pPr>
        <w:ind w:left="660" w:right="520" w:hanging="328"/>
        <w:spacing w:after="0" w:line="29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and other financial charges – net increased $257 million primarily due to interest expense related to the debt securities issued by GE HealthCare in November of 2022 and the Term Loan Facility drawn upon in January of 2023;</w:t>
      </w:r>
    </w:p>
    <w:p>
      <w:pPr>
        <w:spacing w:after="0" w:line="36" w:lineRule="exact"/>
        <w:rPr>
          <w:rFonts w:ascii="Arial" w:cs="Arial" w:eastAsia="Arial" w:hAnsi="Arial"/>
          <w:sz w:val="16"/>
          <w:szCs w:val="16"/>
          <w:color w:val="auto"/>
        </w:rPr>
      </w:pPr>
    </w:p>
    <w:p>
      <w:pPr>
        <w:ind w:left="660" w:right="180" w:hanging="328"/>
        <w:spacing w:after="0" w:line="27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Non-operating benefit income, net, increased $235 million primarily related to the pension plans transferred to GE HealthCare as part of the Spin-Off; and</w:t>
      </w:r>
    </w:p>
    <w:p>
      <w:pPr>
        <w:spacing w:after="0" w:line="49" w:lineRule="exact"/>
        <w:rPr>
          <w:rFonts w:ascii="Arial" w:cs="Arial" w:eastAsia="Arial" w:hAnsi="Arial"/>
          <w:sz w:val="16"/>
          <w:szCs w:val="16"/>
          <w:color w:val="auto"/>
        </w:rPr>
      </w:pPr>
    </w:p>
    <w:p>
      <w:pPr>
        <w:ind w:left="660" w:right="140" w:hanging="328"/>
        <w:spacing w:after="0" w:line="27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income taxes increased $16 million primarily due to taxes accrued for the future repatriation of current earnings as well as a one-time charge for prior period earnings of certain of our foreign subsidiaries, partially offset by the impact of lower income before taxes. For additional detail regarding our income taxes, see Note 10, “Income Taxes” to the condensed consolidated and combined financial statements.</w:t>
      </w:r>
    </w:p>
    <w:p>
      <w:pPr>
        <w:spacing w:after="0" w:line="20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Adjusted EBIT* and Adjusted EBIT margin* were $1,375 million and 14.4%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an increase of $57 million but a decrease of 50 basis points, respectively, primarily due to an increase in Operating income excluding the impact of one-time spin-off and separation costs.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Adjusted net income* was $807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 decrease of $154 million primarily due to higher Interest and other financial charges </w:t>
      </w:r>
      <w:r>
        <w:rPr>
          <w:rFonts w:ascii="Arial" w:cs="Arial" w:eastAsia="Arial" w:hAnsi="Arial"/>
          <w:sz w:val="19"/>
          <w:szCs w:val="19"/>
          <w:color w:val="auto"/>
        </w:rPr>
        <w:t>–</w:t>
      </w:r>
      <w:r>
        <w:rPr>
          <w:rFonts w:ascii="Arial" w:cs="Arial" w:eastAsia="Arial" w:hAnsi="Arial"/>
          <w:sz w:val="16"/>
          <w:szCs w:val="16"/>
          <w:color w:val="auto"/>
        </w:rPr>
        <w:t xml:space="preserve"> net, partially offset by an increase in Operating Income as discussed above, excluding the impact of one-time spin-off and separation costs.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9"/>
          <w:szCs w:val="19"/>
          <w:color w:val="auto"/>
        </w:rPr>
        <w:t>–</w:t>
      </w:r>
      <w:r>
        <w:rPr>
          <w:rFonts w:ascii="Arial" w:cs="Arial" w:eastAsia="Arial" w:hAnsi="Arial"/>
          <w:sz w:val="18"/>
          <w:szCs w:val="18"/>
          <w:b w:val="1"/>
          <w:bCs w:val="1"/>
          <w:color w:val="auto"/>
        </w:rPr>
        <w:t xml:space="preserve"> SEGMENTS</w:t>
      </w:r>
    </w:p>
    <w:p>
      <w:pPr>
        <w:spacing w:after="0" w:line="29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expenses, income tax expenses, restructuring costs, acquisition and disposition related charges (benefits), Spin-Off and separation costs, Non-operating benefit (income) costs, gain/loss of business and asset dispositions, amortization of acquisition-related intangible assets, Net (income) loss attributable to noncontrolling interests, Income (loss) from discontinued operations, net of taxes, and investment revaluation gain/loss. See “Results of Operations” section above for discussion on the performance of segments on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83"/>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454545"/>
              </w:rPr>
              <w:t>For the three months ended June 30</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454545"/>
              </w:rPr>
              <w:t>For the six months ended June 30</w:t>
            </w:r>
          </w:p>
        </w:tc>
        <w:tc>
          <w:tcPr>
            <w:tcW w:w="800" w:type="dxa"/>
            <w:vAlign w:val="bottom"/>
          </w:tcPr>
          <w:p>
            <w:pPr>
              <w:spacing w:after="0"/>
              <w:rPr>
                <w:sz w:val="24"/>
                <w:szCs w:val="24"/>
                <w:color w:val="auto"/>
              </w:rPr>
            </w:pPr>
          </w:p>
        </w:tc>
      </w:tr>
      <w:tr>
        <w:trPr>
          <w:trHeight w:val="21"/>
        </w:trPr>
        <w:tc>
          <w:tcPr>
            <w:tcW w:w="16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r>
      <w:tr>
        <w:trPr>
          <w:trHeight w:val="205"/>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454545"/>
              </w:rPr>
              <w:t>% of segment</w:t>
            </w:r>
          </w:p>
        </w:tc>
        <w:tc>
          <w:tcPr>
            <w:tcW w:w="6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454545"/>
              </w:rPr>
              <w:t>% of segment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454545"/>
              </w:rPr>
              <w:t>% of segment</w:t>
            </w: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454545"/>
              </w:rPr>
              <w:t>% of segment</w:t>
            </w:r>
          </w:p>
        </w:tc>
        <w:tc>
          <w:tcPr>
            <w:tcW w:w="800" w:type="dxa"/>
            <w:vAlign w:val="bottom"/>
          </w:tcPr>
          <w:p>
            <w:pPr>
              <w:spacing w:after="0"/>
              <w:rPr>
                <w:sz w:val="17"/>
                <w:szCs w:val="17"/>
                <w:color w:val="auto"/>
              </w:rPr>
            </w:pPr>
          </w:p>
        </w:tc>
      </w:tr>
      <w:tr>
        <w:trPr>
          <w:trHeight w:val="227"/>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2023</w:t>
            </w: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454545"/>
              </w:rPr>
              <w:t>revenues</w:t>
            </w: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2022</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454545"/>
              </w:rPr>
              <w:t>revenues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2023</w:t>
            </w: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454545"/>
              </w:rPr>
              <w:t>revenues</w:t>
            </w: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2022</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454545"/>
              </w:rPr>
              <w:t>revenues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16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r>
      <w:tr>
        <w:trPr>
          <w:trHeight w:val="230"/>
        </w:trPr>
        <w:tc>
          <w:tcPr>
            <w:tcW w:w="16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Segment EBIT</w:t>
            </w:r>
          </w:p>
        </w:tc>
        <w:tc>
          <w:tcPr>
            <w:tcW w:w="18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r>
      <w:tr>
        <w:trPr>
          <w:trHeight w:val="251"/>
        </w:trPr>
        <w:tc>
          <w:tcPr>
            <w:tcW w:w="1620" w:type="dxa"/>
            <w:vAlign w:val="bottom"/>
          </w:tcPr>
          <w:p>
            <w:pPr>
              <w:ind w:left="300"/>
              <w:spacing w:after="0"/>
              <w:rPr>
                <w:sz w:val="20"/>
                <w:szCs w:val="20"/>
                <w:color w:val="auto"/>
              </w:rPr>
            </w:pPr>
            <w:r>
              <w:rPr>
                <w:rFonts w:ascii="Arial" w:cs="Arial" w:eastAsia="Arial" w:hAnsi="Arial"/>
                <w:sz w:val="16"/>
                <w:szCs w:val="16"/>
                <w:color w:val="auto"/>
              </w:rPr>
              <w:t>Imaging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278</w:t>
            </w:r>
          </w:p>
        </w:tc>
        <w:tc>
          <w:tcPr>
            <w:tcW w:w="1320" w:type="dxa"/>
            <w:vAlign w:val="bottom"/>
          </w:tcPr>
          <w:p>
            <w:pPr>
              <w:jc w:val="right"/>
              <w:spacing w:after="0"/>
              <w:rPr>
                <w:sz w:val="20"/>
                <w:szCs w:val="20"/>
                <w:color w:val="auto"/>
              </w:rPr>
            </w:pPr>
            <w:r>
              <w:rPr>
                <w:rFonts w:ascii="Arial" w:cs="Arial" w:eastAsia="Arial" w:hAnsi="Arial"/>
                <w:sz w:val="16"/>
                <w:szCs w:val="16"/>
                <w:color w:val="auto"/>
              </w:rPr>
              <w:t>10.6 % $</w:t>
            </w:r>
          </w:p>
        </w:tc>
        <w:tc>
          <w:tcPr>
            <w:tcW w:w="640" w:type="dxa"/>
            <w:vAlign w:val="bottom"/>
          </w:tcPr>
          <w:p>
            <w:pPr>
              <w:jc w:val="right"/>
              <w:spacing w:after="0"/>
              <w:rPr>
                <w:sz w:val="20"/>
                <w:szCs w:val="20"/>
                <w:color w:val="auto"/>
              </w:rPr>
            </w:pPr>
            <w:r>
              <w:rPr>
                <w:rFonts w:ascii="Arial" w:cs="Arial" w:eastAsia="Arial" w:hAnsi="Arial"/>
                <w:sz w:val="16"/>
                <w:szCs w:val="16"/>
                <w:color w:val="auto"/>
              </w:rPr>
              <w:t>306</w:t>
            </w:r>
          </w:p>
        </w:tc>
        <w:tc>
          <w:tcPr>
            <w:tcW w:w="1160" w:type="dxa"/>
            <w:vAlign w:val="bottom"/>
          </w:tcPr>
          <w:p>
            <w:pPr>
              <w:jc w:val="right"/>
              <w:spacing w:after="0"/>
              <w:rPr>
                <w:sz w:val="20"/>
                <w:szCs w:val="20"/>
                <w:color w:val="auto"/>
              </w:rPr>
            </w:pPr>
            <w:r>
              <w:rPr>
                <w:rFonts w:ascii="Arial" w:cs="Arial" w:eastAsia="Arial" w:hAnsi="Arial"/>
                <w:sz w:val="16"/>
                <w:szCs w:val="16"/>
                <w:color w:val="auto"/>
              </w:rPr>
              <w:t>12.5 %</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469</w:t>
            </w:r>
          </w:p>
        </w:tc>
        <w:tc>
          <w:tcPr>
            <w:tcW w:w="1340" w:type="dxa"/>
            <w:vAlign w:val="bottom"/>
          </w:tcPr>
          <w:p>
            <w:pPr>
              <w:jc w:val="right"/>
              <w:spacing w:after="0"/>
              <w:rPr>
                <w:sz w:val="20"/>
                <w:szCs w:val="20"/>
                <w:color w:val="auto"/>
              </w:rPr>
            </w:pPr>
            <w:r>
              <w:rPr>
                <w:rFonts w:ascii="Arial" w:cs="Arial" w:eastAsia="Arial" w:hAnsi="Arial"/>
                <w:sz w:val="16"/>
                <w:szCs w:val="16"/>
                <w:color w:val="auto"/>
              </w:rPr>
              <w:t>9.2 % $</w:t>
            </w:r>
          </w:p>
        </w:tc>
        <w:tc>
          <w:tcPr>
            <w:tcW w:w="660" w:type="dxa"/>
            <w:vAlign w:val="bottom"/>
          </w:tcPr>
          <w:p>
            <w:pPr>
              <w:jc w:val="right"/>
              <w:spacing w:after="0"/>
              <w:rPr>
                <w:sz w:val="20"/>
                <w:szCs w:val="20"/>
                <w:color w:val="auto"/>
              </w:rPr>
            </w:pPr>
            <w:r>
              <w:rPr>
                <w:rFonts w:ascii="Arial" w:cs="Arial" w:eastAsia="Arial" w:hAnsi="Arial"/>
                <w:sz w:val="16"/>
                <w:szCs w:val="16"/>
                <w:color w:val="auto"/>
              </w:rPr>
              <w:t>512</w:t>
            </w:r>
          </w:p>
        </w:tc>
        <w:tc>
          <w:tcPr>
            <w:tcW w:w="1160" w:type="dxa"/>
            <w:vAlign w:val="bottom"/>
          </w:tcPr>
          <w:p>
            <w:pPr>
              <w:jc w:val="right"/>
              <w:spacing w:after="0"/>
              <w:rPr>
                <w:sz w:val="20"/>
                <w:szCs w:val="20"/>
                <w:color w:val="auto"/>
              </w:rPr>
            </w:pPr>
            <w:r>
              <w:rPr>
                <w:rFonts w:ascii="Arial" w:cs="Arial" w:eastAsia="Arial" w:hAnsi="Arial"/>
                <w:sz w:val="16"/>
                <w:szCs w:val="16"/>
                <w:color w:val="auto"/>
              </w:rPr>
              <w:t>10.8 %</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3"/>
        </w:trPr>
        <w:tc>
          <w:tcPr>
            <w:tcW w:w="1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18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w:t>
            </w:r>
          </w:p>
        </w:tc>
        <w:tc>
          <w:tcPr>
            <w:tcW w:w="1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22.8 %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26.6 %</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398</w:t>
            </w:r>
          </w:p>
        </w:tc>
        <w:tc>
          <w:tcPr>
            <w:tcW w:w="1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23.4 %</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412</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25.1 %</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1620" w:type="dxa"/>
            <w:vAlign w:val="bottom"/>
          </w:tcPr>
          <w:p>
            <w:pPr>
              <w:ind w:left="300"/>
              <w:spacing w:after="0"/>
              <w:rPr>
                <w:sz w:val="20"/>
                <w:szCs w:val="20"/>
                <w:color w:val="auto"/>
              </w:rPr>
            </w:pPr>
            <w:r>
              <w:rPr>
                <w:rFonts w:ascii="Arial" w:cs="Arial" w:eastAsia="Arial" w:hAnsi="Arial"/>
                <w:sz w:val="16"/>
                <w:szCs w:val="16"/>
                <w:color w:val="auto"/>
              </w:rPr>
              <w:t>PCS</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10.9 %</w:t>
            </w: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c>
          <w:tcPr>
            <w:tcW w:w="1160" w:type="dxa"/>
            <w:vAlign w:val="bottom"/>
          </w:tcPr>
          <w:p>
            <w:pPr>
              <w:jc w:val="right"/>
              <w:spacing w:after="0"/>
              <w:rPr>
                <w:sz w:val="20"/>
                <w:szCs w:val="20"/>
                <w:color w:val="auto"/>
              </w:rPr>
            </w:pPr>
            <w:r>
              <w:rPr>
                <w:rFonts w:ascii="Arial" w:cs="Arial" w:eastAsia="Arial" w:hAnsi="Arial"/>
                <w:sz w:val="16"/>
                <w:szCs w:val="16"/>
                <w:color w:val="auto"/>
              </w:rPr>
              <w:t>11.4 %</w:t>
            </w:r>
          </w:p>
        </w:tc>
        <w:tc>
          <w:tcPr>
            <w:tcW w:w="820" w:type="dxa"/>
            <w:vAlign w:val="bottom"/>
          </w:tcPr>
          <w:p>
            <w:pPr>
              <w:jc w:val="right"/>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12.4 %</w:t>
            </w: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1160" w:type="dxa"/>
            <w:vAlign w:val="bottom"/>
          </w:tcPr>
          <w:p>
            <w:pPr>
              <w:jc w:val="right"/>
              <w:spacing w:after="0"/>
              <w:rPr>
                <w:sz w:val="20"/>
                <w:szCs w:val="20"/>
                <w:color w:val="auto"/>
              </w:rPr>
            </w:pPr>
            <w:r>
              <w:rPr>
                <w:rFonts w:ascii="Arial" w:cs="Arial" w:eastAsia="Arial" w:hAnsi="Arial"/>
                <w:sz w:val="16"/>
                <w:szCs w:val="16"/>
                <w:color w:val="auto"/>
              </w:rPr>
              <w:t>10.2 %</w:t>
            </w:r>
          </w:p>
        </w:tc>
        <w:tc>
          <w:tcPr>
            <w:tcW w:w="80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3"/>
        </w:trPr>
        <w:tc>
          <w:tcPr>
            <w:tcW w:w="1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18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1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26.8 %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24.1 %</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32 %</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307</w:t>
            </w:r>
          </w:p>
        </w:tc>
        <w:tc>
          <w:tcPr>
            <w:tcW w:w="1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27.3 %</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253</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26.3 %</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21 %</w:t>
            </w:r>
          </w:p>
        </w:tc>
      </w:tr>
      <w:tr>
        <w:trPr>
          <w:trHeight w:val="283"/>
        </w:trPr>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0"/>
        </w:trPr>
        <w:tc>
          <w:tcPr>
            <w:tcW w:w="162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711</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719</w:t>
            </w:r>
          </w:p>
        </w:tc>
        <w:tc>
          <w:tcPr>
            <w:tcW w:w="11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1,375</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1,318</w:t>
            </w:r>
          </w:p>
        </w:tc>
        <w:tc>
          <w:tcPr>
            <w:tcW w:w="11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4 %</w:t>
            </w:r>
          </w:p>
        </w:tc>
      </w:tr>
      <w:tr>
        <w:trPr>
          <w:trHeight w:val="20"/>
        </w:trPr>
        <w:tc>
          <w:tcPr>
            <w:tcW w:w="1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71" w:lineRule="exact"/>
        <w:rPr>
          <w:sz w:val="20"/>
          <w:szCs w:val="20"/>
          <w:color w:val="auto"/>
        </w:rPr>
      </w:pPr>
    </w:p>
    <w:p>
      <w:pPr>
        <w:ind w:left="340" w:right="300" w:hanging="332"/>
        <w:spacing w:after="0" w:line="293"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HFS business and certain other business activities which do not meet the definition of an operating segment.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June 30, 2023</w:t>
      </w:r>
    </w:p>
    <w:p>
      <w:pPr>
        <w:spacing w:after="0" w:line="266" w:lineRule="exact"/>
        <w:rPr>
          <w:sz w:val="20"/>
          <w:szCs w:val="20"/>
          <w:color w:val="auto"/>
        </w:rPr>
      </w:pPr>
    </w:p>
    <w:p>
      <w:pPr>
        <w:ind w:left="660" w:right="40" w:hanging="328"/>
        <w:spacing w:after="0" w:line="27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Imaging Segment EBIT was $278 million for the three months ended June 30, 2023, a decrease of $28 million due to delivery of high-cost inventory from prior year purchases and planned investments, partially offset by cost productivity, growth in sales volume, and an increase in price;</w:t>
      </w:r>
    </w:p>
    <w:p>
      <w:pPr>
        <w:spacing w:after="0" w:line="49" w:lineRule="exact"/>
        <w:rPr>
          <w:rFonts w:ascii="Arial" w:cs="Arial" w:eastAsia="Arial" w:hAnsi="Arial"/>
          <w:sz w:val="16"/>
          <w:szCs w:val="16"/>
          <w:color w:val="auto"/>
        </w:rPr>
      </w:pPr>
    </w:p>
    <w:p>
      <w:pPr>
        <w:ind w:left="660" w:right="140" w:hanging="328"/>
        <w:spacing w:after="0" w:line="27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Ultrasound Segment EBIT was $191 million for the three months ended June 30, 2023, a decrease of $29 million due to cost inflation and planned investments, partially offset by cost productivity and an increase in price;</w:t>
      </w:r>
    </w:p>
    <w:p>
      <w:pPr>
        <w:spacing w:after="0" w:line="49" w:lineRule="exact"/>
        <w:rPr>
          <w:rFonts w:ascii="Arial" w:cs="Arial" w:eastAsia="Arial" w:hAnsi="Arial"/>
          <w:sz w:val="16"/>
          <w:szCs w:val="16"/>
          <w:color w:val="auto"/>
        </w:rPr>
      </w:pPr>
    </w:p>
    <w:p>
      <w:pPr>
        <w:ind w:left="660" w:right="780" w:hanging="328"/>
        <w:spacing w:after="0" w:line="29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PCS Segment EBIT was $84 million for the three months ended June 30, 2023, an increase of $3 million due to an increase in price, cost productivity, and growth in sales volume, largely offset by cost inflation and planned investments; and</w:t>
      </w:r>
    </w:p>
    <w:p>
      <w:pPr>
        <w:spacing w:after="0" w:line="36" w:lineRule="exact"/>
        <w:rPr>
          <w:rFonts w:ascii="Arial" w:cs="Arial" w:eastAsia="Arial" w:hAnsi="Arial"/>
          <w:sz w:val="16"/>
          <w:szCs w:val="16"/>
          <w:color w:val="auto"/>
        </w:rPr>
      </w:pPr>
    </w:p>
    <w:p>
      <w:pPr>
        <w:ind w:left="660" w:right="260" w:hanging="328"/>
        <w:spacing w:after="0" w:line="27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PDx Segment EBIT was $152 million for the three months ended June 30, 2023, an increase of $37 million due to an increase in price, growth in sales volume, and cost productivity, partially offset by cost inflation and planned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six months ended June 30, 2023</w:t>
      </w:r>
    </w:p>
    <w:p>
      <w:pPr>
        <w:spacing w:after="0" w:line="252" w:lineRule="exact"/>
        <w:rPr>
          <w:sz w:val="20"/>
          <w:szCs w:val="20"/>
          <w:color w:val="auto"/>
        </w:rPr>
      </w:pPr>
    </w:p>
    <w:p>
      <w:pPr>
        <w:jc w:val="both"/>
        <w:ind w:left="660" w:right="200" w:hanging="328"/>
        <w:spacing w:after="0" w:line="270" w:lineRule="auto"/>
        <w:tabs>
          <w:tab w:leader="none" w:pos="660"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 xml:space="preserve">Imaging Segment EBIT was $469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 decrease of $43 million due to delivery of high-cost inventory from prior year purchases, planned investments, and mix between our product and service offerings, partially offset by cost productivity, growth in sales volume, and an increase in price;</w:t>
      </w:r>
    </w:p>
    <w:p>
      <w:pPr>
        <w:spacing w:after="0" w:line="54" w:lineRule="exact"/>
        <w:rPr>
          <w:rFonts w:ascii="Arial" w:cs="Arial" w:eastAsia="Arial" w:hAnsi="Arial"/>
          <w:sz w:val="16"/>
          <w:szCs w:val="16"/>
          <w:i w:val="1"/>
          <w:iCs w:val="1"/>
          <w:color w:val="231F20"/>
        </w:rPr>
      </w:pPr>
    </w:p>
    <w:p>
      <w:pPr>
        <w:ind w:left="660" w:right="300" w:hanging="328"/>
        <w:spacing w:after="0" w:line="293" w:lineRule="auto"/>
        <w:tabs>
          <w:tab w:leader="none" w:pos="660"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 xml:space="preserve">Ultrasound Segment EBIT was $398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 decrease of $14 million due to cost inflation and planned investments, partially offset by cost productivity and an increase in price;</w:t>
      </w:r>
    </w:p>
    <w:p>
      <w:pPr>
        <w:spacing w:after="0" w:line="36" w:lineRule="exact"/>
        <w:rPr>
          <w:rFonts w:ascii="Arial" w:cs="Arial" w:eastAsia="Arial" w:hAnsi="Arial"/>
          <w:sz w:val="16"/>
          <w:szCs w:val="16"/>
          <w:i w:val="1"/>
          <w:iCs w:val="1"/>
          <w:color w:val="231F20"/>
        </w:rPr>
      </w:pPr>
    </w:p>
    <w:p>
      <w:pPr>
        <w:ind w:left="660" w:right="300" w:hanging="328"/>
        <w:spacing w:after="0" w:line="276" w:lineRule="auto"/>
        <w:tabs>
          <w:tab w:leader="none" w:pos="660"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 xml:space="preserve">PCS Segment EBIT was $193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an increase of $47 million due to cost productivity, an increase in price, and growth in sales volume, partially offset by cost inflation and planned investments; and</w:t>
      </w:r>
    </w:p>
    <w:p>
      <w:pPr>
        <w:spacing w:after="0" w:line="49" w:lineRule="exact"/>
        <w:rPr>
          <w:rFonts w:ascii="Arial" w:cs="Arial" w:eastAsia="Arial" w:hAnsi="Arial"/>
          <w:sz w:val="16"/>
          <w:szCs w:val="16"/>
          <w:i w:val="1"/>
          <w:iCs w:val="1"/>
          <w:color w:val="231F20"/>
        </w:rPr>
      </w:pPr>
    </w:p>
    <w:p>
      <w:pPr>
        <w:ind w:left="660" w:hanging="328"/>
        <w:spacing w:after="0" w:line="276" w:lineRule="auto"/>
        <w:tabs>
          <w:tab w:leader="none" w:pos="660"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 xml:space="preserve">PDx Segment EBIT was $307 million for the </w:t>
      </w:r>
      <w:r>
        <w:rPr>
          <w:rFonts w:ascii="Arial" w:cs="Arial" w:eastAsia="Arial" w:hAnsi="Arial"/>
          <w:sz w:val="16"/>
          <w:szCs w:val="16"/>
          <w:color w:val="231F20"/>
        </w:rPr>
        <w:t>six months ended</w:t>
      </w:r>
      <w:r>
        <w:rPr>
          <w:rFonts w:ascii="Arial" w:cs="Arial" w:eastAsia="Arial" w:hAnsi="Arial"/>
          <w:sz w:val="16"/>
          <w:szCs w:val="16"/>
          <w:color w:val="auto"/>
        </w:rPr>
        <w:t xml:space="preserve"> June 30, 2023, an increase of $54 million due to an increase in price, growth in sales volume, and cost productivity, partially offset by cost inflation and planned investments.</w:t>
      </w:r>
    </w:p>
    <w:p>
      <w:pPr>
        <w:sectPr>
          <w:pgSz w:w="11900" w:h="16838" w:orient="portrait"/>
          <w:cols w:equalWidth="0" w:num="1">
            <w:col w:w="11240"/>
          </w:cols>
          <w:pgMar w:left="320" w:top="10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NON-GAAP FINANCIAL MEASURES</w:t>
      </w:r>
    </w:p>
    <w:p>
      <w:pPr>
        <w:spacing w:after="0" w:line="2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help investors understand our financial condition, cash flows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related to our core operating results and the overall health of our company. We believe that these non-GAAP financial measures provide investors greater transparency to the information used by management for its operational decision-making and allow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making financial, operational, and planning decisions. Finally, these measures are often used by analysts and other interested parties to evaluate companies in our industry.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non-GAAP financial measures we report include: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Organic revenue and Organic revenue growth rate</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believe that Organic revenue and Organic revenue growth rate, by excluding the effect of acquisitions, dispositions, and foreign currency rate fluctuations, provide management and investors with additional understanding of our core, top-line operating results and greater visibility into underlying revenue trends of our established, ongoing operations. Organic revenue and Organic revenue growth rate also provide greater insight regarding the overall demand for our products and services.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EBIT and Adjusted EBIT margin</w:t>
      </w:r>
    </w:p>
    <w:p>
      <w:pPr>
        <w:spacing w:after="0" w:line="21"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We believe Adjusted EBIT and Adjusted EBIT margin provide management and investors with additional understanding of our business by highlighting the results from ongoing operations and the underlying profitability factors. These metrics exclude interest expense, interest income, non-operating benefit (income) costs, and tax expense, as well as non-recurring and/or non-cash items, that can have a material impact on our results. In addition, we may from time to time consider excluding other nonrecurring items to enhance comparability between periods.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net income</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earnings. Adjusted net income excludes non-operating benefit (income) costs, certain tax expense adjustments, and non-recurring and/or non-cash items, that can have a material impact on our results. In addition, we may from time to time consider excluding other nonrecurring items to enhance comparability between periods. However, Adjusted net income should not be construed as inferring that our future results will be unaffected by the items for which the measure adjusts.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earnings per share</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believe Adjusted earnings per share provides investors with improved comparability of underlying operating results and a further understanding and additional transparency regarding how we evaluate our business. Adjusted earnings per share also provides management and investors with additional perspective regarding the impact of certain significant items on our per share earnings. Adjusted earnings per share excludes non-operating benefit (income) costs, certain tax expense adjustments, and non-recurring and/or non-cash items, that can have a material impact on our results. In addition, we may from time to time consider excluding other nonrecurring items to enhance comparability between periods. However, Adjusted earnings per share should not be construed as inferring that our future results will be unaffected by the items for which the measure adjusts.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Free cash flow</w:t>
      </w:r>
    </w:p>
    <w:p>
      <w:pPr>
        <w:spacing w:after="0" w:line="27"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 xml:space="preserve">We believe that Free cash flow provides management and investors with an important measure of our ability to generate cash on a normalized basis. Free cash flow also provides insight into our flexibility to allocate capital, including reinvesting in the Company for future growth, paying down debt, paying dividends, and pursuing other opportunities that may enhance stockholder value. Free cash flow is Cash from (used for) operating activities </w:t>
      </w:r>
      <w:r>
        <w:rPr>
          <w:rFonts w:ascii="Arial" w:cs="Arial" w:eastAsia="Arial" w:hAnsi="Arial"/>
          <w:sz w:val="19"/>
          <w:szCs w:val="19"/>
          <w:color w:val="auto"/>
        </w:rPr>
        <w:t>–</w:t>
      </w:r>
      <w:r>
        <w:rPr>
          <w:rFonts w:ascii="Arial" w:cs="Arial" w:eastAsia="Arial" w:hAnsi="Arial"/>
          <w:sz w:val="16"/>
          <w:szCs w:val="16"/>
          <w:color w:val="auto"/>
        </w:rPr>
        <w:t xml:space="preserve"> continuing</w:t>
      </w:r>
    </w:p>
    <w:p>
      <w:pPr>
        <w:spacing w:after="0" w:line="1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operations including cash flows related to the additions and dispositions of PP&amp;E and internal-use software as well as the impact of discontinued factoring programs. Interest expense associated with external debt that was historically held by GE is not recognized in the condensed combined financial statements and related notes. Additionally, Free cash flow does not represent residual cash flows available for discretionary expenditures, due to the fact the measures do not deduct the payments required for debt 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i w:val="1"/>
          <w:iCs w:val="1"/>
          <w:color w:val="auto"/>
        </w:rPr>
        <w:t>Non-GAAP Reconciliations</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 The reconciliations of each non-GAAP financial measure to the most directly comparable U.S. GAAP financial measure are provided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260" w:type="dxa"/>
            <w:vAlign w:val="bottom"/>
          </w:tcPr>
          <w:p>
            <w:pPr>
              <w:spacing w:after="0"/>
              <w:rPr>
                <w:sz w:val="19"/>
                <w:szCs w:val="19"/>
                <w:color w:val="auto"/>
              </w:rPr>
            </w:pPr>
          </w:p>
        </w:tc>
        <w:tc>
          <w:tcPr>
            <w:tcW w:w="33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454545"/>
              </w:rPr>
              <w:t>For the three months ended June 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396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2023</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2023</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9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30"/>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2,620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2,449</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4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5,116</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4,760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r>
      <w:tr>
        <w:trPr>
          <w:trHeight w:val="257"/>
        </w:trPr>
        <w:tc>
          <w:tcPr>
            <w:tcW w:w="396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260" w:type="dxa"/>
            <w:vAlign w:val="bottom"/>
            <w:shd w:val="clear" w:color="auto" w:fill="E4E4E4"/>
          </w:tcPr>
          <w:p>
            <w:pPr>
              <w:spacing w:after="0"/>
              <w:rPr>
                <w:sz w:val="22"/>
                <w:szCs w:val="22"/>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3"/>
        </w:trPr>
        <w:tc>
          <w:tcPr>
            <w:tcW w:w="396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33"/>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2,667</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2,449</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4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5,261</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4,760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r>
      <w:tr>
        <w:trPr>
          <w:trHeight w:val="229"/>
        </w:trPr>
        <w:tc>
          <w:tcPr>
            <w:tcW w:w="3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1,698</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1,643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3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3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260" w:type="dxa"/>
            <w:vAlign w:val="bottom"/>
            <w:shd w:val="clear" w:color="auto" w:fill="E4E4E4"/>
          </w:tcPr>
          <w:p>
            <w:pPr>
              <w:spacing w:after="0"/>
              <w:rPr>
                <w:sz w:val="22"/>
                <w:szCs w:val="22"/>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6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2"/>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Organic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854</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1,753</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1,643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713</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4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1,551</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1,429</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r>
      <w:tr>
        <w:trPr>
          <w:trHeight w:val="257"/>
        </w:trPr>
        <w:tc>
          <w:tcPr>
            <w:tcW w:w="396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6"/>
        </w:trPr>
        <w:tc>
          <w:tcPr>
            <w:tcW w:w="3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260" w:type="dxa"/>
            <w:vAlign w:val="bottom"/>
            <w:shd w:val="clear" w:color="auto" w:fill="E4E4E4"/>
          </w:tcPr>
          <w:p>
            <w:pPr>
              <w:spacing w:after="0"/>
              <w:rPr>
                <w:sz w:val="22"/>
                <w:szCs w:val="22"/>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3"/>
        </w:trPr>
        <w:tc>
          <w:tcPr>
            <w:tcW w:w="396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33"/>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776</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713</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4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1,574</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1,429</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29"/>
        </w:trPr>
        <w:tc>
          <w:tcPr>
            <w:tcW w:w="3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568</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1,126</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r>
      <w:tr>
        <w:trPr>
          <w:trHeight w:val="21"/>
        </w:trPr>
        <w:tc>
          <w:tcPr>
            <w:tcW w:w="3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3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260" w:type="dxa"/>
            <w:vAlign w:val="bottom"/>
            <w:shd w:val="clear" w:color="auto" w:fill="E4E4E4"/>
          </w:tcPr>
          <w:p>
            <w:pPr>
              <w:spacing w:after="0"/>
              <w:rPr>
                <w:sz w:val="22"/>
                <w:szCs w:val="22"/>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6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574</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1,151</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16</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4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7"/>
        </w:trPr>
        <w:tc>
          <w:tcPr>
            <w:tcW w:w="396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260" w:type="dxa"/>
            <w:vAlign w:val="bottom"/>
            <w:shd w:val="clear" w:color="auto" w:fill="E4E4E4"/>
          </w:tcPr>
          <w:p>
            <w:pPr>
              <w:spacing w:after="0"/>
              <w:rPr>
                <w:sz w:val="22"/>
                <w:szCs w:val="22"/>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3"/>
        </w:trPr>
        <w:tc>
          <w:tcPr>
            <w:tcW w:w="396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33"/>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16</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4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3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4,817</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4,484</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9,524</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8,827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3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26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1"/>
                <w:szCs w:val="21"/>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1"/>
                <w:szCs w:val="21"/>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r>
      <w:tr>
        <w:trPr>
          <w:trHeight w:val="257"/>
        </w:trPr>
        <w:tc>
          <w:tcPr>
            <w:tcW w:w="396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(248)</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4,891</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4,484</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9,772</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8,827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460" w:right="900" w:hanging="434"/>
        <w:spacing w:after="0" w:line="29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we completed the transaction through the end of four quarters following the transaction.</w:t>
      </w:r>
    </w:p>
    <w:p>
      <w:pPr>
        <w:spacing w:after="0" w:line="9" w:lineRule="exact"/>
        <w:rPr>
          <w:rFonts w:ascii="Arial" w:cs="Arial" w:eastAsia="Arial" w:hAnsi="Arial"/>
          <w:sz w:val="16"/>
          <w:szCs w:val="16"/>
          <w:color w:val="auto"/>
        </w:rPr>
      </w:pPr>
    </w:p>
    <w:p>
      <w:pPr>
        <w:ind w:left="460" w:hanging="434"/>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4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453"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40"/>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94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2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29"/>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24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2022</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2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30"/>
        </w:trPr>
        <w:tc>
          <w:tcPr>
            <w:tcW w:w="5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418</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485</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020" w:type="dxa"/>
            <w:vAlign w:val="bottom"/>
          </w:tcPr>
          <w:p>
            <w:pPr>
              <w:spacing w:after="0"/>
              <w:rPr>
                <w:sz w:val="19"/>
                <w:szCs w:val="19"/>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w:t>
            </w: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20" w:type="dxa"/>
            <w:vAlign w:val="bottom"/>
            <w:tcBorders>
              <w:bottom w:val="single" w:sz="8" w:color="E4E4E4"/>
            </w:tcBorders>
            <w:shd w:val="clear" w:color="auto" w:fill="E4E4E4"/>
          </w:tcPr>
          <w:p>
            <w:pPr>
              <w:spacing w:after="0"/>
              <w:rPr>
                <w:sz w:val="20"/>
                <w:szCs w:val="20"/>
                <w:color w:val="auto"/>
              </w:rPr>
            </w:pPr>
          </w:p>
        </w:tc>
      </w:tr>
      <w:tr>
        <w:trPr>
          <w:trHeight w:val="224"/>
        </w:trPr>
        <w:tc>
          <w:tcPr>
            <w:tcW w:w="526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(284)</w:t>
            </w:r>
          </w:p>
        </w:tc>
        <w:tc>
          <w:tcPr>
            <w:tcW w:w="1020" w:type="dxa"/>
            <w:vAlign w:val="bottom"/>
          </w:tcPr>
          <w:p>
            <w:pPr>
              <w:spacing w:after="0"/>
              <w:rPr>
                <w:sz w:val="19"/>
                <w:szCs w:val="19"/>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020" w:type="dxa"/>
            <w:vAlign w:val="bottom"/>
            <w:tcBorders>
              <w:bottom w:val="single" w:sz="8" w:color="E4E4E4"/>
            </w:tcBorders>
            <w:shd w:val="clear" w:color="auto" w:fill="E4E4E4"/>
          </w:tcPr>
          <w:p>
            <w:pPr>
              <w:spacing w:after="0"/>
              <w:rPr>
                <w:sz w:val="20"/>
                <w:szCs w:val="20"/>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1020" w:type="dxa"/>
            <w:vAlign w:val="bottom"/>
          </w:tcPr>
          <w:p>
            <w:pPr>
              <w:spacing w:after="0"/>
              <w:rPr>
                <w:sz w:val="19"/>
                <w:szCs w:val="19"/>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EBIT*</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584</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651</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1,151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1,185</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50"/>
        </w:trPr>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(a)</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20" w:type="dxa"/>
            <w:vAlign w:val="bottom"/>
            <w:tcBorders>
              <w:top w:val="single" w:sz="8" w:color="auto"/>
            </w:tcBorders>
          </w:tcPr>
          <w:p>
            <w:pPr>
              <w:spacing w:after="0"/>
              <w:rPr>
                <w:sz w:val="21"/>
                <w:szCs w:val="21"/>
                <w:color w:val="auto"/>
              </w:rPr>
            </w:pPr>
          </w:p>
        </w:tc>
      </w:tr>
      <w:tr>
        <w:trPr>
          <w:trHeight w:val="257"/>
        </w:trPr>
        <w:tc>
          <w:tcPr>
            <w:tcW w:w="526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Acquisition and disposition related charges (benefits)</w:t>
            </w:r>
            <w:r>
              <w:rPr>
                <w:rFonts w:ascii="Arial" w:cs="Arial" w:eastAsia="Arial" w:hAnsi="Arial"/>
                <w:sz w:val="21"/>
                <w:szCs w:val="21"/>
                <w:color w:val="auto"/>
                <w:vertAlign w:val="superscript"/>
              </w:rPr>
              <w:t>(b)</w:t>
            </w:r>
          </w:p>
        </w:tc>
        <w:tc>
          <w:tcPr>
            <w:tcW w:w="20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E4E4E4"/>
          </w:tcPr>
          <w:p>
            <w:pPr>
              <w:spacing w:after="0"/>
              <w:rPr>
                <w:sz w:val="22"/>
                <w:szCs w:val="22"/>
                <w:color w:val="auto"/>
              </w:rPr>
            </w:pPr>
          </w:p>
        </w:tc>
        <w:tc>
          <w:tcPr>
            <w:tcW w:w="7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14</w:t>
            </w:r>
          </w:p>
        </w:tc>
        <w:tc>
          <w:tcPr>
            <w:tcW w:w="9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1020" w:type="dxa"/>
            <w:vAlign w:val="bottom"/>
            <w:shd w:val="clear" w:color="auto" w:fill="E4E4E4"/>
          </w:tcPr>
          <w:p>
            <w:pPr>
              <w:spacing w:after="0"/>
              <w:rPr>
                <w:sz w:val="22"/>
                <w:szCs w:val="22"/>
                <w:color w:val="auto"/>
              </w:rPr>
            </w:pPr>
          </w:p>
        </w:tc>
      </w:tr>
      <w:tr>
        <w:trPr>
          <w:trHeight w:val="257"/>
        </w:trPr>
        <w:tc>
          <w:tcPr>
            <w:tcW w:w="5260" w:type="dxa"/>
            <w:vAlign w:val="bottom"/>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(c)</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r>
      <w:tr>
        <w:trPr>
          <w:trHeight w:val="257"/>
        </w:trPr>
        <w:tc>
          <w:tcPr>
            <w:tcW w:w="526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(Gain)/loss of business and asset dispositions</w:t>
            </w:r>
            <w:r>
              <w:rPr>
                <w:rFonts w:ascii="Arial" w:cs="Arial" w:eastAsia="Arial" w:hAnsi="Arial"/>
                <w:sz w:val="21"/>
                <w:szCs w:val="21"/>
                <w:color w:val="auto"/>
                <w:vertAlign w:val="superscript"/>
              </w:rPr>
              <w:t>(d)</w:t>
            </w:r>
          </w:p>
        </w:tc>
        <w:tc>
          <w:tcPr>
            <w:tcW w:w="20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4E4E4"/>
          </w:tcPr>
          <w:p>
            <w:pPr>
              <w:spacing w:after="0"/>
              <w:rPr>
                <w:sz w:val="22"/>
                <w:szCs w:val="22"/>
                <w:color w:val="auto"/>
              </w:rPr>
            </w:pPr>
          </w:p>
        </w:tc>
        <w:tc>
          <w:tcPr>
            <w:tcW w:w="7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20" w:type="dxa"/>
            <w:vAlign w:val="bottom"/>
            <w:shd w:val="clear" w:color="auto" w:fill="E4E4E4"/>
          </w:tcPr>
          <w:p>
            <w:pPr>
              <w:spacing w:after="0"/>
              <w:rPr>
                <w:sz w:val="22"/>
                <w:szCs w:val="22"/>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020" w:type="dxa"/>
            <w:vAlign w:val="bottom"/>
          </w:tcPr>
          <w:p>
            <w:pPr>
              <w:spacing w:after="0"/>
              <w:rPr>
                <w:sz w:val="19"/>
                <w:szCs w:val="19"/>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52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Add: Investment revaluation (gain)/loss</w:t>
            </w:r>
            <w:r>
              <w:rPr>
                <w:rFonts w:ascii="Arial" w:cs="Arial" w:eastAsia="Arial" w:hAnsi="Arial"/>
                <w:sz w:val="21"/>
                <w:szCs w:val="21"/>
                <w:color w:val="auto"/>
                <w:vertAlign w:val="superscript"/>
              </w:rPr>
              <w:t>(e)</w:t>
            </w:r>
          </w:p>
        </w:tc>
        <w:tc>
          <w:tcPr>
            <w:tcW w:w="200" w:type="dxa"/>
            <w:vAlign w:val="bottom"/>
            <w:tcBorders>
              <w:bottom w:val="single" w:sz="8" w:color="auto"/>
            </w:tcBorders>
            <w:shd w:val="clear" w:color="auto" w:fill="E4E4E4"/>
          </w:tcPr>
          <w:p>
            <w:pPr>
              <w:spacing w:after="0"/>
              <w:rPr>
                <w:sz w:val="22"/>
                <w:szCs w:val="22"/>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shd w:val="clear" w:color="auto" w:fill="E4E4E4"/>
          </w:tcPr>
          <w:p>
            <w:pPr>
              <w:spacing w:after="0"/>
              <w:rPr>
                <w:sz w:val="22"/>
                <w:szCs w:val="22"/>
                <w:color w:val="auto"/>
              </w:rPr>
            </w:pPr>
          </w:p>
        </w:tc>
        <w:tc>
          <w:tcPr>
            <w:tcW w:w="78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color w:val="auto"/>
              </w:rPr>
              <w:t>14</w:t>
            </w:r>
          </w:p>
        </w:tc>
        <w:tc>
          <w:tcPr>
            <w:tcW w:w="98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auto"/>
            </w:tcBorders>
            <w:shd w:val="clear" w:color="auto" w:fill="E4E4E4"/>
          </w:tcPr>
          <w:p>
            <w:pPr>
              <w:spacing w:after="0"/>
              <w:rPr>
                <w:sz w:val="22"/>
                <w:szCs w:val="22"/>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E4E4E4"/>
          </w:tcPr>
          <w:p>
            <w:pPr>
              <w:spacing w:after="0"/>
              <w:rPr>
                <w:sz w:val="22"/>
                <w:szCs w:val="22"/>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1020" w:type="dxa"/>
            <w:vAlign w:val="bottom"/>
            <w:tcBorders>
              <w:bottom w:val="single" w:sz="8" w:color="auto"/>
            </w:tcBorders>
            <w:shd w:val="clear" w:color="auto" w:fill="E4E4E4"/>
          </w:tcPr>
          <w:p>
            <w:pPr>
              <w:spacing w:after="0"/>
              <w:rPr>
                <w:sz w:val="22"/>
                <w:szCs w:val="22"/>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711</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719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1,375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1,318</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7"/>
        </w:trPr>
        <w:tc>
          <w:tcPr>
            <w:tcW w:w="52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margin</w:t>
            </w:r>
          </w:p>
        </w:tc>
        <w:tc>
          <w:tcPr>
            <w:tcW w:w="20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8.7%</w:t>
            </w:r>
          </w:p>
        </w:tc>
        <w:tc>
          <w:tcPr>
            <w:tcW w:w="240" w:type="dxa"/>
            <w:vAlign w:val="bottom"/>
            <w:shd w:val="clear" w:color="auto" w:fill="E4E4E4"/>
          </w:tcPr>
          <w:p>
            <w:pPr>
              <w:spacing w:after="0"/>
              <w:rPr>
                <w:sz w:val="22"/>
                <w:szCs w:val="22"/>
                <w:color w:val="auto"/>
              </w:rPr>
            </w:pPr>
          </w:p>
        </w:tc>
        <w:tc>
          <w:tcPr>
            <w:tcW w:w="78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10.8%</w:t>
            </w: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(210) bps</w:t>
            </w:r>
          </w:p>
        </w:tc>
        <w:tc>
          <w:tcPr>
            <w:tcW w:w="12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8.3%</w:t>
            </w: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9.9%</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(160) bps</w:t>
            </w:r>
          </w:p>
        </w:tc>
      </w:tr>
      <w:tr>
        <w:trPr>
          <w:trHeight w:val="25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231F20"/>
              </w:rPr>
              <w:t>Adjusted EBIT margin*</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 bps</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 bps</w:t>
            </w:r>
          </w:p>
        </w:tc>
      </w:tr>
    </w:tbl>
    <w:p>
      <w:pPr>
        <w:spacing w:after="0" w:line="138" w:lineRule="exact"/>
        <w:rPr>
          <w:sz w:val="20"/>
          <w:szCs w:val="20"/>
          <w:color w:val="auto"/>
        </w:rPr>
      </w:pPr>
    </w:p>
    <w:p>
      <w:pPr>
        <w:ind w:left="460" w:hanging="434"/>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72" w:lineRule="exact"/>
        <w:rPr>
          <w:rFonts w:ascii="Arial" w:cs="Arial" w:eastAsia="Arial" w:hAnsi="Arial"/>
          <w:sz w:val="16"/>
          <w:szCs w:val="16"/>
          <w:color w:val="auto"/>
        </w:rPr>
      </w:pPr>
    </w:p>
    <w:p>
      <w:pPr>
        <w:ind w:left="460" w:right="500" w:hanging="434"/>
        <w:spacing w:after="0" w:line="27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22" w:lineRule="exact"/>
        <w:rPr>
          <w:rFonts w:ascii="Arial" w:cs="Arial" w:eastAsia="Arial" w:hAnsi="Arial"/>
          <w:sz w:val="16"/>
          <w:szCs w:val="16"/>
          <w:color w:val="auto"/>
        </w:rPr>
      </w:pPr>
    </w:p>
    <w:p>
      <w:pPr>
        <w:ind w:left="460" w:right="180" w:hanging="434"/>
        <w:spacing w:after="0" w:line="27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and other one-time costs.</w:t>
      </w:r>
    </w:p>
    <w:p>
      <w:pPr>
        <w:spacing w:after="0" w:line="22" w:lineRule="exact"/>
        <w:rPr>
          <w:rFonts w:ascii="Arial" w:cs="Arial" w:eastAsia="Arial" w:hAnsi="Arial"/>
          <w:sz w:val="16"/>
          <w:szCs w:val="16"/>
          <w:color w:val="auto"/>
        </w:rPr>
      </w:pPr>
    </w:p>
    <w:p>
      <w:pPr>
        <w:ind w:left="460" w:hanging="434"/>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60" w:hanging="434"/>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90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24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2022</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485</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790</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874</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50"/>
        </w:trPr>
        <w:tc>
          <w:tcPr>
            <w:tcW w:w="532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0" w:type="dxa"/>
            <w:vAlign w:val="bottom"/>
          </w:tcPr>
          <w:p>
            <w:pPr>
              <w:spacing w:after="0"/>
              <w:rPr>
                <w:sz w:val="21"/>
                <w:szCs w:val="21"/>
                <w:color w:val="auto"/>
              </w:rPr>
            </w:pP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5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(a)</w:t>
            </w:r>
          </w:p>
        </w:tc>
        <w:tc>
          <w:tcPr>
            <w:tcW w:w="20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98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1000" w:type="dxa"/>
            <w:vAlign w:val="bottom"/>
            <w:shd w:val="clear" w:color="auto" w:fill="E4E4E4"/>
          </w:tcPr>
          <w:p>
            <w:pPr>
              <w:spacing w:after="0"/>
              <w:rPr>
                <w:sz w:val="24"/>
                <w:szCs w:val="24"/>
                <w:color w:val="auto"/>
              </w:rPr>
            </w:pPr>
          </w:p>
        </w:tc>
      </w:tr>
      <w:tr>
        <w:trPr>
          <w:trHeight w:val="284"/>
        </w:trPr>
        <w:tc>
          <w:tcPr>
            <w:tcW w:w="5320" w:type="dxa"/>
            <w:vAlign w:val="bottom"/>
          </w:tcPr>
          <w:p>
            <w:pPr>
              <w:ind w:left="80"/>
              <w:spacing w:after="0"/>
              <w:rPr>
                <w:sz w:val="20"/>
                <w:szCs w:val="20"/>
                <w:color w:val="auto"/>
              </w:rPr>
            </w:pPr>
            <w:r>
              <w:rPr>
                <w:rFonts w:ascii="Arial" w:cs="Arial" w:eastAsia="Arial" w:hAnsi="Arial"/>
                <w:sz w:val="16"/>
                <w:szCs w:val="16"/>
                <w:color w:val="auto"/>
              </w:rPr>
              <w:t>Add: Acquisition and disposition related charges (benefits)</w:t>
            </w:r>
            <w:r>
              <w:rPr>
                <w:rFonts w:ascii="Arial" w:cs="Arial" w:eastAsia="Arial" w:hAnsi="Arial"/>
                <w:sz w:val="21"/>
                <w:szCs w:val="21"/>
                <w:color w:val="auto"/>
                <w:vertAlign w:val="superscript"/>
              </w:rPr>
              <w:t>(b)</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000" w:type="dxa"/>
            <w:vAlign w:val="bottom"/>
          </w:tcPr>
          <w:p>
            <w:pPr>
              <w:spacing w:after="0"/>
              <w:rPr>
                <w:sz w:val="24"/>
                <w:szCs w:val="24"/>
                <w:color w:val="auto"/>
              </w:rPr>
            </w:pPr>
          </w:p>
        </w:tc>
      </w:tr>
      <w:tr>
        <w:trPr>
          <w:trHeight w:val="297"/>
        </w:trPr>
        <w:tc>
          <w:tcPr>
            <w:tcW w:w="5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(c)</w:t>
            </w:r>
          </w:p>
        </w:tc>
        <w:tc>
          <w:tcPr>
            <w:tcW w:w="20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24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4E4E4"/>
          </w:tcPr>
          <w:p>
            <w:pPr>
              <w:spacing w:after="0"/>
              <w:rPr>
                <w:sz w:val="24"/>
                <w:szCs w:val="24"/>
                <w:color w:val="auto"/>
              </w:rPr>
            </w:pPr>
          </w:p>
        </w:tc>
      </w:tr>
      <w:tr>
        <w:trPr>
          <w:trHeight w:val="284"/>
        </w:trPr>
        <w:tc>
          <w:tcPr>
            <w:tcW w:w="5320" w:type="dxa"/>
            <w:vAlign w:val="bottom"/>
          </w:tcPr>
          <w:p>
            <w:pPr>
              <w:ind w:left="80"/>
              <w:spacing w:after="0"/>
              <w:rPr>
                <w:sz w:val="20"/>
                <w:szCs w:val="20"/>
                <w:color w:val="auto"/>
              </w:rPr>
            </w:pPr>
            <w:r>
              <w:rPr>
                <w:rFonts w:ascii="Arial" w:cs="Arial" w:eastAsia="Arial" w:hAnsi="Arial"/>
                <w:sz w:val="16"/>
                <w:szCs w:val="16"/>
                <w:color w:val="auto"/>
              </w:rPr>
              <w:t>Add: (Gain)/loss of business and asset dispositions</w:t>
            </w:r>
            <w:r>
              <w:rPr>
                <w:rFonts w:ascii="Arial" w:cs="Arial" w:eastAsia="Arial" w:hAnsi="Arial"/>
                <w:sz w:val="21"/>
                <w:szCs w:val="21"/>
                <w:color w:val="auto"/>
                <w:vertAlign w:val="superscript"/>
              </w:rPr>
              <w:t>(d)</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0" w:type="dxa"/>
            <w:vAlign w:val="bottom"/>
          </w:tcPr>
          <w:p>
            <w:pPr>
              <w:spacing w:after="0"/>
              <w:rPr>
                <w:sz w:val="24"/>
                <w:szCs w:val="24"/>
                <w:color w:val="auto"/>
              </w:rPr>
            </w:pPr>
          </w:p>
        </w:tc>
      </w:tr>
      <w:tr>
        <w:trPr>
          <w:trHeight w:val="277"/>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980" w:type="dxa"/>
            <w:vAlign w:val="bottom"/>
            <w:tcBorders>
              <w:bottom w:val="single" w:sz="8" w:color="E4E4E4"/>
            </w:tcBorders>
            <w:shd w:val="clear" w:color="auto" w:fill="E4E4E4"/>
          </w:tcPr>
          <w:p>
            <w:pPr>
              <w:spacing w:after="0"/>
              <w:rPr>
                <w:sz w:val="24"/>
                <w:szCs w:val="24"/>
                <w:color w:val="auto"/>
              </w:rPr>
            </w:pPr>
          </w:p>
        </w:tc>
        <w:tc>
          <w:tcPr>
            <w:tcW w:w="1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24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1000" w:type="dxa"/>
            <w:vAlign w:val="bottom"/>
            <w:tcBorders>
              <w:bottom w:val="single" w:sz="8" w:color="E4E4E4"/>
            </w:tcBorders>
            <w:shd w:val="clear" w:color="auto" w:fill="E4E4E4"/>
          </w:tcPr>
          <w:p>
            <w:pPr>
              <w:spacing w:after="0"/>
              <w:rPr>
                <w:sz w:val="24"/>
                <w:szCs w:val="24"/>
                <w:color w:val="auto"/>
              </w:rPr>
            </w:pPr>
          </w:p>
        </w:tc>
      </w:tr>
      <w:tr>
        <w:trPr>
          <w:trHeight w:val="283"/>
        </w:trPr>
        <w:tc>
          <w:tcPr>
            <w:tcW w:w="5320" w:type="dxa"/>
            <w:vAlign w:val="bottom"/>
          </w:tcPr>
          <w:p>
            <w:pPr>
              <w:ind w:left="80"/>
              <w:spacing w:after="0"/>
              <w:rPr>
                <w:sz w:val="20"/>
                <w:szCs w:val="20"/>
                <w:color w:val="auto"/>
              </w:rPr>
            </w:pPr>
            <w:r>
              <w:rPr>
                <w:rFonts w:ascii="Arial" w:cs="Arial" w:eastAsia="Arial" w:hAnsi="Arial"/>
                <w:sz w:val="16"/>
                <w:szCs w:val="16"/>
                <w:color w:val="auto"/>
              </w:rPr>
              <w:t>Add: Investment revaluation (gain)/loss</w:t>
            </w:r>
            <w:r>
              <w:rPr>
                <w:rFonts w:ascii="Arial" w:cs="Arial" w:eastAsia="Arial" w:hAnsi="Arial"/>
                <w:sz w:val="21"/>
                <w:szCs w:val="21"/>
                <w:color w:val="auto"/>
                <w:vertAlign w:val="superscript"/>
              </w:rPr>
              <w:t>(e)</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000" w:type="dxa"/>
            <w:vAlign w:val="bottom"/>
          </w:tcPr>
          <w:p>
            <w:pPr>
              <w:spacing w:after="0"/>
              <w:rPr>
                <w:sz w:val="24"/>
                <w:szCs w:val="24"/>
                <w:color w:val="auto"/>
              </w:rPr>
            </w:pPr>
          </w:p>
        </w:tc>
      </w:tr>
      <w:tr>
        <w:trPr>
          <w:trHeight w:val="236"/>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98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1000" w:type="dxa"/>
            <w:vAlign w:val="bottom"/>
            <w:tcBorders>
              <w:bottom w:val="single" w:sz="8" w:color="E4E4E4"/>
            </w:tcBorders>
            <w:shd w:val="clear" w:color="auto" w:fill="E4E4E4"/>
          </w:tcPr>
          <w:p>
            <w:pPr>
              <w:spacing w:after="0"/>
              <w:rPr>
                <w:sz w:val="20"/>
                <w:szCs w:val="20"/>
                <w:color w:val="auto"/>
              </w:rPr>
            </w:pPr>
          </w:p>
        </w:tc>
      </w:tr>
      <w:tr>
        <w:trPr>
          <w:trHeight w:val="296"/>
        </w:trPr>
        <w:tc>
          <w:tcPr>
            <w:tcW w:w="5320" w:type="dxa"/>
            <w:vAlign w:val="bottom"/>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(f)</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r>
      <w:tr>
        <w:trPr>
          <w:trHeight w:val="303"/>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231F20"/>
              </w:rPr>
              <w:t>Less: Income (loss) from discontinued operations, net of taxes</w:t>
            </w:r>
          </w:p>
        </w:tc>
        <w:tc>
          <w:tcPr>
            <w:tcW w:w="20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E4E4E4"/>
            </w:tcBorders>
            <w:shd w:val="clear" w:color="auto" w:fill="E4E4E4"/>
          </w:tcPr>
          <w:p>
            <w:pPr>
              <w:spacing w:after="0"/>
              <w:rPr>
                <w:sz w:val="24"/>
                <w:szCs w:val="24"/>
                <w:color w:val="auto"/>
              </w:rPr>
            </w:pPr>
          </w:p>
        </w:tc>
        <w:tc>
          <w:tcPr>
            <w:tcW w:w="1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000" w:type="dxa"/>
            <w:vAlign w:val="bottom"/>
            <w:tcBorders>
              <w:bottom w:val="single" w:sz="8" w:color="E4E4E4"/>
            </w:tcBorders>
            <w:shd w:val="clear" w:color="auto" w:fill="E4E4E4"/>
          </w:tcPr>
          <w:p>
            <w:pPr>
              <w:spacing w:after="0"/>
              <w:rPr>
                <w:sz w:val="24"/>
                <w:szCs w:val="24"/>
                <w:color w:val="auto"/>
              </w:rPr>
            </w:pPr>
          </w:p>
        </w:tc>
      </w:tr>
      <w:tr>
        <w:trPr>
          <w:trHeight w:val="256"/>
        </w:trPr>
        <w:tc>
          <w:tcPr>
            <w:tcW w:w="5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524</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807</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460" w:hanging="434"/>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72" w:lineRule="exact"/>
        <w:rPr>
          <w:rFonts w:ascii="Arial" w:cs="Arial" w:eastAsia="Arial" w:hAnsi="Arial"/>
          <w:sz w:val="16"/>
          <w:szCs w:val="16"/>
          <w:color w:val="auto"/>
        </w:rPr>
      </w:pPr>
    </w:p>
    <w:p>
      <w:pPr>
        <w:ind w:left="460" w:right="500" w:hanging="434"/>
        <w:spacing w:after="0" w:line="27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22" w:lineRule="exact"/>
        <w:rPr>
          <w:rFonts w:ascii="Arial" w:cs="Arial" w:eastAsia="Arial" w:hAnsi="Arial"/>
          <w:sz w:val="16"/>
          <w:szCs w:val="16"/>
          <w:color w:val="auto"/>
        </w:rPr>
      </w:pPr>
    </w:p>
    <w:p>
      <w:pPr>
        <w:ind w:left="460" w:right="180" w:hanging="434"/>
        <w:spacing w:after="0" w:line="27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and other one-time costs.</w:t>
      </w:r>
    </w:p>
    <w:p>
      <w:pPr>
        <w:spacing w:after="0" w:line="8" w:lineRule="exact"/>
        <w:rPr>
          <w:rFonts w:ascii="Arial" w:cs="Arial" w:eastAsia="Arial" w:hAnsi="Arial"/>
          <w:sz w:val="16"/>
          <w:szCs w:val="16"/>
          <w:color w:val="auto"/>
        </w:rPr>
      </w:pPr>
    </w:p>
    <w:p>
      <w:pPr>
        <w:ind w:left="460" w:hanging="434"/>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60" w:hanging="434"/>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60" w:right="640" w:hanging="434"/>
        <w:spacing w:after="0" w:line="29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our foreign subsidiaries for which we are no longer permanently reinvested.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4" w:right="339"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56"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54"/>
        </w:trPr>
        <w:tc>
          <w:tcPr>
            <w:tcW w:w="5260" w:type="dxa"/>
            <w:vAlign w:val="bottom"/>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292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0" w:type="dxa"/>
            <w:vAlign w:val="bottom"/>
            <w:gridSpan w:val="5"/>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26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2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20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change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526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 – continuing operations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0.91</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(0.13)</w:t>
            </w:r>
          </w:p>
        </w:tc>
        <w:tc>
          <w:tcPr>
            <w:tcW w:w="2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1.90</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(0.57)</w:t>
            </w:r>
          </w:p>
        </w:tc>
        <w:tc>
          <w:tcPr>
            <w:tcW w:w="0" w:type="dxa"/>
            <w:vAlign w:val="bottom"/>
          </w:tcPr>
          <w:p>
            <w:pPr>
              <w:spacing w:after="0"/>
              <w:rPr>
                <w:sz w:val="1"/>
                <w:szCs w:val="1"/>
                <w:color w:val="auto"/>
              </w:rPr>
            </w:pPr>
          </w:p>
        </w:tc>
      </w:tr>
      <w:tr>
        <w:trPr>
          <w:trHeight w:val="219"/>
        </w:trPr>
        <w:tc>
          <w:tcPr>
            <w:tcW w:w="5260" w:type="dxa"/>
            <w:vAlign w:val="bottom"/>
          </w:tcPr>
          <w:p>
            <w:pPr>
              <w:ind w:left="80"/>
              <w:spacing w:after="0"/>
              <w:rPr>
                <w:sz w:val="20"/>
                <w:szCs w:val="20"/>
                <w:color w:val="auto"/>
              </w:rPr>
            </w:pPr>
            <w:r>
              <w:rPr>
                <w:rFonts w:ascii="Arial" w:cs="Arial" w:eastAsia="Arial" w:hAnsi="Arial"/>
                <w:sz w:val="16"/>
                <w:szCs w:val="16"/>
                <w:color w:val="auto"/>
              </w:rPr>
              <w:t>Add: Deemed preferred stock dividend of redeemable noncontrolling</w:t>
            </w:r>
          </w:p>
        </w:tc>
        <w:tc>
          <w:tcPr>
            <w:tcW w:w="2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0.40</w:t>
            </w:r>
          </w:p>
        </w:tc>
        <w:tc>
          <w:tcPr>
            <w:tcW w:w="22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5260" w:type="dxa"/>
            <w:vAlign w:val="bottom"/>
            <w:vMerge w:val="restart"/>
          </w:tcPr>
          <w:p>
            <w:pPr>
              <w:ind w:left="260"/>
              <w:spacing w:after="0"/>
              <w:rPr>
                <w:sz w:val="20"/>
                <w:szCs w:val="20"/>
                <w:color w:val="auto"/>
              </w:rPr>
            </w:pPr>
            <w:r>
              <w:rPr>
                <w:rFonts w:ascii="Arial" w:cs="Arial" w:eastAsia="Arial" w:hAnsi="Arial"/>
                <w:sz w:val="16"/>
                <w:szCs w:val="16"/>
                <w:color w:val="auto"/>
              </w:rPr>
              <w:t>interest</w:t>
            </w: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(0.27)</w:t>
            </w:r>
          </w:p>
        </w:tc>
        <w:tc>
          <w:tcPr>
            <w:tcW w:w="20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(0.52)</w:t>
            </w:r>
          </w:p>
        </w:tc>
        <w:tc>
          <w:tcPr>
            <w:tcW w:w="220" w:type="dxa"/>
            <w:vAlign w:val="bottom"/>
            <w:tcBorders>
              <w:bottom w:val="single" w:sz="8" w:color="E4E4E4"/>
            </w:tcBorders>
            <w:shd w:val="clear" w:color="auto" w:fill="E4E4E4"/>
          </w:tcPr>
          <w:p>
            <w:pPr>
              <w:spacing w:after="0"/>
              <w:rPr>
                <w:sz w:val="22"/>
                <w:szCs w:val="22"/>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5260" w:type="dxa"/>
            <w:vAlign w:val="bottom"/>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0.04</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0.05</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Acquisition and disposition related charges (benefits)</w:t>
            </w:r>
            <w:r>
              <w:rPr>
                <w:rFonts w:ascii="Arial" w:cs="Arial" w:eastAsia="Arial" w:hAnsi="Arial"/>
                <w:sz w:val="21"/>
                <w:szCs w:val="21"/>
                <w:color w:val="auto"/>
                <w:vertAlign w:val="superscript"/>
              </w:rPr>
              <w:t>(b)</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E4E4E4"/>
          </w:tcPr>
          <w:p>
            <w:pPr>
              <w:spacing w:after="0"/>
              <w:rPr>
                <w:sz w:val="24"/>
                <w:szCs w:val="24"/>
                <w:color w:val="auto"/>
              </w:rPr>
            </w:pPr>
          </w:p>
        </w:tc>
        <w:tc>
          <w:tcPr>
            <w:tcW w:w="68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0.06</w:t>
            </w: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60" w:type="dxa"/>
            <w:vAlign w:val="bottom"/>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(c)</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(Gain)/loss of business and asset dispositions</w:t>
            </w:r>
            <w:r>
              <w:rPr>
                <w:rFonts w:ascii="Arial" w:cs="Arial" w:eastAsia="Arial" w:hAnsi="Arial"/>
                <w:sz w:val="21"/>
                <w:szCs w:val="21"/>
                <w:color w:val="auto"/>
                <w:vertAlign w:val="superscript"/>
              </w:rPr>
              <w:t>(d)</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68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260" w:type="dxa"/>
            <w:vAlign w:val="bottom"/>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0.07</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0.14</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2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Investment revaluation (gain)/loss</w:t>
            </w:r>
            <w:r>
              <w:rPr>
                <w:rFonts w:ascii="Arial" w:cs="Arial" w:eastAsia="Arial" w:hAnsi="Arial"/>
                <w:sz w:val="21"/>
                <w:szCs w:val="21"/>
                <w:color w:val="auto"/>
                <w:vertAlign w:val="superscript"/>
              </w:rPr>
              <w:t>(e)</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E4E4E4"/>
          </w:tcPr>
          <w:p>
            <w:pPr>
              <w:spacing w:after="0"/>
              <w:rPr>
                <w:sz w:val="24"/>
                <w:szCs w:val="24"/>
                <w:color w:val="auto"/>
              </w:rPr>
            </w:pPr>
          </w:p>
        </w:tc>
        <w:tc>
          <w:tcPr>
            <w:tcW w:w="680" w:type="dxa"/>
            <w:vAlign w:val="bottom"/>
            <w:shd w:val="clear" w:color="auto" w:fill="E4E4E4"/>
          </w:tcPr>
          <w:p>
            <w:pPr>
              <w:spacing w:after="0"/>
              <w:rPr>
                <w:sz w:val="24"/>
                <w:szCs w:val="24"/>
                <w:color w:val="auto"/>
              </w:rPr>
            </w:pP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26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(f)</w:t>
            </w:r>
          </w:p>
        </w:tc>
        <w:tc>
          <w:tcPr>
            <w:tcW w:w="220" w:type="dxa"/>
            <w:vAlign w:val="bottom"/>
            <w:tcBorders>
              <w:bottom w:val="single" w:sz="8" w:color="auto"/>
            </w:tcBorders>
            <w:shd w:val="clear" w:color="auto" w:fill="E4E4E4"/>
          </w:tcPr>
          <w:p>
            <w:pPr>
              <w:spacing w:after="0"/>
              <w:rPr>
                <w:sz w:val="24"/>
                <w:szCs w:val="24"/>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4E4E4"/>
          </w:tcPr>
          <w:p>
            <w:pPr>
              <w:spacing w:after="0"/>
              <w:rPr>
                <w:sz w:val="24"/>
                <w:szCs w:val="24"/>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4"/>
                <w:szCs w:val="24"/>
                <w:color w:val="auto"/>
              </w:rPr>
            </w:pPr>
          </w:p>
        </w:tc>
        <w:tc>
          <w:tcPr>
            <w:tcW w:w="680" w:type="dxa"/>
            <w:vAlign w:val="bottom"/>
            <w:tcBorders>
              <w:bottom w:val="single" w:sz="8" w:color="auto"/>
            </w:tcBorders>
            <w:shd w:val="clear" w:color="auto" w:fill="E4E4E4"/>
          </w:tcPr>
          <w:p>
            <w:pPr>
              <w:spacing w:after="0"/>
              <w:rPr>
                <w:sz w:val="24"/>
                <w:szCs w:val="24"/>
                <w:color w:val="auto"/>
              </w:rPr>
            </w:pPr>
          </w:p>
        </w:tc>
        <w:tc>
          <w:tcPr>
            <w:tcW w:w="10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Borders>
              <w:bottom w:val="single" w:sz="8" w:color="auto"/>
            </w:tcBorders>
            <w:shd w:val="clear" w:color="auto" w:fill="E4E4E4"/>
          </w:tcPr>
          <w:p>
            <w:pPr>
              <w:spacing w:after="0"/>
              <w:rPr>
                <w:sz w:val="24"/>
                <w:szCs w:val="24"/>
                <w:color w:val="auto"/>
              </w:rPr>
            </w:pPr>
          </w:p>
        </w:tc>
        <w:tc>
          <w:tcPr>
            <w:tcW w:w="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Adjusted earnings per share*</w:t>
            </w:r>
            <w:r>
              <w:rPr>
                <w:rFonts w:ascii="Arial" w:cs="Arial" w:eastAsia="Arial" w:hAnsi="Arial"/>
                <w:sz w:val="21"/>
                <w:szCs w:val="21"/>
                <w:b w:val="1"/>
                <w:bCs w:val="1"/>
                <w:color w:val="auto"/>
                <w:vertAlign w:val="superscript"/>
              </w:rPr>
              <w:t>(g)</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(0.23)</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(0.36)</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0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454</w:t>
            </w:r>
          </w:p>
        </w:tc>
        <w:tc>
          <w:tcPr>
            <w:tcW w:w="22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454</w:t>
            </w:r>
          </w:p>
        </w:tc>
        <w:tc>
          <w:tcPr>
            <w:tcW w:w="1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hanging="434"/>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72" w:lineRule="exact"/>
        <w:rPr>
          <w:rFonts w:ascii="Arial" w:cs="Arial" w:eastAsia="Arial" w:hAnsi="Arial"/>
          <w:sz w:val="16"/>
          <w:szCs w:val="16"/>
          <w:color w:val="auto"/>
        </w:rPr>
      </w:pPr>
    </w:p>
    <w:p>
      <w:pPr>
        <w:ind w:left="460" w:right="500" w:hanging="434"/>
        <w:spacing w:after="0" w:line="27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22" w:lineRule="exact"/>
        <w:rPr>
          <w:rFonts w:ascii="Arial" w:cs="Arial" w:eastAsia="Arial" w:hAnsi="Arial"/>
          <w:sz w:val="16"/>
          <w:szCs w:val="16"/>
          <w:color w:val="auto"/>
        </w:rPr>
      </w:pPr>
    </w:p>
    <w:p>
      <w:pPr>
        <w:ind w:left="460" w:right="180" w:hanging="434"/>
        <w:spacing w:after="0" w:line="27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and other one-time costs.</w:t>
      </w:r>
    </w:p>
    <w:p>
      <w:pPr>
        <w:spacing w:after="0" w:line="8" w:lineRule="exact"/>
        <w:rPr>
          <w:rFonts w:ascii="Arial" w:cs="Arial" w:eastAsia="Arial" w:hAnsi="Arial"/>
          <w:sz w:val="16"/>
          <w:szCs w:val="16"/>
          <w:color w:val="auto"/>
        </w:rPr>
      </w:pPr>
    </w:p>
    <w:p>
      <w:pPr>
        <w:ind w:left="460" w:hanging="434"/>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60" w:hanging="434"/>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60" w:right="640" w:hanging="434"/>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our foreign subsidiaries for which we are no longer permanently reinvested.</w:t>
      </w:r>
    </w:p>
    <w:p>
      <w:pPr>
        <w:spacing w:after="0" w:line="14" w:lineRule="exact"/>
        <w:rPr>
          <w:rFonts w:ascii="Arial" w:cs="Arial" w:eastAsia="Arial" w:hAnsi="Arial"/>
          <w:sz w:val="16"/>
          <w:szCs w:val="16"/>
          <w:color w:val="auto"/>
        </w:rPr>
      </w:pPr>
    </w:p>
    <w:p>
      <w:pPr>
        <w:ind w:left="460" w:hanging="434"/>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earnings per share* amounts are computed independently, thus, the sum of per-share amounts may not equal the total.</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940" w:type="dxa"/>
            <w:vAlign w:val="bottom"/>
          </w:tcPr>
          <w:p>
            <w:pPr>
              <w:spacing w:after="0"/>
              <w:rPr>
                <w:sz w:val="19"/>
                <w:szCs w:val="19"/>
                <w:color w:val="auto"/>
              </w:rPr>
            </w:pPr>
          </w:p>
        </w:tc>
        <w:tc>
          <w:tcPr>
            <w:tcW w:w="356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6740" w:type="dxa"/>
            <w:vAlign w:val="bottom"/>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9"/>
        </w:trPr>
        <w:tc>
          <w:tcPr>
            <w:tcW w:w="6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660" w:type="dxa"/>
            <w:vAlign w:val="bottom"/>
          </w:tcPr>
          <w:p>
            <w:pPr>
              <w:spacing w:after="0"/>
              <w:rPr>
                <w:sz w:val="19"/>
                <w:szCs w:val="19"/>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57"/>
        </w:trPr>
        <w:tc>
          <w:tcPr>
            <w:tcW w:w="6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94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401</w:t>
            </w:r>
          </w:p>
        </w:tc>
        <w:tc>
          <w:tcPr>
            <w:tcW w:w="102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449</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r>
      <w:tr>
        <w:trPr>
          <w:trHeight w:val="264"/>
        </w:trPr>
        <w:tc>
          <w:tcPr>
            <w:tcW w:w="674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(213)</w:t>
            </w:r>
          </w:p>
        </w:tc>
        <w:tc>
          <w:tcPr>
            <w:tcW w:w="102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(159)</w:t>
            </w:r>
          </w:p>
        </w:tc>
        <w:tc>
          <w:tcPr>
            <w:tcW w:w="1320" w:type="dxa"/>
            <w:vAlign w:val="bottom"/>
          </w:tcPr>
          <w:p>
            <w:pPr>
              <w:spacing w:after="0"/>
              <w:rPr>
                <w:sz w:val="22"/>
                <w:szCs w:val="22"/>
                <w:color w:val="auto"/>
              </w:rPr>
            </w:pP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8"/>
        </w:trPr>
        <w:tc>
          <w:tcPr>
            <w:tcW w:w="6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940" w:type="dxa"/>
            <w:vAlign w:val="bottom"/>
            <w:tcBorders>
              <w:bottom w:val="single" w:sz="8" w:color="E4E4E4"/>
            </w:tcBorders>
            <w:shd w:val="clear" w:color="auto" w:fill="E4E4E4"/>
          </w:tcPr>
          <w:p>
            <w:pPr>
              <w:spacing w:after="0"/>
              <w:rPr>
                <w:sz w:val="24"/>
                <w:szCs w:val="24"/>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02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E4E4E4"/>
            </w:tcBorders>
            <w:shd w:val="clear" w:color="auto" w:fill="E4E4E4"/>
          </w:tcPr>
          <w:p>
            <w:pPr>
              <w:spacing w:after="0"/>
              <w:rPr>
                <w:sz w:val="24"/>
                <w:szCs w:val="24"/>
                <w:color w:val="auto"/>
              </w:rPr>
            </w:pPr>
          </w:p>
        </w:tc>
      </w:tr>
      <w:tr>
        <w:trPr>
          <w:trHeight w:val="256"/>
        </w:trPr>
        <w:tc>
          <w:tcPr>
            <w:tcW w:w="67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293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5"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As of June 30, 2023, our Cash, cash equivalents, and restricted cash balance was $1,939 million. We have historically generated positive cash flows from operating activities from continuing operations. Additionally, we have access to revolving credit facilities of $3,500 million in aggregate, described in detail in Note 8, "Borrowings" to the condensed consolidated and combined financial statements. Historically, we relied on cash pooling arrangements with GE to manage liquidity and fund our operations. Upon completion of the Spin-Off, we ceased participation in GE cash pooling arrangements and our Cash, cash equivalents, and restricted cash are held and used solely for our own ongoing operations and commitments.</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47" w:right="339" w:bottom="3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399"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29"/>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420" w:type="dxa"/>
            <w:vAlign w:val="bottom"/>
            <w:tcBorders>
              <w:bottom w:val="single" w:sz="8" w:color="454545"/>
            </w:tcBorders>
          </w:tcPr>
          <w:p>
            <w:pPr>
              <w:spacing w:after="0"/>
              <w:rPr>
                <w:sz w:val="24"/>
                <w:szCs w:val="24"/>
                <w:color w:val="auto"/>
              </w:rPr>
            </w:pPr>
          </w:p>
        </w:tc>
        <w:tc>
          <w:tcPr>
            <w:tcW w:w="3660" w:type="dxa"/>
            <w:vAlign w:val="bottom"/>
            <w:tcBorders>
              <w:bottom w:val="single" w:sz="8" w:color="454545"/>
            </w:tcBorders>
            <w:gridSpan w:val="3"/>
          </w:tcPr>
          <w:p>
            <w:pPr>
              <w:jc w:val="right"/>
              <w:ind w:right="63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33"/>
        </w:trPr>
        <w:tc>
          <w:tcPr>
            <w:tcW w:w="7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jc w:val="right"/>
              <w:ind w:right="739"/>
              <w:spacing w:after="0"/>
              <w:rPr>
                <w:sz w:val="20"/>
                <w:szCs w:val="20"/>
                <w:color w:val="auto"/>
              </w:rPr>
            </w:pPr>
            <w:r>
              <w:rPr>
                <w:rFonts w:ascii="Arial" w:cs="Arial" w:eastAsia="Arial" w:hAnsi="Arial"/>
                <w:sz w:val="16"/>
                <w:szCs w:val="16"/>
                <w:b w:val="1"/>
                <w:bCs w:val="1"/>
                <w:color w:val="454545"/>
              </w:rPr>
              <w:t>2023</w:t>
            </w:r>
          </w:p>
        </w:tc>
        <w:tc>
          <w:tcPr>
            <w:tcW w:w="500" w:type="dxa"/>
            <w:vAlign w:val="bottom"/>
          </w:tcPr>
          <w:p>
            <w:pPr>
              <w:spacing w:after="0"/>
              <w:rPr>
                <w:sz w:val="20"/>
                <w:szCs w:val="20"/>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2022</w:t>
            </w:r>
          </w:p>
        </w:tc>
      </w:tr>
      <w:tr>
        <w:trPr>
          <w:trHeight w:val="21"/>
        </w:trPr>
        <w:tc>
          <w:tcPr>
            <w:tcW w:w="71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r>
      <w:tr>
        <w:trPr>
          <w:trHeight w:val="250"/>
        </w:trPr>
        <w:tc>
          <w:tcPr>
            <w:tcW w:w="716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420" w:type="dxa"/>
            <w:vAlign w:val="bottom"/>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401</w:t>
            </w:r>
          </w:p>
        </w:tc>
        <w:tc>
          <w:tcPr>
            <w:tcW w:w="500" w:type="dxa"/>
            <w:vAlign w:val="bottom"/>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449</w:t>
            </w:r>
          </w:p>
        </w:tc>
      </w:tr>
      <w:tr>
        <w:trPr>
          <w:trHeight w:val="253"/>
        </w:trPr>
        <w:tc>
          <w:tcPr>
            <w:tcW w:w="716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4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(350)</w:t>
            </w: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60"/>
        </w:trPr>
        <w:tc>
          <w:tcPr>
            <w:tcW w:w="716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420" w:type="dxa"/>
            <w:vAlign w:val="bottom"/>
            <w:shd w:val="clear" w:color="auto" w:fill="E4E4E4"/>
          </w:tcPr>
          <w:p>
            <w:pPr>
              <w:spacing w:after="0"/>
              <w:rPr>
                <w:sz w:val="22"/>
                <w:szCs w:val="22"/>
                <w:color w:val="auto"/>
              </w:rPr>
            </w:pPr>
          </w:p>
        </w:tc>
        <w:tc>
          <w:tcPr>
            <w:tcW w:w="16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446</w:t>
            </w:r>
          </w:p>
        </w:tc>
        <w:tc>
          <w:tcPr>
            <w:tcW w:w="500" w:type="dxa"/>
            <w:vAlign w:val="bottom"/>
            <w:shd w:val="clear" w:color="auto" w:fill="E4E4E4"/>
          </w:tcPr>
          <w:p>
            <w:pPr>
              <w:spacing w:after="0"/>
              <w:rPr>
                <w:sz w:val="22"/>
                <w:szCs w:val="22"/>
                <w:color w:val="auto"/>
              </w:rPr>
            </w:pPr>
          </w:p>
        </w:tc>
        <w:tc>
          <w:tcPr>
            <w:tcW w:w="1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(280)</w:t>
            </w:r>
          </w:p>
        </w:tc>
      </w:tr>
      <w:tr>
        <w:trPr>
          <w:trHeight w:val="253"/>
        </w:trPr>
        <w:tc>
          <w:tcPr>
            <w:tcW w:w="7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Free cash flow*</w:t>
            </w:r>
          </w:p>
        </w:tc>
        <w:tc>
          <w:tcPr>
            <w:tcW w:w="4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7"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Cash generated from operating activities from continuing operations was $401 million for the six months ended June 30, 2023 and $449 million for the six months ended June 30, 2022.</w:t>
      </w:r>
    </w:p>
    <w:p>
      <w:pPr>
        <w:spacing w:after="0" w:line="20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Cash generated from operating activities in the six months ended June 30, 2023 included Net income of $816 million, non-cash charges for depreciation and amortization of $313 million, and $728 million outflow from changes in assets and liabilities, primarily driven by bi-annual cash paid for interest for senior unsecured notes, an increase in inventory and an increase in company funded benefit payments for postretirement benefit plans.</w:t>
      </w:r>
    </w:p>
    <w:p>
      <w:pPr>
        <w:spacing w:after="0" w:line="20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Cash generated from operating activities in the six months ended June 30, 2022 included Net income of $888 million, non-cash charges for depreciation and amortization of $316 million, and $755 million outflow from changes in assets and liabilities, primarily driven by an increase in inventory and higher cash taxes paid, partially offset by an increase in accounts payable.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used for investing activities from continuing operations was $350 million for the six months ended June 30, 2023 and $185 million for the six months ended June 30, 2022.</w:t>
      </w:r>
    </w:p>
    <w:p>
      <w:pPr>
        <w:spacing w:after="0" w:line="210" w:lineRule="exact"/>
        <w:rPr>
          <w:sz w:val="20"/>
          <w:szCs w:val="20"/>
          <w:color w:val="auto"/>
        </w:rPr>
      </w:pPr>
    </w:p>
    <w:p>
      <w:pPr>
        <w:ind w:right="380"/>
        <w:spacing w:after="0" w:line="244" w:lineRule="auto"/>
        <w:rPr>
          <w:sz w:val="20"/>
          <w:szCs w:val="20"/>
          <w:color w:val="auto"/>
        </w:rPr>
      </w:pPr>
      <w:r>
        <w:rPr>
          <w:rFonts w:ascii="Arial" w:cs="Arial" w:eastAsia="Arial" w:hAnsi="Arial"/>
          <w:sz w:val="16"/>
          <w:szCs w:val="16"/>
          <w:color w:val="auto"/>
        </w:rPr>
        <w:t>Cash used for investing activities in the six months ended June 30, 2023 primarily included additions to PP&amp;E of $213 million related primarily to new product introductions, manufacturing capacity expansion, and purchases of businesses, net of cash acquired of $147 million primarily related to Caption Health, Inc. (“Caption Health”). On February 17, 2023, we acquired Caption Health, an artificial intelligence ("AI") company whose technology expands access to AI-guided ultrasound screening for novice users.</w:t>
      </w:r>
    </w:p>
    <w:p>
      <w:pPr>
        <w:spacing w:after="0" w:line="237"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Cash used for investing activities from continuing operations was $185 million in the six months ended June 30, 2022, and included additions to PP&amp;E of $159 million related primarily to new product introductions and manufacturing capacity expansion.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7"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Cash generated from financing activities from continuing operations was $446 million for the six months ended June 30, 2023 and cash used for financing activities from continuing operations was $280 million for the six months ended June 30, 2022.</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Cash used for financing activities primarily included $1,317 million and $225 million of transfers to GE in the six months ended June 30, 2023 and 2022, respectively, and $211 million of Redemption of noncontrolling interests in the six months ended June 30, 2023, offset by newly issued debt of $2,000 million in the six months ended June 30, 2023.</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2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Free cash flow* was $189 million for the six months ended June 30, 2023 and primarily included $401 million of cash generated from operating activities in the six months ended June 30, 2023, partially offset by $213 million of cash used for capital expenditures in the six months ended June 30, 2023.</w:t>
      </w:r>
    </w:p>
    <w:p>
      <w:pPr>
        <w:spacing w:after="0" w:line="21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Free cash flow* was $293 million for the six months ended June 30, 2022 and primarily included $449 million of cash generated from operating activities in the six months ended June 30, 2022, partially offset by $159 million of cash used for capital expenditures in the six months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2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Cash used for capital expenditures was $213 million and $159 million for the six months ended June 30, 2023 and 2022, respectively. Capital expenditures were primarily for manufacturing capacity expansion, equipment and tooling for new and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i w:val="1"/>
          <w:iCs w:val="1"/>
          <w:color w:val="231F20"/>
        </w:rPr>
        <w:t>Material Cash Requirements</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purchase arrangements are provided in Note 8, “Borrowings,” and Note 13, “Commitments, Guarantees, Product Warranties, and Other Loss Contingencies,” to the condensed consolidated and combined financial statements contained elsewhere in this Quarterly Report on Form 10-Q, as well as Note 7, “Leases,” disclosed in our Annual Report on Form 10-K for the fiscal year ended December 31, 2022. Additionally, we have material cash requirements related to our pension obligations as described in Note 9, “Postretirement Benefit Plans,” to the condensed consolidated and combined financial statements in this Quarterly Report on Form 10-Q.</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As part of our capital structure, we have incurred debt. The servicing of this debt will be supported by cash flows from our operations. As of June 30, 2023, we had $10,238 million of total debt compared to $8,250 million as of December 31, 2022.</w:t>
      </w:r>
    </w:p>
    <w:p>
      <w:pPr>
        <w:spacing w:after="0" w:line="196"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231F20"/>
        </w:rPr>
        <w:t xml:space="preserve">The weighted average interest rates for the Notes and our Credit Facilities for the </w:t>
      </w:r>
      <w:r>
        <w:rPr>
          <w:rFonts w:ascii="Arial" w:cs="Arial" w:eastAsia="Arial" w:hAnsi="Arial"/>
          <w:sz w:val="16"/>
          <w:szCs w:val="16"/>
          <w:color w:val="000000"/>
        </w:rPr>
        <w:t>six months ended</w:t>
      </w:r>
      <w:r>
        <w:rPr>
          <w:rFonts w:ascii="Arial" w:cs="Arial" w:eastAsia="Arial" w:hAnsi="Arial"/>
          <w:sz w:val="16"/>
          <w:szCs w:val="16"/>
          <w:color w:val="231F20"/>
        </w:rPr>
        <w:t xml:space="preserve"> June 30, 2023 was </w:t>
      </w:r>
      <w:r>
        <w:rPr>
          <w:rFonts w:ascii="Arial" w:cs="Arial" w:eastAsia="Arial" w:hAnsi="Arial"/>
          <w:sz w:val="16"/>
          <w:szCs w:val="16"/>
          <w:color w:val="000000"/>
        </w:rPr>
        <w:t>5.98%.</w:t>
      </w:r>
      <w:r>
        <w:rPr>
          <w:rFonts w:ascii="Arial" w:cs="Arial" w:eastAsia="Arial" w:hAnsi="Arial"/>
          <w:sz w:val="16"/>
          <w:szCs w:val="16"/>
          <w:color w:val="231F20"/>
        </w:rPr>
        <w:t xml:space="preserve"> We had no principal debt repayments on the Notes or the Term Loan Facility for the </w:t>
      </w:r>
      <w:r>
        <w:rPr>
          <w:rFonts w:ascii="Arial" w:cs="Arial" w:eastAsia="Arial" w:hAnsi="Arial"/>
          <w:sz w:val="16"/>
          <w:szCs w:val="16"/>
          <w:color w:val="000000"/>
        </w:rPr>
        <w:t>six months ended</w:t>
      </w:r>
      <w:r>
        <w:rPr>
          <w:rFonts w:ascii="Arial" w:cs="Arial" w:eastAsia="Arial" w:hAnsi="Arial"/>
          <w:sz w:val="16"/>
          <w:szCs w:val="16"/>
          <w:color w:val="231F20"/>
        </w:rPr>
        <w:t xml:space="preserve"> June 30, 2023.</w:t>
      </w:r>
    </w:p>
    <w:p>
      <w:pPr>
        <w:spacing w:after="0" w:line="21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credit facilities include a five-year senior unsecured revolving facility that provides borrowings of up to $2,500 million expiring in November 2028, and a 364-day senior unsecured revolving facility that provides borrowings of up to $1,000 million expiring in November 2023.</w:t>
      </w:r>
    </w:p>
    <w:p>
      <w:pPr>
        <w:spacing w:after="0" w:line="199"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The Credit Facilities include various customary covenants that limit, among other things, the incurrence of liens, the entry into certain fundamental change transactions by GE HealthCare, and the maximum permitted leverage ratio. As of June 30, 2023, we were in compliance with the covenant requirements, including the maximum permitted leverage ratio.</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debt and credit facilities, see Note 8, “Borrowings” to the condensed consolidated and combined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have historically relied, via GE, on the debt capital markets to fund a significant portion of our operations. Concurrent with our Spin-off, we accessed the capital markets and raised $10,250 million of debt by issuing $8,250 million of senior unsecured notes in November 2022, and completed a drawdown of the Term Loan Facility of $2,000 million in January 2023. In addition, we were able to arrange revolving credit facilities of $3,500 million to further support our liquidity needs. We plan to continue to rely on capital markets, and we expect to have access to credit facilities to fund operations. The cost and availability of debt financing will be influenced by our credit ratings and market conditions. Moody’s Investors Service (“Moody’s”), Standard and Poor's Global Ratings (“S&amp;P”), and Fitch Ratings (“Fitch”) currently issue ratings on our long-term debt. Our credit ratings as of the date of this filing are set forth in the table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80" w:type="dxa"/>
            <w:vAlign w:val="bottom"/>
          </w:tcPr>
          <w:p>
            <w:pPr>
              <w:spacing w:after="0"/>
              <w:rPr>
                <w:sz w:val="19"/>
                <w:szCs w:val="19"/>
                <w:color w:val="auto"/>
              </w:rPr>
            </w:pPr>
          </w:p>
        </w:tc>
        <w:tc>
          <w:tcPr>
            <w:tcW w:w="3740" w:type="dxa"/>
            <w:vAlign w:val="bottom"/>
          </w:tcPr>
          <w:p>
            <w:pPr>
              <w:jc w:val="center"/>
              <w:ind w:left="1559"/>
              <w:spacing w:after="0"/>
              <w:rPr>
                <w:sz w:val="20"/>
                <w:szCs w:val="20"/>
                <w:color w:val="auto"/>
              </w:rPr>
            </w:pPr>
            <w:r>
              <w:rPr>
                <w:rFonts w:ascii="Arial" w:cs="Arial" w:eastAsia="Arial" w:hAnsi="Arial"/>
                <w:sz w:val="16"/>
                <w:szCs w:val="16"/>
                <w:b w:val="1"/>
                <w:bCs w:val="1"/>
                <w:color w:val="454545"/>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33"/>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We are disclosing our credit ratings to enhance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65" w:lineRule="exact"/>
        <w:rPr>
          <w:sz w:val="20"/>
          <w:szCs w:val="20"/>
          <w:color w:val="auto"/>
        </w:rPr>
      </w:pPr>
    </w:p>
    <w:p>
      <w:pPr>
        <w:ind w:right="720"/>
        <w:spacing w:after="0" w:line="276" w:lineRule="auto"/>
        <w:rPr>
          <w:sz w:val="20"/>
          <w:szCs w:val="20"/>
          <w:color w:val="auto"/>
        </w:rPr>
      </w:pPr>
      <w:r>
        <w:rPr>
          <w:rFonts w:ascii="Arial" w:cs="Arial" w:eastAsia="Arial" w:hAnsi="Arial"/>
          <w:sz w:val="16"/>
          <w:szCs w:val="16"/>
          <w:color w:val="auto"/>
        </w:rPr>
        <w:t xml:space="preserve">For a discussion of recently issued accounting standards, see Note 1, </w:t>
      </w:r>
      <w:r>
        <w:rPr>
          <w:rFonts w:ascii="Arial" w:cs="Arial" w:eastAsia="Arial" w:hAnsi="Arial"/>
          <w:sz w:val="16"/>
          <w:szCs w:val="16"/>
          <w:color w:val="231F20"/>
        </w:rPr>
        <w:t>“</w:t>
      </w:r>
      <w:r>
        <w:rPr>
          <w:rFonts w:ascii="Arial" w:cs="Arial" w:eastAsia="Arial" w:hAnsi="Arial"/>
          <w:sz w:val="16"/>
          <w:szCs w:val="16"/>
          <w:color w:val="auto"/>
        </w:rPr>
        <w:t>Organization and Basis of Presentation</w:t>
      </w:r>
      <w:r>
        <w:rPr>
          <w:rFonts w:ascii="Arial" w:cs="Arial" w:eastAsia="Arial" w:hAnsi="Arial"/>
          <w:sz w:val="16"/>
          <w:szCs w:val="16"/>
          <w:color w:val="231F20"/>
        </w:rPr>
        <w:t>”</w:t>
      </w:r>
      <w:r>
        <w:rPr>
          <w:rFonts w:ascii="Arial" w:cs="Arial" w:eastAsia="Arial" w:hAnsi="Arial"/>
          <w:sz w:val="16"/>
          <w:szCs w:val="16"/>
          <w:color w:val="auto"/>
        </w:rPr>
        <w:t xml:space="preserve"> to the condensed consolidated and combined financial statements appearing elsewhere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65"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Our financial results are affected by the selection and application of accounting policies and methods. We have adopted accounting policies to prepare our condensed consolidated and combined financial statements in conformity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ind w:right="60"/>
        <w:spacing w:after="0" w:line="260" w:lineRule="auto"/>
        <w:rPr>
          <w:sz w:val="20"/>
          <w:szCs w:val="20"/>
          <w:color w:val="auto"/>
        </w:rPr>
      </w:pPr>
      <w:r>
        <w:rPr>
          <w:rFonts w:ascii="Arial" w:cs="Arial" w:eastAsia="Arial" w:hAnsi="Arial"/>
          <w:sz w:val="16"/>
          <w:szCs w:val="16"/>
          <w:color w:val="auto"/>
        </w:rPr>
        <w:t>To prepare our condensed consolidated and combined financial statements in accordance with U.S. GAAP, management makes estimates and assumptions that may affect the reported amounts of our assets and liabilities, including our contingent liabilities, as of the date of our condensed consolidated and combined financial statements and the reported amounts of our revenues and expenses during the reporting periods. Our actual results may differ from these estimates. We consider estimates to be critical (i) if we are required to make assumptions about material matters that are uncertain at the time of estimation or (ii) if materially different estimates could have been made or it is reasonably likely that the accounting estimate will change from period to period.</w:t>
      </w:r>
    </w:p>
    <w:p>
      <w:pPr>
        <w:spacing w:after="0" w:line="200" w:lineRule="exact"/>
        <w:rPr>
          <w:sz w:val="20"/>
          <w:szCs w:val="20"/>
          <w:color w:val="auto"/>
        </w:rPr>
      </w:pPr>
    </w:p>
    <w:p>
      <w:pPr>
        <w:spacing w:after="0" w:line="20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Management believes that there have been no significant changes during the six months ended June 30, 2023 to the items that we disclosed as our critical accounting estimates in our Annual Report on Form 10-K for the fiscal year ended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6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are exposed to market risk primarily from changes in interest rates and foreign currency exchange rates, which may impact future income, cash flows, and fair value of our business. In certain situations, we may seek to reduce cash flow volatility associated with changes in interest rates and foreign currency exchange rates by entering into financial arrangements intended to provide a hedge against a portion of the risks associated with such volatility. We continue to have exposure to such risks to the extent they are not hedged. We enter into derivative financial arrangements to the extent they meet the objective described above, and we do not use derivatives for trading or speculative purposes.</w:t>
      </w:r>
    </w:p>
    <w:p>
      <w:pPr>
        <w:spacing w:after="0" w:line="21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See Note 12, “Financial Instruments and Fair Value Measurements” for further information about our risk exposures, our use of derivatives, and the effects of this activity on our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the direction of our Chief Executive Officer (“CEO”) and our Chief Financial Officer (“CFO”), we have evaluated the effectiveness of our disclosure controls and procedures as of June 30, 2023 (as defined in Rule 13a-15(e) and 15d-15(e) under the Securities Exchange Act of 1934, as amended). Based on their evaluation, our CEO and CFO concluded that, as of June 30, 2023, our disclosure controls and procedures were effective.</w:t>
      </w:r>
    </w:p>
    <w:p>
      <w:pPr>
        <w:spacing w:after="0" w:line="203"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relied on certain material processes and internal controls over financial reporting performed by GE prior to the Spin-Off. Following the Spin-Off, new corporate and governance functions were implemented in order to meet the regulatory requirements of a standalone public company, such as external reporting, treasury, and stock administration. There were no changes in our internal control over financial reporting during the quarter ended June 30, 2023 that have materially affected, or are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65"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211"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We are reporting the following environmental matter in compliance with SEC requirements to disclose environmental proceedings where a governmental authority is a party and that involve potential monetary sanctions of $300,000 or greater.</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July 2022, GE HealthCare received a notice of intention to impose an administrative fine of approximately $0.6 million related to a December 2019 liquid hazardous waste event at our Rehovot, Israel site. The event involved clean room waste that spilled onto an unsealed floor, leading to an escape of a small amount of liquid to a third-party facility on a lower floor. The Israeli Ministry of Environmental Protection (“MEP”) concluded that the incident breached the site’s toxins permit. In accordance with local law, GE HealthCare responded to MEP’s notice of fine challenging both the basis for, and level of, the fine. In June 2023, MEP returned a decision reducing the overall administrative fine to approximately $0.3 million. GE HealthCare paid the fine to MEP on June 18,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sales of equity securities during the period covered by this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300"/>
        <w:spacing w:after="0"/>
        <w:tabs>
          <w:tab w:leader="none" w:pos="1200" w:val="left"/>
        </w:tabs>
        <w:rPr>
          <w:sz w:val="20"/>
          <w:szCs w:val="20"/>
          <w:color w:val="auto"/>
        </w:rPr>
      </w:pPr>
      <w:r>
        <w:rPr>
          <w:rFonts w:ascii="Arial" w:cs="Arial" w:eastAsia="Arial" w:hAnsi="Arial"/>
          <w:sz w:val="16"/>
          <w:szCs w:val="16"/>
          <w:b w:val="1"/>
          <w:bCs w:val="1"/>
          <w:color w:val="454545"/>
        </w:rPr>
        <w:t>Number</w:t>
      </w:r>
      <w:r>
        <w:rPr>
          <w:sz w:val="20"/>
          <w:szCs w:val="20"/>
          <w:color w:val="auto"/>
        </w:rPr>
        <w:tab/>
      </w:r>
      <w:r>
        <w:rPr>
          <w:rFonts w:ascii="Arial" w:cs="Arial" w:eastAsia="Arial" w:hAnsi="Arial"/>
          <w:sz w:val="16"/>
          <w:szCs w:val="16"/>
          <w:b w:val="1"/>
          <w:bCs w:val="1"/>
          <w:color w:val="454545"/>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220" w:right="120" w:hanging="724"/>
        <w:spacing w:after="0" w:line="293" w:lineRule="auto"/>
        <w:tabs>
          <w:tab w:leader="none" w:pos="120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62">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62">
        <w:r>
          <w:rPr>
            <w:rFonts w:ascii="Arial" w:cs="Arial" w:eastAsia="Arial" w:hAnsi="Arial"/>
            <w:sz w:val="16"/>
            <w:szCs w:val="16"/>
            <w:u w:val="single" w:color="auto"/>
            <w:color w:val="0E32E1"/>
          </w:rPr>
          <w:t>with the SEC on December 29, 2022).</w:t>
        </w:r>
      </w:hyperlink>
    </w:p>
    <w:p>
      <w:pPr>
        <w:spacing w:after="0" w:line="10" w:lineRule="exact"/>
        <w:rPr>
          <w:sz w:val="20"/>
          <w:szCs w:val="20"/>
          <w:color w:val="auto"/>
        </w:rPr>
      </w:pPr>
    </w:p>
    <w:p>
      <w:pPr>
        <w:ind w:left="1220" w:right="300" w:hanging="724"/>
        <w:spacing w:after="0" w:line="293" w:lineRule="auto"/>
        <w:tabs>
          <w:tab w:leader="none" w:pos="120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63">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63">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440"/>
        <w:spacing w:after="0"/>
        <w:tabs>
          <w:tab w:leader="none" w:pos="120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6"/>
          <w:szCs w:val="16"/>
          <w:u w:val="single" w:color="auto"/>
          <w:color w:val="0E32E1"/>
        </w:rPr>
        <w:t>GE HealthCare US Severance and Change in Control Plan for CEO and Leadership Team.</w:t>
      </w:r>
    </w:p>
    <w:p>
      <w:pPr>
        <w:spacing w:after="0" w:line="73"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6"/>
          <w:szCs w:val="16"/>
          <w:u w:val="single" w:color="auto"/>
          <w:color w:val="0E32E1"/>
        </w:rPr>
        <w:t>Offer Letter with James K. Saccaro, dated May 4, 2023.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53" w:lineRule="exact"/>
        <w:rPr>
          <w:sz w:val="20"/>
          <w:szCs w:val="20"/>
          <w:color w:val="auto"/>
        </w:rPr>
      </w:pPr>
    </w:p>
    <w:p>
      <w:pPr>
        <w:ind w:left="1220" w:right="220" w:hanging="769"/>
        <w:spacing w:after="0" w:line="293" w:lineRule="auto"/>
        <w:tabs>
          <w:tab w:leader="none" w:pos="120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10" w:lineRule="exact"/>
        <w:rPr>
          <w:sz w:val="20"/>
          <w:szCs w:val="20"/>
          <w:color w:val="auto"/>
        </w:rPr>
      </w:pPr>
    </w:p>
    <w:p>
      <w:pPr>
        <w:ind w:left="1220" w:right="280" w:hanging="769"/>
        <w:spacing w:after="0" w:line="293" w:lineRule="auto"/>
        <w:tabs>
          <w:tab w:leader="none" w:pos="120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220" w:right="520" w:hanging="769"/>
        <w:spacing w:after="0" w:line="293" w:lineRule="auto"/>
        <w:tabs>
          <w:tab w:leader="none" w:pos="120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18" w:lineRule="exact"/>
        <w:rPr>
          <w:sz w:val="20"/>
          <w:szCs w:val="20"/>
          <w:color w:val="auto"/>
        </w:rPr>
      </w:pPr>
    </w:p>
    <w:p>
      <w:pPr>
        <w:ind w:left="1220" w:hanging="753"/>
        <w:spacing w:after="0" w:line="269" w:lineRule="auto"/>
        <w:tabs>
          <w:tab w:leader="none" w:pos="122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June 30, 2023, formatted in inline XBRL (eXtensible Business Reporting Language); (i) Condensed Consolidated and Combined Statements of Income for the three and six months ended June 30, 2023 and 2022; (ii) Condensed Consolidated and Combined Statements of Comprehensive Income for the three and six months ended June 30, 2023 and 2022; (iii) Condensed Consolidated and Combined Statements of Financial Position at June 30, 2023 and December 31, 2022; (iv) Condensed Consolidated and Combined Statements of Changes in Equity for the three and six months ended June 30, 2023 and 2022; (v) Condensed Consolidated and Combined Statements of Cash Flows for the six months ended June 30, 2023 and 2022; and (vi) Notes to the Condensed Consolidated and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 w:lineRule="exact"/>
        <w:rPr>
          <w:sz w:val="20"/>
          <w:szCs w:val="20"/>
          <w:color w:val="auto"/>
        </w:rPr>
      </w:pPr>
    </w:p>
    <w:p>
      <w:pPr>
        <w:ind w:left="1220" w:hanging="753"/>
        <w:spacing w:after="0"/>
        <w:tabs>
          <w:tab w:leader="none" w:pos="122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73" w:lineRule="exact"/>
        <w:rPr>
          <w:sz w:val="20"/>
          <w:szCs w:val="20"/>
          <w:color w:val="auto"/>
        </w:rPr>
      </w:pPr>
    </w:p>
    <w:p>
      <w:pPr>
        <w:ind w:left="1220" w:right="120" w:hanging="663"/>
        <w:spacing w:after="0" w:line="278" w:lineRule="auto"/>
        <w:tabs>
          <w:tab w:leader="none" w:pos="1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SIGNATURES</w:t>
      </w:r>
    </w:p>
    <w:p>
      <w:pPr>
        <w:spacing w:after="0" w:line="2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ind w:left="20"/>
              <w:spacing w:after="0"/>
              <w:rPr>
                <w:sz w:val="20"/>
                <w:szCs w:val="20"/>
                <w:color w:val="auto"/>
              </w:rPr>
            </w:pPr>
            <w:r>
              <w:rPr>
                <w:rFonts w:ascii="Arial" w:cs="Arial" w:eastAsia="Arial" w:hAnsi="Arial"/>
                <w:sz w:val="16"/>
                <w:szCs w:val="16"/>
                <w:color w:val="auto"/>
              </w:rPr>
              <w:t>GE HealthCare Technologies Inc.</w:t>
            </w:r>
          </w:p>
        </w:tc>
      </w:tr>
      <w:tr>
        <w:trPr>
          <w:trHeight w:val="33"/>
        </w:trPr>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71"/>
        </w:trPr>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8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513"/>
        </w:trPr>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rPr>
              <w:t>July 25, 2023</w:t>
            </w:r>
          </w:p>
        </w:tc>
        <w:tc>
          <w:tcPr>
            <w:tcW w:w="7680" w:type="dxa"/>
            <w:vAlign w:val="bottom"/>
          </w:tcPr>
          <w:p>
            <w:pPr>
              <w:ind w:left="20"/>
              <w:spacing w:after="0"/>
              <w:rPr>
                <w:sz w:val="20"/>
                <w:szCs w:val="20"/>
                <w:color w:val="auto"/>
              </w:rPr>
            </w:pPr>
            <w:r>
              <w:rPr>
                <w:rFonts w:ascii="Arial" w:cs="Arial" w:eastAsia="Arial" w:hAnsi="Arial"/>
                <w:sz w:val="16"/>
                <w:szCs w:val="16"/>
                <w:color w:val="auto"/>
              </w:rPr>
              <w:t>/s/ George A. Newcomb</w:t>
            </w:r>
          </w:p>
        </w:tc>
      </w:tr>
      <w:tr>
        <w:trPr>
          <w:trHeight w:val="33"/>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17"/>
        </w:trPr>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rPr>
              <w:t>Date</w:t>
            </w:r>
          </w:p>
        </w:tc>
        <w:tc>
          <w:tcPr>
            <w:tcW w:w="7680" w:type="dxa"/>
            <w:vAlign w:val="bottom"/>
          </w:tcPr>
          <w:p>
            <w:pPr>
              <w:ind w:left="20"/>
              <w:spacing w:after="0"/>
              <w:rPr>
                <w:sz w:val="20"/>
                <w:szCs w:val="20"/>
                <w:color w:val="auto"/>
              </w:rPr>
            </w:pPr>
            <w:r>
              <w:rPr>
                <w:rFonts w:ascii="Arial" w:cs="Arial" w:eastAsia="Arial" w:hAnsi="Arial"/>
                <w:sz w:val="16"/>
                <w:szCs w:val="16"/>
                <w:color w:val="auto"/>
              </w:rPr>
              <w:t>George A. Newcomb, Controller &amp; Chief Accounting Officer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20"/>
          </w:cols>
          <w:pgMar w:left="320" w:top="1089"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 HealthCare US Severance and Change in Control Plan for CEO and Leadership Team</w:t>
      </w: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I.</w:t>
      </w:r>
      <w:r>
        <w:rPr>
          <w:sz w:val="20"/>
          <w:szCs w:val="20"/>
          <w:color w:val="auto"/>
        </w:rPr>
        <w:tab/>
      </w:r>
      <w:r>
        <w:rPr>
          <w:rFonts w:ascii="Arial" w:cs="Arial" w:eastAsia="Arial" w:hAnsi="Arial"/>
          <w:sz w:val="21"/>
          <w:szCs w:val="21"/>
          <w:b w:val="1"/>
          <w:bCs w:val="1"/>
          <w:color w:val="auto"/>
        </w:rPr>
        <w:t>Purpose and Effective Date</w:t>
      </w:r>
    </w:p>
    <w:p>
      <w:pPr>
        <w:spacing w:after="0" w:line="230"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 GE HealthCare US Severance and Change in Control Plan for CEO and Leadership Team (the “Plan”) provides severance benefits under specified conditions to the CEO and Executives who experience a Qualifying Termination on or after April 1, 2023 (the “Effective Date”). The Plan is an unfunded plan maintained primarily for the purpose of providing severance benefits to a select group of management and highly compensated employees of GE HealthCare and Participating Affiliates. The Plan shall be interpreted and administered consistently with the intent to be a “top hat” plan that is not subject to various provisions of ERISA. All capitalized terms are defined below or in Section VIII. On June 22, 2023, the Compensation Committee restated the Plan as provided herein to clarify the application of termination trigger definitions without any increase in benefits.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II.</w:t>
      </w:r>
      <w:r>
        <w:rPr>
          <w:sz w:val="20"/>
          <w:szCs w:val="20"/>
          <w:color w:val="auto"/>
        </w:rPr>
        <w:tab/>
      </w:r>
      <w:r>
        <w:rPr>
          <w:rFonts w:ascii="Arial" w:cs="Arial" w:eastAsia="Arial" w:hAnsi="Arial"/>
          <w:sz w:val="21"/>
          <w:szCs w:val="21"/>
          <w:b w:val="1"/>
          <w:bCs w:val="1"/>
          <w:color w:val="auto"/>
        </w:rPr>
        <w:t>Qualifying Termination</w:t>
      </w:r>
    </w:p>
    <w:p>
      <w:pPr>
        <w:spacing w:after="0" w:line="230" w:lineRule="exact"/>
        <w:rPr>
          <w:sz w:val="20"/>
          <w:szCs w:val="20"/>
          <w:color w:val="auto"/>
        </w:rPr>
      </w:pPr>
    </w:p>
    <w:p>
      <w:pPr>
        <w:ind w:right="800"/>
        <w:spacing w:after="0" w:line="264" w:lineRule="auto"/>
        <w:rPr>
          <w:sz w:val="20"/>
          <w:szCs w:val="20"/>
          <w:color w:val="auto"/>
        </w:rPr>
      </w:pPr>
      <w:r>
        <w:rPr>
          <w:rFonts w:ascii="Arial" w:cs="Arial" w:eastAsia="Arial" w:hAnsi="Arial"/>
          <w:sz w:val="22"/>
          <w:szCs w:val="22"/>
          <w:color w:val="auto"/>
        </w:rPr>
        <w:t>A “Qualifying Termination” occurs when the Plan Administrator determines in its sole discretion that one of the following events occurred:</w:t>
      </w:r>
    </w:p>
    <w:p>
      <w:pPr>
        <w:spacing w:after="0" w:line="172"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Executive’s employment is terminated in connection with a position elimination;</w:t>
      </w:r>
    </w:p>
    <w:p>
      <w:pPr>
        <w:spacing w:after="0" w:line="233" w:lineRule="exact"/>
        <w:rPr>
          <w:rFonts w:ascii="Arial" w:cs="Arial" w:eastAsia="Arial" w:hAnsi="Arial"/>
          <w:sz w:val="22"/>
          <w:szCs w:val="22"/>
          <w:color w:val="auto"/>
        </w:rPr>
      </w:pPr>
    </w:p>
    <w:p>
      <w:pPr>
        <w:ind w:left="660" w:right="460" w:hanging="652"/>
        <w:spacing w:after="0" w:line="264" w:lineRule="auto"/>
        <w:tabs>
          <w:tab w:leader="none" w:pos="67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Executive’s employment is terminated in connection with a Participating Employer-initiated separation which is not for Cause;</w:t>
      </w:r>
    </w:p>
    <w:p>
      <w:pPr>
        <w:spacing w:after="0" w:line="172" w:lineRule="exact"/>
        <w:rPr>
          <w:rFonts w:ascii="Arial" w:cs="Arial" w:eastAsia="Arial" w:hAnsi="Arial"/>
          <w:sz w:val="22"/>
          <w:szCs w:val="22"/>
          <w:color w:val="auto"/>
        </w:rPr>
      </w:pPr>
    </w:p>
    <w:p>
      <w:pPr>
        <w:ind w:left="680" w:hanging="672"/>
        <w:spacing w:after="0"/>
        <w:tabs>
          <w:tab w:leader="none" w:pos="6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Executive experiences a Non-Change in Control Good Reason Termination; or</w:t>
      </w:r>
    </w:p>
    <w:p>
      <w:pPr>
        <w:spacing w:after="0" w:line="219" w:lineRule="exact"/>
        <w:rPr>
          <w:rFonts w:ascii="Arial" w:cs="Arial" w:eastAsia="Arial" w:hAnsi="Arial"/>
          <w:sz w:val="22"/>
          <w:szCs w:val="22"/>
          <w:color w:val="auto"/>
        </w:rPr>
      </w:pPr>
    </w:p>
    <w:p>
      <w:pPr>
        <w:ind w:left="660" w:right="20" w:hanging="652"/>
        <w:spacing w:after="0" w:line="260" w:lineRule="auto"/>
        <w:tabs>
          <w:tab w:leader="none" w:pos="674"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Change in Control occurred and, within 24 months after the date of such Change in Control: (i) the Executive has a Qualifying Termination in accordance with subsection (a) or (b), or (ii) the Executive experiences a Change in Control Good Reason Termination.</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However, a Qualifying Termination shall not include a termination of employment for Cause or on account of voluntary resignation (other than (i) a Non-Change in Control Good Reason Termination; or (ii) a Change in Control Good Reason within the 24-month period following a Change in Control), death or disability, or any termination of employment prior to the Effective Date.</w:t>
      </w: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III.</w:t>
      </w:r>
      <w:r>
        <w:rPr>
          <w:sz w:val="20"/>
          <w:szCs w:val="20"/>
          <w:color w:val="auto"/>
        </w:rPr>
        <w:tab/>
      </w:r>
      <w:r>
        <w:rPr>
          <w:rFonts w:ascii="Arial" w:cs="Arial" w:eastAsia="Arial" w:hAnsi="Arial"/>
          <w:sz w:val="21"/>
          <w:szCs w:val="21"/>
          <w:b w:val="1"/>
          <w:bCs w:val="1"/>
          <w:color w:val="auto"/>
        </w:rPr>
        <w:t>Additional Conditions</w:t>
      </w:r>
    </w:p>
    <w:p>
      <w:pPr>
        <w:spacing w:after="0" w:line="23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Any benefit under this Plan shall be conferred via a separation agreement executed by the Executive, and shall be contingent upon the Executive signing, not revoking, and complying with the terms of such agreement which will include a release and waiver of claims (the “Release”) and which may include, among other things and where legally permissible,</w:t>
      </w:r>
    </w:p>
    <w:p>
      <w:pPr>
        <w:sectPr>
          <w:pgSz w:w="11900" w:h="16838" w:orient="portrait"/>
          <w:cols w:equalWidth="0" w:num="1">
            <w:col w:w="11240"/>
          </w:cols>
          <w:pgMar w:left="320" w:top="118" w:right="339" w:bottom="1440" w:gutter="0" w:footer="0" w:header="0"/>
        </w:sectPr>
      </w:pPr>
    </w:p>
    <w:bookmarkStart w:id="47" w:name="page48"/>
    <w:bookmarkEnd w:id="47"/>
    <w:p>
      <w:pPr>
        <w:ind w:right="240"/>
        <w:spacing w:after="0" w:line="264" w:lineRule="auto"/>
        <w:rPr>
          <w:sz w:val="20"/>
          <w:szCs w:val="20"/>
          <w:color w:val="auto"/>
        </w:rPr>
      </w:pPr>
      <w:r>
        <w:rPr>
          <w:rFonts w:ascii="Arial" w:cs="Arial" w:eastAsia="Arial" w:hAnsi="Arial"/>
          <w:sz w:val="21"/>
          <w:szCs w:val="21"/>
          <w:color w:val="auto"/>
        </w:rPr>
        <w:t>confidentiality, cooperation, non-competition, non-solicitation and/or non-disparagement requirements. If the separation agreement (including the Release) is not executed in a form acceptable to the Plan Sponsor by the deadline established by the Plan Sponsor (which shall be no later than 45 days following the effective date of the Qualifying Termination), or is revoked or breached, no benefit shall be payable under the Plan. To the extent the express terms of a separation agreement conflict with the terms of this Plan, the terms of this Plan shall prevail. For the avoidance of doubt, silence in the separation agreement shall not constitute a conflict with the Plan terms.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If the Plan Administrator determines in its sole discretion that an Executive has engaged in conduct that</w:t>
      </w:r>
    </w:p>
    <w:p>
      <w:pPr>
        <w:spacing w:after="0" w:line="20" w:lineRule="exact"/>
        <w:rPr>
          <w:sz w:val="20"/>
          <w:szCs w:val="20"/>
          <w:color w:val="auto"/>
        </w:rPr>
      </w:pPr>
    </w:p>
    <w:p>
      <w:pPr>
        <w:ind w:right="60" w:firstLine="8"/>
        <w:spacing w:after="0" w:line="262" w:lineRule="auto"/>
        <w:tabs>
          <w:tab w:leader="none" w:pos="324" w:val="left"/>
        </w:tabs>
        <w:numPr>
          <w:ilvl w:val="0"/>
          <w:numId w:val="38"/>
        </w:numPr>
        <w:rPr>
          <w:rFonts w:ascii="Arial" w:cs="Arial" w:eastAsia="Arial" w:hAnsi="Arial"/>
          <w:sz w:val="21"/>
          <w:szCs w:val="21"/>
          <w:color w:val="auto"/>
        </w:rPr>
      </w:pPr>
      <w:r>
        <w:rPr>
          <w:rFonts w:ascii="Arial" w:cs="Arial" w:eastAsia="Arial" w:hAnsi="Arial"/>
          <w:sz w:val="21"/>
          <w:szCs w:val="21"/>
          <w:color w:val="auto"/>
        </w:rPr>
        <w:t>constitutes a breach of the separation agreement (including the Release), (b) results in (or has the potential to cause) material harm financially, reputationally, or otherwise to the Company or (c) occurred prior to the Qualifying Termination and would give rise to a termination for Cause (regardless of whether such conduct is discovered before, during or after the Qualifying Termination), the Executive shall forfeit the right to any unpaid benefit under this Plan and may be required to repay any amounts previously paid under the Plan to the extent recovery is permitted by law.</w:t>
      </w:r>
    </w:p>
    <w:p>
      <w:pPr>
        <w:spacing w:after="0" w:line="178"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This remedy is not exclusive and shall not limit any right of the Company under applicable law, including (but not limited to) a remedy under (a) Section 10D of the Securities Exchange Act of 1934, as amended, (b) any applicable rules or regulations promulgated by the Securities and Exchange Commission or any national securities exchange or national securities association on which shares of the Company may be traded, and/or (c) any Company policy adopted with respect to compensation recoupment.</w:t>
      </w:r>
    </w:p>
    <w:p>
      <w:pPr>
        <w:spacing w:after="0" w:line="28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IV.</w:t>
      </w:r>
      <w:r>
        <w:rPr>
          <w:sz w:val="20"/>
          <w:szCs w:val="20"/>
          <w:color w:val="auto"/>
        </w:rPr>
        <w:tab/>
      </w:r>
      <w:r>
        <w:rPr>
          <w:rFonts w:ascii="Arial" w:cs="Arial" w:eastAsia="Arial" w:hAnsi="Arial"/>
          <w:sz w:val="21"/>
          <w:szCs w:val="21"/>
          <w:b w:val="1"/>
          <w:bCs w:val="1"/>
          <w:color w:val="auto"/>
        </w:rPr>
        <w:t>Amount and Form of Payment</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An Executive who meets the requirements of Sections I, II and III shall be entitled to the following benefits under the</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14" w:lineRule="exact"/>
        <w:rPr>
          <w:sz w:val="20"/>
          <w:szCs w:val="20"/>
          <w:color w:val="auto"/>
        </w:rPr>
      </w:pPr>
    </w:p>
    <w:p>
      <w:pPr>
        <w:ind w:left="660" w:right="300" w:hanging="652"/>
        <w:spacing w:after="0" w:line="264" w:lineRule="auto"/>
        <w:tabs>
          <w:tab w:leader="none" w:pos="683"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the Executive is the CEO immediately prior to the Qualifying Termination and the Qualifying Termination is not pursuant to Section II(d), the Company shall pay or cause to be paid to the Executive:</w:t>
      </w:r>
    </w:p>
    <w:p>
      <w:pPr>
        <w:spacing w:after="0" w:line="172" w:lineRule="exact"/>
        <w:rPr>
          <w:rFonts w:ascii="Arial" w:cs="Arial" w:eastAsia="Arial" w:hAnsi="Arial"/>
          <w:sz w:val="22"/>
          <w:szCs w:val="22"/>
          <w:color w:val="auto"/>
        </w:rPr>
      </w:pPr>
    </w:p>
    <w:p>
      <w:pPr>
        <w:jc w:val="both"/>
        <w:ind w:left="1300" w:hanging="644"/>
        <w:spacing w:after="0" w:line="254" w:lineRule="auto"/>
        <w:tabs>
          <w:tab w:leader="none" w:pos="1326"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lump sum cash severance amount to be paid within 60 days following the effective date of the Qualifying Termination equal to the sum of (i) 24 months of the Executive’s Base Salary and (ii) two times the Executive’s target bonus under the Company’s annual bonus plan for the year of the Qualifying Termination; and</w:t>
      </w:r>
    </w:p>
    <w:p>
      <w:pPr>
        <w:spacing w:after="0" w:line="184" w:lineRule="exact"/>
        <w:rPr>
          <w:rFonts w:ascii="Arial" w:cs="Arial" w:eastAsia="Arial" w:hAnsi="Arial"/>
          <w:sz w:val="22"/>
          <w:szCs w:val="22"/>
          <w:color w:val="auto"/>
        </w:rPr>
      </w:pPr>
    </w:p>
    <w:p>
      <w:pPr>
        <w:jc w:val="both"/>
        <w:ind w:left="1300" w:hanging="644"/>
        <w:spacing w:after="0" w:line="250" w:lineRule="auto"/>
        <w:tabs>
          <w:tab w:leader="none" w:pos="132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opportunity to continue participation for the Executive (and any enrolled dependents) in the Company’s health and welfare benefit plans in which the Executive was enrolled immediately prior to the Qualifying Termination for a period of 24 months following the Qualifying Termination, (i)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48" w:name="page49"/>
    <w:bookmarkEnd w:id="48"/>
    <w:p>
      <w:pPr>
        <w:jc w:val="both"/>
        <w:ind w:left="1300"/>
        <w:spacing w:after="0" w:line="249" w:lineRule="auto"/>
        <w:rPr>
          <w:sz w:val="20"/>
          <w:szCs w:val="20"/>
          <w:color w:val="auto"/>
        </w:rPr>
      </w:pPr>
      <w:r>
        <w:rPr>
          <w:rFonts w:ascii="Arial" w:cs="Arial" w:eastAsia="Arial" w:hAnsi="Arial"/>
          <w:sz w:val="22"/>
          <w:szCs w:val="22"/>
          <w:color w:val="auto"/>
        </w:rPr>
        <w:t>Plan Administrator determines such continued participation is permitted by applicable law or can be administered in a manner that will not require the Company to provide post-termination coverage to other employees on the same terms to avoid a violation of the nondiscrimination requirements, and (ii) subject to the Executive (and any enrolled dependents) continuing to satisfy the terms and conditions for participation in such health and welfare benefit plans (as may be modified by the Plan Administrator to avoid a violation of the nondiscrimination requirements), including making any required payments for such plans (which the Plan Administrator may require the Executive to pay on an after-tax basis) and paying any required taxes on some or all of the Company’s payments for the Executive’s (and any enrolled dependents’) coverage.</w:t>
      </w:r>
    </w:p>
    <w:p>
      <w:pPr>
        <w:spacing w:after="0" w:line="189" w:lineRule="exact"/>
        <w:rPr>
          <w:sz w:val="20"/>
          <w:szCs w:val="20"/>
          <w:color w:val="auto"/>
        </w:rPr>
      </w:pPr>
    </w:p>
    <w:p>
      <w:pPr>
        <w:ind w:left="660" w:right="280" w:hanging="652"/>
        <w:spacing w:after="0" w:line="254" w:lineRule="auto"/>
        <w:tabs>
          <w:tab w:leader="none" w:pos="674"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the Executive is any Executive other than the CEO immediately prior to the Qualifying Termination and the Qualifying Termination is not pursuant to Section II(d), the Company shall pay or cause to be paid to the Executive:</w:t>
      </w:r>
    </w:p>
    <w:p>
      <w:pPr>
        <w:spacing w:after="0" w:line="182" w:lineRule="exact"/>
        <w:rPr>
          <w:rFonts w:ascii="Arial" w:cs="Arial" w:eastAsia="Arial" w:hAnsi="Arial"/>
          <w:sz w:val="22"/>
          <w:szCs w:val="22"/>
          <w:color w:val="auto"/>
        </w:rPr>
      </w:pPr>
    </w:p>
    <w:p>
      <w:pPr>
        <w:jc w:val="both"/>
        <w:ind w:left="1300" w:hanging="644"/>
        <w:spacing w:after="0" w:line="254" w:lineRule="auto"/>
        <w:tabs>
          <w:tab w:leader="none" w:pos="1326" w:val="left"/>
        </w:tabs>
        <w:numPr>
          <w:ilvl w:val="1"/>
          <w:numId w:val="40"/>
        </w:numPr>
        <w:rPr>
          <w:rFonts w:ascii="Arial" w:cs="Arial" w:eastAsia="Arial" w:hAnsi="Arial"/>
          <w:sz w:val="22"/>
          <w:szCs w:val="22"/>
          <w:color w:val="auto"/>
        </w:rPr>
      </w:pPr>
      <w:r>
        <w:rPr>
          <w:rFonts w:ascii="Arial" w:cs="Arial" w:eastAsia="Arial" w:hAnsi="Arial"/>
          <w:sz w:val="22"/>
          <w:szCs w:val="22"/>
          <w:color w:val="auto"/>
        </w:rPr>
        <w:t>a lump sum cash severance amount to be paid within 60 days following the effective date of the Qualifying Termination equal to the sum of (i) 12 months of the Executive’s Base Salary and (ii) the Executive’s target bonus under the Company’s annual bonus plan for the year of the Qualifying Termination; and</w:t>
      </w:r>
    </w:p>
    <w:p>
      <w:pPr>
        <w:spacing w:after="0" w:line="184" w:lineRule="exact"/>
        <w:rPr>
          <w:rFonts w:ascii="Arial" w:cs="Arial" w:eastAsia="Arial" w:hAnsi="Arial"/>
          <w:sz w:val="22"/>
          <w:szCs w:val="22"/>
          <w:color w:val="auto"/>
        </w:rPr>
      </w:pPr>
    </w:p>
    <w:p>
      <w:pPr>
        <w:jc w:val="both"/>
        <w:ind w:left="1300" w:hanging="644"/>
        <w:spacing w:after="0" w:line="259" w:lineRule="auto"/>
        <w:tabs>
          <w:tab w:leader="none" w:pos="1326"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opportunity to continue participation for the Executive (and any enrolled dependents) in the Company’s health and welfare benefit plans in which the Executive was enrolled immediately prior to the Qualifying Termination, for a period of 12 months following the Qualifying Termination, (i) to the extent the Plan Administrator determines such continued participation is permitted by applicable law or can be administered in a manner that will not require the Company to provide post-termination coverage to other employees on the same terms to avoid a violation of the nondiscrimination requirements, and</w:t>
      </w:r>
    </w:p>
    <w:p>
      <w:pPr>
        <w:spacing w:after="0" w:line="4" w:lineRule="exact"/>
        <w:rPr>
          <w:rFonts w:ascii="Arial" w:cs="Arial" w:eastAsia="Arial" w:hAnsi="Arial"/>
          <w:sz w:val="21"/>
          <w:szCs w:val="21"/>
          <w:color w:val="auto"/>
        </w:rPr>
      </w:pPr>
    </w:p>
    <w:p>
      <w:pPr>
        <w:jc w:val="both"/>
        <w:ind w:left="1300" w:firstLine="4"/>
        <w:spacing w:after="0" w:line="247" w:lineRule="auto"/>
        <w:tabs>
          <w:tab w:leader="none" w:pos="1673" w:val="left"/>
        </w:tabs>
        <w:numPr>
          <w:ilvl w:val="2"/>
          <w:numId w:val="40"/>
        </w:numPr>
        <w:rPr>
          <w:rFonts w:ascii="Arial" w:cs="Arial" w:eastAsia="Arial" w:hAnsi="Arial"/>
          <w:sz w:val="22"/>
          <w:szCs w:val="22"/>
          <w:color w:val="auto"/>
        </w:rPr>
      </w:pPr>
      <w:r>
        <w:rPr>
          <w:rFonts w:ascii="Arial" w:cs="Arial" w:eastAsia="Arial" w:hAnsi="Arial"/>
          <w:sz w:val="22"/>
          <w:szCs w:val="22"/>
          <w:color w:val="auto"/>
        </w:rPr>
        <w:t>subject to the Executive (and any enrolled dependents) continuing to satisfy the terms and conditions for participation in such health and welfare benefit plans (as may be modified by the Plan Administrator to avoid a violation of the nondiscrimination requirements), including making any required payments for such plans (which the Plan Administrator may require the Executive to pay on an after-tax basis) and paying any required taxes on some or all of the Company’s payments for the Executive’s (and any enrolled dependents’) coverage.</w:t>
      </w: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660" w:right="300" w:hanging="652"/>
        <w:spacing w:after="0" w:line="264" w:lineRule="auto"/>
        <w:tabs>
          <w:tab w:leader="none" w:pos="683"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the Executive is the CEO immediately prior to the Qualifying Termination and the Qualifying Termination is pursuant to Section II(d), the Company shall pay or cause to be paid to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49" w:name="page50"/>
    <w:bookmarkEnd w:id="49"/>
    <w:p>
      <w:pPr>
        <w:spacing w:after="0" w:line="200" w:lineRule="exact"/>
        <w:rPr>
          <w:sz w:val="20"/>
          <w:szCs w:val="20"/>
          <w:color w:val="auto"/>
        </w:rPr>
      </w:pPr>
    </w:p>
    <w:p>
      <w:pPr>
        <w:spacing w:after="0" w:line="246" w:lineRule="exact"/>
        <w:rPr>
          <w:sz w:val="20"/>
          <w:szCs w:val="20"/>
          <w:color w:val="auto"/>
        </w:rPr>
      </w:pPr>
    </w:p>
    <w:p>
      <w:pPr>
        <w:jc w:val="both"/>
        <w:ind w:left="1300" w:hanging="644"/>
        <w:spacing w:after="0" w:line="254" w:lineRule="auto"/>
        <w:tabs>
          <w:tab w:leader="none" w:pos="1326"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lump sum cash severance amount to be paid within 60 days following the effective date of the Qualifying Termination equal to the sum of (i) 36 months of the Executive’s Base Salary and (ii) 2.99 times the Executive’s target bonus under the Company’s annual bonus plan for the year of the Qualifying Termination; and</w:t>
      </w:r>
    </w:p>
    <w:p>
      <w:pPr>
        <w:spacing w:after="0" w:line="184" w:lineRule="exact"/>
        <w:rPr>
          <w:rFonts w:ascii="Arial" w:cs="Arial" w:eastAsia="Arial" w:hAnsi="Arial"/>
          <w:sz w:val="22"/>
          <w:szCs w:val="22"/>
          <w:color w:val="auto"/>
        </w:rPr>
      </w:pPr>
    </w:p>
    <w:p>
      <w:pPr>
        <w:jc w:val="both"/>
        <w:ind w:left="1300" w:hanging="644"/>
        <w:spacing w:after="0" w:line="259" w:lineRule="auto"/>
        <w:tabs>
          <w:tab w:leader="none" w:pos="1326" w:val="left"/>
        </w:tabs>
        <w:numPr>
          <w:ilvl w:val="1"/>
          <w:numId w:val="41"/>
        </w:numPr>
        <w:rPr>
          <w:rFonts w:ascii="Arial" w:cs="Arial" w:eastAsia="Arial" w:hAnsi="Arial"/>
          <w:sz w:val="21"/>
          <w:szCs w:val="21"/>
          <w:color w:val="auto"/>
        </w:rPr>
      </w:pPr>
      <w:r>
        <w:rPr>
          <w:rFonts w:ascii="Arial" w:cs="Arial" w:eastAsia="Arial" w:hAnsi="Arial"/>
          <w:sz w:val="21"/>
          <w:szCs w:val="21"/>
          <w:color w:val="auto"/>
        </w:rPr>
        <w:t>the opportunity to continue participation for the Executive (and any enrolled dependents) in the Company’s health and welfare benefit plans in which the Executive was enrolled immediately prior to the Qualifying Termination, for a period of 36 months following the Qualifying Termination, (i) to the extent the Plan Administrator determines such continued participation is permitted by applicable law or can be administered in a manner that will not require the Company to provide post-termination coverage to other employees on the same terms to avoid a violation of the nondiscrimination requirements, and</w:t>
      </w:r>
    </w:p>
    <w:p>
      <w:pPr>
        <w:spacing w:after="0" w:line="4" w:lineRule="exact"/>
        <w:rPr>
          <w:rFonts w:ascii="Arial" w:cs="Arial" w:eastAsia="Arial" w:hAnsi="Arial"/>
          <w:sz w:val="21"/>
          <w:szCs w:val="21"/>
          <w:color w:val="auto"/>
        </w:rPr>
      </w:pPr>
    </w:p>
    <w:p>
      <w:pPr>
        <w:jc w:val="both"/>
        <w:ind w:left="1300" w:firstLine="4"/>
        <w:spacing w:after="0" w:line="247" w:lineRule="auto"/>
        <w:tabs>
          <w:tab w:leader="none" w:pos="1673" w:val="left"/>
        </w:tabs>
        <w:numPr>
          <w:ilvl w:val="2"/>
          <w:numId w:val="41"/>
        </w:numPr>
        <w:rPr>
          <w:rFonts w:ascii="Arial" w:cs="Arial" w:eastAsia="Arial" w:hAnsi="Arial"/>
          <w:sz w:val="22"/>
          <w:szCs w:val="22"/>
          <w:color w:val="auto"/>
        </w:rPr>
      </w:pPr>
      <w:r>
        <w:rPr>
          <w:rFonts w:ascii="Arial" w:cs="Arial" w:eastAsia="Arial" w:hAnsi="Arial"/>
          <w:sz w:val="22"/>
          <w:szCs w:val="22"/>
          <w:color w:val="auto"/>
        </w:rPr>
        <w:t>subject to the Executive (and any enrolled dependents) continuing to satisfy the terms and conditions for participation in such health and welfare benefit plans (as may be modified by the Plan Administrator to avoid a violation of the nondiscrimination requirements), including making any required payments for such plans (which the Plan Administrator may require the Executive to pay on an after-tax basis) and paying any required taxes on some or all of the Company’s payments for the Executive’s (and any enrolled dependents’) coverage.</w:t>
      </w:r>
    </w:p>
    <w:p>
      <w:pPr>
        <w:spacing w:after="0" w:line="190" w:lineRule="exact"/>
        <w:rPr>
          <w:rFonts w:ascii="Arial" w:cs="Arial" w:eastAsia="Arial" w:hAnsi="Arial"/>
          <w:sz w:val="22"/>
          <w:szCs w:val="22"/>
          <w:color w:val="auto"/>
        </w:rPr>
      </w:pPr>
    </w:p>
    <w:p>
      <w:pPr>
        <w:ind w:left="660" w:right="280" w:hanging="652"/>
        <w:spacing w:after="0" w:line="254" w:lineRule="auto"/>
        <w:tabs>
          <w:tab w:leader="none" w:pos="674"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the Executive is any Executive other than the CEO immediately prior to the Qualifying Termination and the Qualifying Termination is pursuant to Section II(d), the Company shall pay or cause to be paid to the Executive:</w:t>
      </w:r>
    </w:p>
    <w:p>
      <w:pPr>
        <w:spacing w:after="0" w:line="195" w:lineRule="exact"/>
        <w:rPr>
          <w:rFonts w:ascii="Arial" w:cs="Arial" w:eastAsia="Arial" w:hAnsi="Arial"/>
          <w:sz w:val="22"/>
          <w:szCs w:val="22"/>
          <w:color w:val="auto"/>
        </w:rPr>
      </w:pPr>
    </w:p>
    <w:p>
      <w:pPr>
        <w:jc w:val="both"/>
        <w:ind w:left="1300" w:hanging="644"/>
        <w:spacing w:after="0" w:line="250" w:lineRule="auto"/>
        <w:tabs>
          <w:tab w:leader="none" w:pos="1326" w:val="left"/>
        </w:tabs>
        <w:numPr>
          <w:ilvl w:val="1"/>
          <w:numId w:val="42"/>
        </w:numPr>
        <w:rPr>
          <w:rFonts w:ascii="Arial" w:cs="Arial" w:eastAsia="Arial" w:hAnsi="Arial"/>
          <w:sz w:val="22"/>
          <w:szCs w:val="22"/>
          <w:color w:val="auto"/>
        </w:rPr>
      </w:pPr>
      <w:r>
        <w:rPr>
          <w:rFonts w:ascii="Arial" w:cs="Arial" w:eastAsia="Arial" w:hAnsi="Arial"/>
          <w:sz w:val="22"/>
          <w:szCs w:val="22"/>
          <w:color w:val="auto"/>
        </w:rPr>
        <w:t>a lump sum cash severance amount to be paid within 60 days following the effective date of the Qualifying Termination equal to the sum of (i) 24 months of the Executive’s Base Salary and (ii) two times the Executive’s target bonus under the Company’s annual bonus plan for the year of the Qualifying Termination; and</w:t>
      </w:r>
    </w:p>
    <w:p>
      <w:pPr>
        <w:spacing w:after="0" w:line="187" w:lineRule="exact"/>
        <w:rPr>
          <w:rFonts w:ascii="Arial" w:cs="Arial" w:eastAsia="Arial" w:hAnsi="Arial"/>
          <w:sz w:val="22"/>
          <w:szCs w:val="22"/>
          <w:color w:val="auto"/>
        </w:rPr>
      </w:pPr>
    </w:p>
    <w:p>
      <w:pPr>
        <w:jc w:val="both"/>
        <w:ind w:left="1300" w:hanging="644"/>
        <w:spacing w:after="0" w:line="259" w:lineRule="auto"/>
        <w:tabs>
          <w:tab w:leader="none" w:pos="1326"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opportunity to continue participation for the Executive (and any enrolled dependents) in the Company’s health and welfare benefit plans in which the Executive was enrolled immediately prior to the Qualifying Termination, for a period of 24 months following the Qualifying Termination, (i) to the extent the Plan Administrator determines such continued participation is permitted by applicable law or can be administered in a manner that will not require the Company to provide post-termination coverage to other employees on the same terms to avoid a violation of the nondiscrimination requirements, and</w:t>
      </w:r>
    </w:p>
    <w:p>
      <w:pPr>
        <w:spacing w:after="0" w:line="4" w:lineRule="exact"/>
        <w:rPr>
          <w:rFonts w:ascii="Arial" w:cs="Arial" w:eastAsia="Arial" w:hAnsi="Arial"/>
          <w:sz w:val="21"/>
          <w:szCs w:val="21"/>
          <w:color w:val="auto"/>
        </w:rPr>
      </w:pPr>
    </w:p>
    <w:p>
      <w:pPr>
        <w:jc w:val="both"/>
        <w:ind w:left="1300" w:firstLine="4"/>
        <w:spacing w:after="0" w:line="252" w:lineRule="auto"/>
        <w:tabs>
          <w:tab w:leader="none" w:pos="1673" w:val="left"/>
        </w:tabs>
        <w:numPr>
          <w:ilvl w:val="2"/>
          <w:numId w:val="42"/>
        </w:numPr>
        <w:rPr>
          <w:rFonts w:ascii="Arial" w:cs="Arial" w:eastAsia="Arial" w:hAnsi="Arial"/>
          <w:sz w:val="22"/>
          <w:szCs w:val="22"/>
          <w:color w:val="auto"/>
        </w:rPr>
      </w:pPr>
      <w:r>
        <w:rPr>
          <w:rFonts w:ascii="Arial" w:cs="Arial" w:eastAsia="Arial" w:hAnsi="Arial"/>
          <w:sz w:val="22"/>
          <w:szCs w:val="22"/>
          <w:color w:val="auto"/>
        </w:rPr>
        <w:t>subject to the Executive (and any enrolled dependents) continuing to satisfy the terms and conditions for participation in such health and welfare benefit plans (as may be modified by the Plan Administrator to avoid a violation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50" w:name="page51"/>
    <w:bookmarkEnd w:id="50"/>
    <w:p>
      <w:pPr>
        <w:jc w:val="both"/>
        <w:ind w:left="1300"/>
        <w:spacing w:after="0" w:line="254" w:lineRule="auto"/>
        <w:rPr>
          <w:sz w:val="20"/>
          <w:szCs w:val="20"/>
          <w:color w:val="auto"/>
        </w:rPr>
      </w:pPr>
      <w:r>
        <w:rPr>
          <w:rFonts w:ascii="Arial" w:cs="Arial" w:eastAsia="Arial" w:hAnsi="Arial"/>
          <w:sz w:val="22"/>
          <w:szCs w:val="22"/>
          <w:color w:val="auto"/>
        </w:rPr>
        <w:t>nondiscrimination requirements), including making any required payments for such plans (which the Plan Administrator may require the Executive to pay on an after-tax basis) and paying any required taxes on some or all of the Company’s payments for the Executive’s (and any enrolled dependents’) coverage.</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22"/>
          <w:szCs w:val="22"/>
          <w:color w:val="auto"/>
        </w:rPr>
        <w:t>The lump sum payment pursuant to this Section IV shall be subject to applicable withholdings and deductions, as well as the offsets described in Section VII.</w:t>
      </w:r>
    </w:p>
    <w:p>
      <w:pPr>
        <w:spacing w:after="0" w:line="270"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V.</w:t>
      </w:r>
      <w:r>
        <w:rPr>
          <w:sz w:val="20"/>
          <w:szCs w:val="20"/>
          <w:color w:val="auto"/>
        </w:rPr>
        <w:tab/>
      </w:r>
      <w:r>
        <w:rPr>
          <w:rFonts w:ascii="Arial" w:cs="Arial" w:eastAsia="Arial" w:hAnsi="Arial"/>
          <w:sz w:val="21"/>
          <w:szCs w:val="21"/>
          <w:b w:val="1"/>
          <w:bCs w:val="1"/>
          <w:color w:val="auto"/>
        </w:rPr>
        <w:t>Benefits Subject to Code Section 280G</w:t>
      </w:r>
    </w:p>
    <w:p>
      <w:pPr>
        <w:spacing w:after="0" w:line="338"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Anything in the Plan to the contrary notwithstanding and except as set forth below, in the event it shall be determined that any payment, benefit, vesting or distribution to or for the benefit of an Executive (whether paid or payable or distributed or distributable pursuant to the terms of the Plan or otherwise) (a “Payment”) would but for this Section be subject to the excise tax imposed by Section 4999 of the Code, or any comparable successor provisions (the “Excise Tax”), then the Payments shall be either be (i) provided to Executive in full, or (ii) provided to Executive as to such lesser extent which would result in no portion of such Payments being subject to the Excise Tax, whichever of the foregoing amounts, when taking into account applicable income and employment taxes, the Excise Tax, and any other applicable taxes, results in the receipt by Executive on an after-tax basis, of the greatest amount of Payments, notwithstanding that all or some portion of such Payments may be subject to the Excise Tax. Any determination required under this Section shall be made in writing in good faith by the Company's independent certified public accountants, appointed prior to any change in ownership (as defined under Section 280G(b)(2) of the Code), and/or tax counsel selected by such accountants (the “Accounting Firm”) in accordance with the principles of Section 280G of the Code. In the event of a reduction of Payments hereunder, the Payments shall be reduced as follows: (i) first from cash payments which are included in full as parachute payments, (ii) second from equity awards (or the accelerated vesting thereof) which are included in full as parachute payments, (iii) third from cash payments which are partially included as parachute payments and (iv) fourth from equity awards (or the accelerated vesting thereof) that are partially included as parachute payments, and (5) last from non-cash, non-equity benefits, in each instance provided that Section 409A is complied with and the Payments to be made later in time are to be reduced before Payments to be made sooner in time, and further provided that only payments or benefits (or portions of payments or benefits) that, if reduced, would reduce the total amount of “parachute payments” (as that term is used in Section 280G of the Code) shall be reduced. For purposes of making the calculations required by this Section, the Accounting Firm may make reasonable assumptions and approximations concerning applicable taxes and may rely on reasonable, good faith interpretations concerning the application of the code, and other applicable legal authority. The Company and Executive shall furnish to the Accounting Firm such information and documents as the Accounting Firm may reasonably request in order to make a determination under this Section. All fees and expenses of the Accounting Firm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7" w:right="339" w:bottom="1440" w:gutter="0" w:footer="0" w:header="0"/>
        </w:sectPr>
      </w:pPr>
    </w:p>
    <w:bookmarkStart w:id="51" w:name="page52"/>
    <w:bookmarkEnd w:id="51"/>
    <w:p>
      <w:pPr>
        <w:spacing w:after="0" w:line="311" w:lineRule="exact"/>
        <w:rPr>
          <w:sz w:val="20"/>
          <w:szCs w:val="20"/>
          <w:color w:val="auto"/>
        </w:rPr>
      </w:pPr>
    </w:p>
    <w:p>
      <w:pPr>
        <w:ind w:right="940"/>
        <w:spacing w:after="0" w:line="264" w:lineRule="auto"/>
        <w:rPr>
          <w:sz w:val="20"/>
          <w:szCs w:val="20"/>
          <w:color w:val="auto"/>
        </w:rPr>
      </w:pPr>
      <w:r>
        <w:rPr>
          <w:rFonts w:ascii="Arial" w:cs="Arial" w:eastAsia="Arial" w:hAnsi="Arial"/>
          <w:sz w:val="22"/>
          <w:szCs w:val="22"/>
          <w:color w:val="auto"/>
        </w:rPr>
        <w:t>be borne solely by the Company. All applicable taxes, including any Excise Tax, shall be borne solely by the Executive.</w:t>
      </w:r>
    </w:p>
    <w:p>
      <w:pPr>
        <w:spacing w:after="0" w:line="27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VI.</w:t>
      </w:r>
      <w:r>
        <w:rPr>
          <w:sz w:val="20"/>
          <w:szCs w:val="20"/>
          <w:color w:val="auto"/>
        </w:rPr>
        <w:tab/>
      </w:r>
      <w:r>
        <w:rPr>
          <w:rFonts w:ascii="Arial" w:cs="Arial" w:eastAsia="Arial" w:hAnsi="Arial"/>
          <w:sz w:val="21"/>
          <w:szCs w:val="21"/>
          <w:b w:val="1"/>
          <w:bCs w:val="1"/>
          <w:color w:val="auto"/>
        </w:rPr>
        <w:t>Outplacement Services</w:t>
      </w:r>
    </w:p>
    <w:p>
      <w:pPr>
        <w:spacing w:after="0" w:line="243"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An Executive who meets the requirements of Sections I, II and III shall also be eligible for outplacement services through a nationally recognized outplacement firm selected by the Plan Sponsor. To receive these outplacement services, the Executive must enroll in such services in accordance with procedures established by the Plan Sponsor and within 30 days following the effective date of the Qualifying Termination. Executives who enroll shall receive outplacement services for the number of months of Base Salary paid pursuant to Section IV; provided, however, that such services shall cease upon the Executive obtaining subsequent employment. Executives are required to notify the Participating Employer immediately upon obtaining subsequent employment.</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VII. Offset and Rehire Rules</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To the extent the Executive is vested in a GE HealthCare Supplementary Pension, Executive Retirement Benefit or equivalent payments, the amount of any lump sum payment described in Section IV shall be reduced by the Executive’s estimated monthly benefit payable during the same number of months following the Qualifying Termination that apply under Section IV. For this purpose, the Executive’s estimated monthly benefit is determined (a) during the week prior to the Executive’s written notification of the Qualifying Termination, (b) applying the five-year certain benefit for GE HealthCare Supplementary Pension and 1/12</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annual Executive Retirement Benefit, and</w:t>
      </w:r>
    </w:p>
    <w:p>
      <w:pPr>
        <w:jc w:val="both"/>
        <w:ind w:right="120" w:firstLine="8"/>
        <w:spacing w:after="0" w:line="252" w:lineRule="auto"/>
        <w:tabs>
          <w:tab w:leader="none" w:pos="312" w:val="left"/>
        </w:tabs>
        <w:numPr>
          <w:ilvl w:val="0"/>
          <w:numId w:val="43"/>
        </w:numPr>
        <w:rPr>
          <w:rFonts w:ascii="Arial" w:cs="Arial" w:eastAsia="Arial" w:hAnsi="Arial"/>
          <w:sz w:val="22"/>
          <w:szCs w:val="22"/>
          <w:color w:val="auto"/>
        </w:rPr>
      </w:pPr>
      <w:r>
        <w:rPr>
          <w:rFonts w:ascii="Arial" w:cs="Arial" w:eastAsia="Arial" w:hAnsi="Arial"/>
          <w:sz w:val="22"/>
          <w:szCs w:val="22"/>
          <w:color w:val="auto"/>
        </w:rPr>
        <w:t>disregarding any delay required by Section 409A.In addition, the Special Early Retirement Option Offset required by the GE HealthCare Pension Plan shall apply to the extent the Executive qualifies for and elects the Special Early Retirement Option or Plant Closing Pension Option under the GE HealthCare Pension Plan.</w:t>
      </w:r>
    </w:p>
    <w:p>
      <w:pPr>
        <w:spacing w:after="0" w:line="186" w:lineRule="exact"/>
        <w:rPr>
          <w:sz w:val="20"/>
          <w:szCs w:val="20"/>
          <w:color w:val="auto"/>
        </w:rPr>
      </w:pPr>
    </w:p>
    <w:p>
      <w:pPr>
        <w:jc w:val="both"/>
        <w:ind w:right="60"/>
        <w:spacing w:after="0" w:line="271" w:lineRule="auto"/>
        <w:rPr>
          <w:sz w:val="20"/>
          <w:szCs w:val="20"/>
          <w:color w:val="auto"/>
        </w:rPr>
      </w:pPr>
      <w:r>
        <w:rPr>
          <w:rFonts w:ascii="Arial" w:cs="Arial" w:eastAsia="Arial" w:hAnsi="Arial"/>
          <w:sz w:val="21"/>
          <w:szCs w:val="21"/>
          <w:color w:val="auto"/>
        </w:rPr>
        <w:t>In the event the Executive is rehired by the Company before the period of time for which Base Salary was paid under Section IV has expired, the Executive shall repay the portion of the lump sum attributable to the period of time during which the Executive is reemployed in accordance with procedures established by the Plan Administrator.</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VIII. Definitions</w:t>
      </w:r>
    </w:p>
    <w:p>
      <w:pPr>
        <w:spacing w:after="0" w:line="243" w:lineRule="exact"/>
        <w:rPr>
          <w:sz w:val="20"/>
          <w:szCs w:val="20"/>
          <w:color w:val="auto"/>
        </w:rPr>
      </w:pPr>
    </w:p>
    <w:p>
      <w:pPr>
        <w:ind w:left="660" w:right="60" w:hanging="652"/>
        <w:spacing w:after="0" w:line="264" w:lineRule="auto"/>
        <w:tabs>
          <w:tab w:leader="none" w:pos="683" w:val="left"/>
        </w:tabs>
        <w:numPr>
          <w:ilvl w:val="0"/>
          <w:numId w:val="44"/>
        </w:numPr>
        <w:rPr>
          <w:rFonts w:ascii="Arial" w:cs="Arial" w:eastAsia="Arial" w:hAnsi="Arial"/>
          <w:sz w:val="22"/>
          <w:szCs w:val="22"/>
          <w:color w:val="auto"/>
        </w:rPr>
      </w:pPr>
      <w:r>
        <w:rPr>
          <w:rFonts w:ascii="Arial" w:cs="Arial" w:eastAsia="Arial" w:hAnsi="Arial"/>
          <w:sz w:val="22"/>
          <w:szCs w:val="22"/>
          <w:color w:val="auto"/>
        </w:rPr>
        <w:t>“Affiliate” means any company or business entity connected to the Plan Sponsor by a direct or indirect 50% or more interest, whether or not a Participating Affiliate.</w:t>
      </w:r>
    </w:p>
    <w:p>
      <w:pPr>
        <w:spacing w:after="0" w:line="172" w:lineRule="exact"/>
        <w:rPr>
          <w:rFonts w:ascii="Arial" w:cs="Arial" w:eastAsia="Arial" w:hAnsi="Arial"/>
          <w:sz w:val="22"/>
          <w:szCs w:val="22"/>
          <w:color w:val="auto"/>
        </w:rPr>
      </w:pPr>
    </w:p>
    <w:p>
      <w:pPr>
        <w:ind w:left="660" w:right="200" w:hanging="652"/>
        <w:spacing w:after="0" w:line="264" w:lineRule="auto"/>
        <w:tabs>
          <w:tab w:leader="none" w:pos="674" w:val="left"/>
        </w:tabs>
        <w:numPr>
          <w:ilvl w:val="0"/>
          <w:numId w:val="44"/>
        </w:numPr>
        <w:rPr>
          <w:rFonts w:ascii="Arial" w:cs="Arial" w:eastAsia="Arial" w:hAnsi="Arial"/>
          <w:sz w:val="22"/>
          <w:szCs w:val="22"/>
          <w:color w:val="auto"/>
        </w:rPr>
      </w:pPr>
      <w:r>
        <w:rPr>
          <w:rFonts w:ascii="Arial" w:cs="Arial" w:eastAsia="Arial" w:hAnsi="Arial"/>
          <w:sz w:val="22"/>
          <w:szCs w:val="22"/>
          <w:color w:val="auto"/>
        </w:rPr>
        <w:t>“Base Salary” means an Executive’s salary rate (excluding bonuses, commissions or other compensation) in effect immediately prior to the Qualifying Termination.</w:t>
      </w:r>
    </w:p>
    <w:p>
      <w:pPr>
        <w:spacing w:after="0" w:line="172" w:lineRule="exact"/>
        <w:rPr>
          <w:rFonts w:ascii="Arial" w:cs="Arial" w:eastAsia="Arial" w:hAnsi="Arial"/>
          <w:sz w:val="22"/>
          <w:szCs w:val="22"/>
          <w:color w:val="auto"/>
        </w:rPr>
      </w:pPr>
    </w:p>
    <w:p>
      <w:pPr>
        <w:ind w:left="680" w:hanging="672"/>
        <w:spacing w:after="0"/>
        <w:tabs>
          <w:tab w:leader="none" w:pos="6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"Board” means the Board of Directors of GE HealthCare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40" w:right="379" w:bottom="1440" w:gutter="0" w:footer="0" w:header="0"/>
        </w:sectPr>
      </w:pPr>
    </w:p>
    <w:bookmarkStart w:id="52" w:name="page53"/>
    <w:bookmarkEnd w:id="52"/>
    <w:p>
      <w:pPr>
        <w:spacing w:after="0" w:line="200" w:lineRule="exact"/>
        <w:rPr>
          <w:sz w:val="20"/>
          <w:szCs w:val="20"/>
          <w:color w:val="auto"/>
        </w:rPr>
      </w:pPr>
    </w:p>
    <w:p>
      <w:pPr>
        <w:spacing w:after="0" w:line="246" w:lineRule="exact"/>
        <w:rPr>
          <w:sz w:val="20"/>
          <w:szCs w:val="20"/>
          <w:color w:val="auto"/>
        </w:rPr>
      </w:pPr>
    </w:p>
    <w:p>
      <w:pPr>
        <w:ind w:left="652" w:hanging="652"/>
        <w:spacing w:after="0"/>
        <w:tabs>
          <w:tab w:leader="none" w:pos="652" w:val="left"/>
        </w:tabs>
        <w:numPr>
          <w:ilvl w:val="0"/>
          <w:numId w:val="45"/>
        </w:numPr>
        <w:rPr>
          <w:rFonts w:ascii="Arial" w:cs="Arial" w:eastAsia="Arial" w:hAnsi="Arial"/>
          <w:sz w:val="22"/>
          <w:szCs w:val="22"/>
          <w:color w:val="auto"/>
        </w:rPr>
      </w:pPr>
      <w:r>
        <w:rPr>
          <w:rFonts w:ascii="Arial" w:cs="Arial" w:eastAsia="Arial" w:hAnsi="Arial"/>
          <w:sz w:val="22"/>
          <w:szCs w:val="22"/>
          <w:color w:val="auto"/>
        </w:rPr>
        <w:t>“Cause” means, as determined in the sole discretion of the Plan Administrator, an Executive’s:</w:t>
      </w:r>
    </w:p>
    <w:p>
      <w:pPr>
        <w:spacing w:after="0" w:line="219" w:lineRule="exact"/>
        <w:rPr>
          <w:rFonts w:ascii="Arial" w:cs="Arial" w:eastAsia="Arial" w:hAnsi="Arial"/>
          <w:sz w:val="22"/>
          <w:szCs w:val="22"/>
          <w:color w:val="auto"/>
        </w:rPr>
      </w:pPr>
    </w:p>
    <w:p>
      <w:pPr>
        <w:ind w:left="1292" w:right="120" w:hanging="644"/>
        <w:spacing w:after="0" w:line="260" w:lineRule="auto"/>
        <w:tabs>
          <w:tab w:leader="none" w:pos="1318" w:val="left"/>
        </w:tabs>
        <w:numPr>
          <w:ilvl w:val="1"/>
          <w:numId w:val="45"/>
        </w:numPr>
        <w:rPr>
          <w:rFonts w:ascii="Arial" w:cs="Arial" w:eastAsia="Arial" w:hAnsi="Arial"/>
          <w:sz w:val="22"/>
          <w:szCs w:val="22"/>
          <w:color w:val="auto"/>
        </w:rPr>
      </w:pPr>
      <w:r>
        <w:rPr>
          <w:rFonts w:ascii="Arial" w:cs="Arial" w:eastAsia="Arial" w:hAnsi="Arial"/>
          <w:sz w:val="22"/>
          <w:szCs w:val="22"/>
          <w:color w:val="auto"/>
        </w:rPr>
        <w:t>breach of the Employee Innovation and Proprietary Information Agreement or any other confidentiality, non-solicitation, or non-competition agreement with the Company or breach of a material term of any other agreement between the Executive and the Company;</w:t>
      </w:r>
    </w:p>
    <w:p>
      <w:pPr>
        <w:spacing w:after="0" w:line="176" w:lineRule="exact"/>
        <w:rPr>
          <w:rFonts w:ascii="Arial" w:cs="Arial" w:eastAsia="Arial" w:hAnsi="Arial"/>
          <w:sz w:val="22"/>
          <w:szCs w:val="22"/>
          <w:color w:val="auto"/>
        </w:rPr>
      </w:pPr>
    </w:p>
    <w:p>
      <w:pPr>
        <w:ind w:left="1292" w:right="960" w:hanging="644"/>
        <w:spacing w:after="0" w:line="264" w:lineRule="auto"/>
        <w:tabs>
          <w:tab w:leader="none" w:pos="1318" w:val="left"/>
        </w:tabs>
        <w:numPr>
          <w:ilvl w:val="1"/>
          <w:numId w:val="45"/>
        </w:numPr>
        <w:rPr>
          <w:rFonts w:ascii="Arial" w:cs="Arial" w:eastAsia="Arial" w:hAnsi="Arial"/>
          <w:sz w:val="22"/>
          <w:szCs w:val="22"/>
          <w:color w:val="auto"/>
        </w:rPr>
      </w:pPr>
      <w:r>
        <w:rPr>
          <w:rFonts w:ascii="Arial" w:cs="Arial" w:eastAsia="Arial" w:hAnsi="Arial"/>
          <w:sz w:val="22"/>
          <w:szCs w:val="22"/>
          <w:color w:val="auto"/>
        </w:rPr>
        <w:t>engagement in conduct that results in, or has the potential to cause, material harm financially, reputationally, or otherwise to the Company;</w:t>
      </w:r>
    </w:p>
    <w:p>
      <w:pPr>
        <w:spacing w:after="0" w:line="172" w:lineRule="exact"/>
        <w:rPr>
          <w:rFonts w:ascii="Arial" w:cs="Arial" w:eastAsia="Arial" w:hAnsi="Arial"/>
          <w:sz w:val="22"/>
          <w:szCs w:val="22"/>
          <w:color w:val="auto"/>
        </w:rPr>
      </w:pPr>
    </w:p>
    <w:p>
      <w:pPr>
        <w:ind w:left="1332" w:hanging="684"/>
        <w:spacing w:after="0"/>
        <w:tabs>
          <w:tab w:leader="none" w:pos="1332"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commission of an act of dishonesty, fraud, embezzlement or theft;</w:t>
      </w:r>
    </w:p>
    <w:p>
      <w:pPr>
        <w:spacing w:after="0" w:line="219" w:lineRule="exact"/>
        <w:rPr>
          <w:rFonts w:ascii="Arial" w:cs="Arial" w:eastAsia="Arial" w:hAnsi="Arial"/>
          <w:sz w:val="22"/>
          <w:szCs w:val="22"/>
          <w:color w:val="auto"/>
        </w:rPr>
      </w:pPr>
    </w:p>
    <w:p>
      <w:pPr>
        <w:ind w:left="1332" w:hanging="684"/>
        <w:spacing w:after="0"/>
        <w:tabs>
          <w:tab w:leader="none" w:pos="1332"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conviction of, or plea of guilty or no contest to, a felony or crime involving moral turpitude;</w:t>
      </w:r>
    </w:p>
    <w:p>
      <w:pPr>
        <w:spacing w:after="0" w:line="233" w:lineRule="exact"/>
        <w:rPr>
          <w:rFonts w:ascii="Arial" w:cs="Arial" w:eastAsia="Arial" w:hAnsi="Arial"/>
          <w:sz w:val="22"/>
          <w:szCs w:val="22"/>
          <w:color w:val="auto"/>
        </w:rPr>
      </w:pPr>
    </w:p>
    <w:p>
      <w:pPr>
        <w:ind w:left="1292" w:hanging="644"/>
        <w:spacing w:after="0" w:line="264" w:lineRule="auto"/>
        <w:tabs>
          <w:tab w:leader="none" w:pos="1318" w:val="left"/>
        </w:tabs>
        <w:numPr>
          <w:ilvl w:val="1"/>
          <w:numId w:val="45"/>
        </w:numPr>
        <w:rPr>
          <w:rFonts w:ascii="Arial" w:cs="Arial" w:eastAsia="Arial" w:hAnsi="Arial"/>
          <w:sz w:val="22"/>
          <w:szCs w:val="22"/>
          <w:color w:val="auto"/>
        </w:rPr>
      </w:pPr>
      <w:r>
        <w:rPr>
          <w:rFonts w:ascii="Arial" w:cs="Arial" w:eastAsia="Arial" w:hAnsi="Arial"/>
          <w:sz w:val="22"/>
          <w:szCs w:val="22"/>
          <w:color w:val="auto"/>
        </w:rPr>
        <w:t>failure to comply with the Company’s policies and procedures, including but not limited to The Spirit and Letter; or</w:t>
      </w:r>
    </w:p>
    <w:p>
      <w:pPr>
        <w:spacing w:after="0" w:line="172" w:lineRule="exact"/>
        <w:rPr>
          <w:rFonts w:ascii="Arial" w:cs="Arial" w:eastAsia="Arial" w:hAnsi="Arial"/>
          <w:sz w:val="22"/>
          <w:szCs w:val="22"/>
          <w:color w:val="auto"/>
        </w:rPr>
      </w:pPr>
    </w:p>
    <w:p>
      <w:pPr>
        <w:ind w:left="1292" w:hanging="644"/>
        <w:spacing w:after="0" w:line="251" w:lineRule="auto"/>
        <w:tabs>
          <w:tab w:leader="none" w:pos="1318" w:val="left"/>
        </w:tabs>
        <w:numPr>
          <w:ilvl w:val="1"/>
          <w:numId w:val="45"/>
        </w:numPr>
        <w:rPr>
          <w:rFonts w:ascii="Arial" w:cs="Arial" w:eastAsia="Arial" w:hAnsi="Arial"/>
          <w:sz w:val="22"/>
          <w:szCs w:val="22"/>
          <w:color w:val="auto"/>
        </w:rPr>
      </w:pPr>
      <w:r>
        <w:rPr>
          <w:rFonts w:ascii="Arial" w:cs="Arial" w:eastAsia="Arial" w:hAnsi="Arial"/>
          <w:sz w:val="22"/>
          <w:szCs w:val="22"/>
          <w:color w:val="auto"/>
        </w:rPr>
        <w:t>sustained poor performance of any material aspect of the Executive’s duties or obligations, including refusal to follow lawful instructions from the CEO if the Executive is not the CEO and from the Board if the Executive is the CEO, which is not substantially cured to the satisfaction of the CEO if the Executive is not the CEO and of the Board if the Executive is the CEO within 30 days after written notice of such failure or poor performance has been given to the Executive.</w:t>
      </w:r>
    </w:p>
    <w:p>
      <w:pPr>
        <w:spacing w:after="0" w:line="189" w:lineRule="exact"/>
        <w:rPr>
          <w:rFonts w:ascii="Arial" w:cs="Arial" w:eastAsia="Arial" w:hAnsi="Arial"/>
          <w:sz w:val="22"/>
          <w:szCs w:val="22"/>
          <w:color w:val="auto"/>
        </w:rPr>
      </w:pPr>
    </w:p>
    <w:p>
      <w:pPr>
        <w:ind w:left="672" w:hanging="672"/>
        <w:spacing w:after="0"/>
        <w:tabs>
          <w:tab w:leader="none" w:pos="672" w:val="left"/>
        </w:tabs>
        <w:numPr>
          <w:ilvl w:val="0"/>
          <w:numId w:val="45"/>
        </w:numPr>
        <w:rPr>
          <w:rFonts w:ascii="Arial" w:cs="Arial" w:eastAsia="Arial" w:hAnsi="Arial"/>
          <w:sz w:val="22"/>
          <w:szCs w:val="22"/>
          <w:color w:val="auto"/>
        </w:rPr>
      </w:pPr>
      <w:r>
        <w:rPr>
          <w:rFonts w:ascii="Arial" w:cs="Arial" w:eastAsia="Arial" w:hAnsi="Arial"/>
          <w:sz w:val="22"/>
          <w:szCs w:val="22"/>
          <w:color w:val="auto"/>
        </w:rPr>
        <w:t>“CEO” means the Chief Executive Officer of GE HealthCare.</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45"/>
        </w:numPr>
        <w:rPr>
          <w:rFonts w:ascii="Arial" w:cs="Arial" w:eastAsia="Arial" w:hAnsi="Arial"/>
          <w:sz w:val="22"/>
          <w:szCs w:val="22"/>
          <w:color w:val="auto"/>
        </w:rPr>
      </w:pPr>
      <w:r>
        <w:rPr>
          <w:rFonts w:ascii="Arial" w:cs="Arial" w:eastAsia="Arial" w:hAnsi="Arial"/>
          <w:sz w:val="22"/>
          <w:szCs w:val="22"/>
          <w:color w:val="auto"/>
        </w:rPr>
        <w:t>“Change in Control” means any one of the following:</w:t>
      </w:r>
    </w:p>
    <w:p>
      <w:pPr>
        <w:spacing w:after="0" w:line="219" w:lineRule="exact"/>
        <w:rPr>
          <w:rFonts w:ascii="Arial" w:cs="Arial" w:eastAsia="Arial" w:hAnsi="Arial"/>
          <w:sz w:val="22"/>
          <w:szCs w:val="22"/>
          <w:color w:val="auto"/>
        </w:rPr>
      </w:pPr>
    </w:p>
    <w:p>
      <w:pPr>
        <w:ind w:left="1292" w:right="40" w:hanging="644"/>
        <w:spacing w:after="0" w:line="260" w:lineRule="auto"/>
        <w:tabs>
          <w:tab w:leader="none" w:pos="1148"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transaction or series of transactions that results in a person directly or indirectly acquiring 50% or more beneficial ownership of the outstanding shares of the Company, or 50% or more of the combined voting power of shares of the Company; or</w:t>
      </w:r>
    </w:p>
    <w:p>
      <w:pPr>
        <w:spacing w:after="0" w:line="203" w:lineRule="exact"/>
        <w:rPr>
          <w:rFonts w:ascii="Arial" w:cs="Arial" w:eastAsia="Arial" w:hAnsi="Arial"/>
          <w:sz w:val="22"/>
          <w:szCs w:val="22"/>
          <w:color w:val="auto"/>
        </w:rPr>
      </w:pPr>
    </w:p>
    <w:p>
      <w:pPr>
        <w:ind w:left="1292" w:right="560" w:hanging="644"/>
        <w:spacing w:after="0" w:line="264" w:lineRule="auto"/>
        <w:tabs>
          <w:tab w:leader="none" w:pos="1148"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reorganization, merger or consolidation, or sale or other disposition of all or substantially all of the Company’s assets;</w:t>
      </w:r>
    </w:p>
    <w:p>
      <w:pPr>
        <w:spacing w:after="0" w:line="199" w:lineRule="exact"/>
        <w:rPr>
          <w:sz w:val="20"/>
          <w:szCs w:val="20"/>
          <w:color w:val="auto"/>
        </w:rPr>
      </w:pPr>
    </w:p>
    <w:p>
      <w:pPr>
        <w:ind w:left="652" w:right="300"/>
        <w:spacing w:after="0" w:line="264" w:lineRule="auto"/>
        <w:rPr>
          <w:sz w:val="20"/>
          <w:szCs w:val="20"/>
          <w:color w:val="auto"/>
        </w:rPr>
      </w:pPr>
      <w:r>
        <w:rPr>
          <w:rFonts w:ascii="Arial" w:cs="Arial" w:eastAsia="Arial" w:hAnsi="Arial"/>
          <w:sz w:val="22"/>
          <w:szCs w:val="22"/>
          <w:color w:val="auto"/>
        </w:rPr>
        <w:t>provided, however, that a public offering, internal restructuring, or transfer of common stock or assets of the Company to any Affiliate will not be treated as a Change in Control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92"/>
          </w:cols>
          <w:pgMar w:left="328" w:top="1440" w:right="379" w:bottom="1440" w:gutter="0" w:footer="0" w:header="0"/>
        </w:sectPr>
      </w:pPr>
    </w:p>
    <w:bookmarkStart w:id="53" w:name="page54"/>
    <w:bookmarkEnd w:id="53"/>
    <w:p>
      <w:pPr>
        <w:ind w:left="652" w:right="660" w:hanging="652"/>
        <w:spacing w:after="0" w:line="264" w:lineRule="auto"/>
        <w:tabs>
          <w:tab w:leader="none" w:pos="677" w:val="left"/>
        </w:tabs>
        <w:numPr>
          <w:ilvl w:val="0"/>
          <w:numId w:val="46"/>
        </w:numPr>
        <w:rPr>
          <w:rFonts w:ascii="Arial" w:cs="Arial" w:eastAsia="Arial" w:hAnsi="Arial"/>
          <w:sz w:val="22"/>
          <w:szCs w:val="22"/>
          <w:color w:val="auto"/>
        </w:rPr>
      </w:pPr>
      <w:r>
        <w:rPr>
          <w:rFonts w:ascii="Arial" w:cs="Arial" w:eastAsia="Arial" w:hAnsi="Arial"/>
          <w:sz w:val="22"/>
          <w:szCs w:val="22"/>
          <w:color w:val="auto"/>
        </w:rPr>
        <w:t>“Change in Control Good Reason Termination” means the Executive’s employment with the Company is terminated for one of the following reasons within 24 months after a Change in Control:</w:t>
      </w:r>
    </w:p>
    <w:p>
      <w:pPr>
        <w:spacing w:after="0" w:line="172" w:lineRule="exact"/>
        <w:rPr>
          <w:rFonts w:ascii="Arial" w:cs="Arial" w:eastAsia="Arial" w:hAnsi="Arial"/>
          <w:sz w:val="22"/>
          <w:szCs w:val="22"/>
          <w:color w:val="auto"/>
        </w:rPr>
      </w:pPr>
    </w:p>
    <w:p>
      <w:pPr>
        <w:ind w:left="1292" w:hanging="644"/>
        <w:spacing w:after="0" w:line="249" w:lineRule="auto"/>
        <w:tabs>
          <w:tab w:leader="none" w:pos="1318"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assignment to the Executive of any duties inconsistent in any material respect with the Executive’s position (including status, offices, titles, and reporting requirements), authority, duties, or responsibilities, or any other action by the Company which results in a material diminution in such position, authority, duties, reporting requirements, or responsibilities, in each case from those in effect immediately prior to the Change in Control, provided that the sale, disposition, or spin-off of any one or more of the businesses of the Company or its Affiliates, or any transaction following which the Company’s (or its successor’s) common equity is not publicly traded on a nationally recognized securities exchange or through a national market quotation service, shall not be deemed a material diminution in the Executive’s position, authority, duties, or responsibilities;</w:t>
      </w:r>
    </w:p>
    <w:p>
      <w:pPr>
        <w:spacing w:after="0" w:line="189" w:lineRule="exact"/>
        <w:rPr>
          <w:rFonts w:ascii="Arial" w:cs="Arial" w:eastAsia="Arial" w:hAnsi="Arial"/>
          <w:sz w:val="22"/>
          <w:szCs w:val="22"/>
          <w:color w:val="auto"/>
        </w:rPr>
      </w:pPr>
    </w:p>
    <w:p>
      <w:pPr>
        <w:ind w:left="1292" w:right="560" w:hanging="644"/>
        <w:spacing w:after="0" w:line="288" w:lineRule="auto"/>
        <w:tabs>
          <w:tab w:leader="none" w:pos="1318" w:val="left"/>
        </w:tabs>
        <w:numPr>
          <w:ilvl w:val="1"/>
          <w:numId w:val="46"/>
        </w:numPr>
        <w:rPr>
          <w:rFonts w:ascii="Arial" w:cs="Arial" w:eastAsia="Arial" w:hAnsi="Arial"/>
          <w:sz w:val="21"/>
          <w:szCs w:val="21"/>
          <w:color w:val="auto"/>
        </w:rPr>
      </w:pPr>
      <w:r>
        <w:rPr>
          <w:rFonts w:ascii="Arial" w:cs="Arial" w:eastAsia="Arial" w:hAnsi="Arial"/>
          <w:sz w:val="21"/>
          <w:szCs w:val="21"/>
          <w:color w:val="auto"/>
        </w:rPr>
        <w:t>a reduction in Base Salary, annual target cash incentive opportunity, or annual target long-term incentive opportunity in each case, from those in effect immediately prior to the Change in Control;</w:t>
      </w:r>
    </w:p>
    <w:p>
      <w:pPr>
        <w:spacing w:after="0" w:line="149" w:lineRule="exact"/>
        <w:rPr>
          <w:rFonts w:ascii="Arial" w:cs="Arial" w:eastAsia="Arial" w:hAnsi="Arial"/>
          <w:sz w:val="21"/>
          <w:szCs w:val="21"/>
          <w:color w:val="auto"/>
        </w:rPr>
      </w:pPr>
    </w:p>
    <w:p>
      <w:pPr>
        <w:ind w:left="1292" w:right="20" w:hanging="644"/>
        <w:spacing w:after="0" w:line="260" w:lineRule="auto"/>
        <w:tabs>
          <w:tab w:leader="none" w:pos="1318"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material breach by the Company of any agreement pursuant to which the Executive provides services to the Company, including without limitation failure to pay any compensation due and owing to the Executive; or</w:t>
      </w:r>
    </w:p>
    <w:p>
      <w:pPr>
        <w:spacing w:after="0" w:line="176" w:lineRule="exact"/>
        <w:rPr>
          <w:rFonts w:ascii="Arial" w:cs="Arial" w:eastAsia="Arial" w:hAnsi="Arial"/>
          <w:sz w:val="22"/>
          <w:szCs w:val="22"/>
          <w:color w:val="auto"/>
        </w:rPr>
      </w:pPr>
    </w:p>
    <w:p>
      <w:pPr>
        <w:ind w:left="1292" w:right="200" w:hanging="644"/>
        <w:spacing w:after="0" w:line="264" w:lineRule="auto"/>
        <w:tabs>
          <w:tab w:leader="none" w:pos="1318"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Company’s requirement to relocate to a location more than 50 miles from the Executive’s principal place of employment as of the Change in Control; and</w:t>
      </w:r>
    </w:p>
    <w:p>
      <w:pPr>
        <w:spacing w:after="0" w:line="172" w:lineRule="exact"/>
        <w:rPr>
          <w:sz w:val="20"/>
          <w:szCs w:val="20"/>
          <w:color w:val="auto"/>
        </w:rPr>
      </w:pPr>
    </w:p>
    <w:p>
      <w:pPr>
        <w:ind w:left="652" w:right="380"/>
        <w:spacing w:after="0" w:line="277" w:lineRule="auto"/>
        <w:rPr>
          <w:sz w:val="20"/>
          <w:szCs w:val="20"/>
          <w:color w:val="auto"/>
        </w:rPr>
      </w:pPr>
      <w:r>
        <w:rPr>
          <w:rFonts w:ascii="Arial" w:cs="Arial" w:eastAsia="Arial" w:hAnsi="Arial"/>
          <w:sz w:val="22"/>
          <w:szCs w:val="22"/>
          <w:color w:val="auto"/>
        </w:rPr>
        <w:t>The Executive takes all of the following actions in response to the existence of the Change in Control Good Reason condition(s):</w:t>
      </w:r>
    </w:p>
    <w:p>
      <w:pPr>
        <w:spacing w:after="0" w:line="186" w:lineRule="exact"/>
        <w:rPr>
          <w:sz w:val="20"/>
          <w:szCs w:val="20"/>
          <w:color w:val="auto"/>
        </w:rPr>
      </w:pPr>
    </w:p>
    <w:p>
      <w:pPr>
        <w:ind w:left="1292" w:right="120" w:hanging="644"/>
        <w:spacing w:after="0" w:line="254" w:lineRule="auto"/>
        <w:tabs>
          <w:tab w:leader="none" w:pos="11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provides written notice to the Chief People Officer of GE HealthCare of the existence of the circumstances providing grounds for a Change in Control Good Reason Termination within 30 calendar days of the date the Executive first becomes aware of such circumstances;</w:t>
      </w:r>
    </w:p>
    <w:p>
      <w:pPr>
        <w:spacing w:after="0" w:line="209" w:lineRule="exact"/>
        <w:rPr>
          <w:rFonts w:ascii="Arial" w:cs="Arial" w:eastAsia="Arial" w:hAnsi="Arial"/>
          <w:sz w:val="22"/>
          <w:szCs w:val="22"/>
          <w:color w:val="auto"/>
        </w:rPr>
      </w:pPr>
    </w:p>
    <w:p>
      <w:pPr>
        <w:ind w:left="1292" w:right="40" w:hanging="644"/>
        <w:spacing w:after="0" w:line="277" w:lineRule="auto"/>
        <w:tabs>
          <w:tab w:leader="none" w:pos="11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allows the Company at least 30 calendar days to cure the circumstances providing grounds for a Change in Control Good Reason Termination; and</w:t>
      </w:r>
    </w:p>
    <w:p>
      <w:pPr>
        <w:spacing w:after="0" w:line="185" w:lineRule="exact"/>
        <w:rPr>
          <w:rFonts w:ascii="Arial" w:cs="Arial" w:eastAsia="Arial" w:hAnsi="Arial"/>
          <w:sz w:val="22"/>
          <w:szCs w:val="22"/>
          <w:color w:val="auto"/>
        </w:rPr>
      </w:pPr>
    </w:p>
    <w:p>
      <w:pPr>
        <w:ind w:left="1292" w:right="40" w:hanging="644"/>
        <w:spacing w:after="0" w:line="254" w:lineRule="auto"/>
        <w:tabs>
          <w:tab w:leader="none" w:pos="1184"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Company fails to cure the circumstances providing grounds for a Change in Control Good Reason Termination, terminates employment with the Company within 30 calendar days following such failure to cure.</w:t>
      </w:r>
    </w:p>
    <w:p>
      <w:pPr>
        <w:spacing w:after="0" w:line="20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Any good faith determination of a Change in Control Good Reason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427" w:right="339" w:bottom="1440" w:gutter="0" w:footer="0" w:header="0"/>
        </w:sectPr>
      </w:pPr>
    </w:p>
    <w:bookmarkStart w:id="54" w:name="page55"/>
    <w:bookmarkEnd w:id="54"/>
    <w:p>
      <w:pPr>
        <w:ind w:left="652"/>
        <w:spacing w:after="0"/>
        <w:rPr>
          <w:sz w:val="20"/>
          <w:szCs w:val="20"/>
          <w:color w:val="auto"/>
        </w:rPr>
      </w:pPr>
      <w:r>
        <w:rPr>
          <w:rFonts w:ascii="Arial" w:cs="Arial" w:eastAsia="Arial" w:hAnsi="Arial"/>
          <w:sz w:val="22"/>
          <w:szCs w:val="22"/>
          <w:color w:val="auto"/>
        </w:rPr>
        <w:t>shall be conclusive and binding on the Company.</w:t>
      </w:r>
    </w:p>
    <w:p>
      <w:pPr>
        <w:spacing w:after="0" w:line="247" w:lineRule="exact"/>
        <w:rPr>
          <w:sz w:val="20"/>
          <w:szCs w:val="20"/>
          <w:color w:val="auto"/>
        </w:rPr>
      </w:pPr>
    </w:p>
    <w:p>
      <w:pPr>
        <w:ind w:left="672" w:hanging="672"/>
        <w:spacing w:after="0"/>
        <w:tabs>
          <w:tab w:leader="none" w:pos="6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“Company” means GE HealthCare or any Affiliate.</w:t>
      </w:r>
    </w:p>
    <w:p>
      <w:pPr>
        <w:spacing w:after="0" w:line="233" w:lineRule="exact"/>
        <w:rPr>
          <w:rFonts w:ascii="Arial" w:cs="Arial" w:eastAsia="Arial" w:hAnsi="Arial"/>
          <w:sz w:val="22"/>
          <w:szCs w:val="22"/>
          <w:color w:val="auto"/>
        </w:rPr>
      </w:pPr>
    </w:p>
    <w:p>
      <w:pPr>
        <w:ind w:left="652" w:hanging="652"/>
        <w:spacing w:after="0"/>
        <w:tabs>
          <w:tab w:leader="none" w:pos="6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“Compensation Committee” means the Talent, Culture, and Compensation Committee of the Board.</w:t>
      </w:r>
    </w:p>
    <w:p>
      <w:pPr>
        <w:spacing w:after="0" w:line="219" w:lineRule="exact"/>
        <w:rPr>
          <w:rFonts w:ascii="Arial" w:cs="Arial" w:eastAsia="Arial" w:hAnsi="Arial"/>
          <w:sz w:val="22"/>
          <w:szCs w:val="22"/>
          <w:color w:val="auto"/>
        </w:rPr>
      </w:pPr>
    </w:p>
    <w:p>
      <w:pPr>
        <w:ind w:left="652" w:right="160" w:hanging="652"/>
        <w:spacing w:after="0" w:line="249" w:lineRule="auto"/>
        <w:tabs>
          <w:tab w:leader="none" w:pos="666" w:val="left"/>
        </w:tabs>
        <w:numPr>
          <w:ilvl w:val="0"/>
          <w:numId w:val="48"/>
        </w:numPr>
        <w:rPr>
          <w:rFonts w:ascii="Arial" w:cs="Arial" w:eastAsia="Arial" w:hAnsi="Arial"/>
          <w:sz w:val="22"/>
          <w:szCs w:val="22"/>
          <w:color w:val="auto"/>
        </w:rPr>
      </w:pPr>
      <w:r>
        <w:rPr>
          <w:rFonts w:ascii="Arial" w:cs="Arial" w:eastAsia="Arial" w:hAnsi="Arial"/>
          <w:sz w:val="22"/>
          <w:szCs w:val="22"/>
          <w:color w:val="auto"/>
        </w:rPr>
        <w:t>“Employee” means a common law U.S. employee of the Participating Employer (including such an employee on a bona fide leave of absence). If the Plan Administrator or a Participating Employer determines that an individual is not an “employee,” the individual will not be eligible to participate in the Plan, regardless of whether the determination is subsequently upheld by a court or tax or regulatory authority having jurisdiction over such matters or whether the individual is subsequently treated or classified as an employee for certain specified purposes. Any change to an individual’s status by reason of such reclassification or subsequent treatment will apply prospectively only.</w:t>
      </w:r>
    </w:p>
    <w:p>
      <w:pPr>
        <w:spacing w:after="0" w:line="187" w:lineRule="exact"/>
        <w:rPr>
          <w:rFonts w:ascii="Arial" w:cs="Arial" w:eastAsia="Arial" w:hAnsi="Arial"/>
          <w:sz w:val="22"/>
          <w:szCs w:val="22"/>
          <w:color w:val="auto"/>
        </w:rPr>
      </w:pPr>
    </w:p>
    <w:p>
      <w:pPr>
        <w:ind w:left="652" w:hanging="652"/>
        <w:spacing w:after="0"/>
        <w:tabs>
          <w:tab w:leader="none" w:pos="6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“ERISA” means the Employee Retirement Income Security Act of 1974, as amended.</w:t>
      </w:r>
    </w:p>
    <w:p>
      <w:pPr>
        <w:spacing w:after="0" w:line="219" w:lineRule="exact"/>
        <w:rPr>
          <w:rFonts w:ascii="Arial" w:cs="Arial" w:eastAsia="Arial" w:hAnsi="Arial"/>
          <w:sz w:val="22"/>
          <w:szCs w:val="22"/>
          <w:color w:val="auto"/>
        </w:rPr>
      </w:pPr>
    </w:p>
    <w:p>
      <w:pPr>
        <w:ind w:left="652" w:hanging="652"/>
        <w:spacing w:after="0" w:line="259" w:lineRule="auto"/>
        <w:tabs>
          <w:tab w:leader="none" w:pos="666"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“Executive” means an Employee assigned by GE HealthCare to a Senior Executive Director or higher management level of GE HealthCare who is (1) the CEO, or (2) required to report solely to the CEO, provided that an individual is not an Executive if the individual is eligible to receive severance benefits or similar benefits under a plan or arrangement maintained by the Company or an affiliate for the benefit of employees of a non-U.S. jurisdiction (whether or not mandated by the law of such jurisdiction), unless the individual has waived any rights to such foreign benefits and has not revoked or violated such waiver. An Executive shall not be eligible for severance or similar benefits from the Company other than a benefit under this Plan, including under any offer letter dated prior to the Effective Date, the GE HealthCare US Executive Severance Plan (the “Executive Severance Plan”), the GE HealthCare Layoff Benefit Plan for Salaried Employees, a plan or arrangement maintained for the benefit of employees of a non-U.S. jurisdiction (whether or not mandated by the law of such jurisdiction), or any other plan, program, agreement, or arrangement sponsored by the Company that provides for severance or similar benefits. The above classifications are determined by GE HealthCare based on its management levels, and not those assigned by an Affiliate. If an individual ceases to be an Executive and remains an Employee, the Employee shall cease to be eligible for this Plan. If such Employee meets the definition of “Executive” under the Executive Severance Plan, the Employee shall be eligible for the Executive Severance Plan, subject to the terms of that plan.</w:t>
      </w:r>
    </w:p>
    <w:p>
      <w:pPr>
        <w:spacing w:after="0" w:line="190" w:lineRule="exact"/>
        <w:rPr>
          <w:rFonts w:ascii="Arial" w:cs="Arial" w:eastAsia="Arial" w:hAnsi="Arial"/>
          <w:sz w:val="21"/>
          <w:szCs w:val="21"/>
          <w:color w:val="auto"/>
        </w:rPr>
      </w:pPr>
    </w:p>
    <w:p>
      <w:pPr>
        <w:ind w:left="672" w:hanging="672"/>
        <w:spacing w:after="0"/>
        <w:tabs>
          <w:tab w:leader="none" w:pos="6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“GE HealthCare” means GE HealthCare Technologies Inc. or its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92"/>
          </w:cols>
          <w:pgMar w:left="328" w:top="1427" w:right="379" w:bottom="1440" w:gutter="0" w:footer="0" w:header="0"/>
        </w:sectPr>
      </w:pPr>
    </w:p>
    <w:bookmarkStart w:id="55" w:name="page56"/>
    <w:bookmarkEnd w:id="55"/>
    <w:p>
      <w:pPr>
        <w:ind w:left="652" w:right="180" w:hanging="652"/>
        <w:spacing w:after="0" w:line="264" w:lineRule="auto"/>
        <w:tabs>
          <w:tab w:leader="none" w:pos="6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“Non-Change in Control Good Reason Termination” means the Executive’s employment with the Company is terminated for one of the following reasons:</w:t>
      </w:r>
    </w:p>
    <w:p>
      <w:pPr>
        <w:spacing w:after="0" w:line="172" w:lineRule="exact"/>
        <w:rPr>
          <w:rFonts w:ascii="Arial" w:cs="Arial" w:eastAsia="Arial" w:hAnsi="Arial"/>
          <w:sz w:val="22"/>
          <w:szCs w:val="22"/>
          <w:color w:val="auto"/>
        </w:rPr>
      </w:pPr>
    </w:p>
    <w:p>
      <w:pPr>
        <w:ind w:left="1292" w:right="200" w:hanging="644"/>
        <w:spacing w:after="0" w:line="250" w:lineRule="auto"/>
        <w:tabs>
          <w:tab w:leader="none" w:pos="1318" w:val="left"/>
        </w:tabs>
        <w:numPr>
          <w:ilvl w:val="1"/>
          <w:numId w:val="49"/>
        </w:numPr>
        <w:rPr>
          <w:rFonts w:ascii="Arial" w:cs="Arial" w:eastAsia="Arial" w:hAnsi="Arial"/>
          <w:sz w:val="22"/>
          <w:szCs w:val="22"/>
          <w:color w:val="auto"/>
        </w:rPr>
      </w:pPr>
      <w:r>
        <w:rPr>
          <w:rFonts w:ascii="Arial" w:cs="Arial" w:eastAsia="Arial" w:hAnsi="Arial"/>
          <w:sz w:val="22"/>
          <w:szCs w:val="22"/>
          <w:color w:val="auto"/>
        </w:rPr>
        <w:t>a material adverse change in the nature or status of the Executive’s duties or responsibilities with the Company and/or a Participating Employer, provided that the sale, disposition, or spin-off of any one or more of the businesses of the Company or its Affiliates, or any transaction following which the Company’s (or its successor’s) common equity is not publicly traded on a nationally recognized securities exchange or through a national market quotation service, shall not be deemed a material diminution in the Executive’s duties, or responsibilities;</w:t>
      </w:r>
    </w:p>
    <w:p>
      <w:pPr>
        <w:spacing w:after="0" w:line="200" w:lineRule="exact"/>
        <w:rPr>
          <w:rFonts w:ascii="Arial" w:cs="Arial" w:eastAsia="Arial" w:hAnsi="Arial"/>
          <w:sz w:val="22"/>
          <w:szCs w:val="22"/>
          <w:color w:val="auto"/>
        </w:rPr>
      </w:pPr>
    </w:p>
    <w:p>
      <w:pPr>
        <w:ind w:left="1292" w:hanging="644"/>
        <w:spacing w:after="0" w:line="250" w:lineRule="auto"/>
        <w:tabs>
          <w:tab w:leader="none" w:pos="1318" w:val="left"/>
        </w:tabs>
        <w:numPr>
          <w:ilvl w:val="1"/>
          <w:numId w:val="49"/>
        </w:numPr>
        <w:rPr>
          <w:rFonts w:ascii="Arial" w:cs="Arial" w:eastAsia="Arial" w:hAnsi="Arial"/>
          <w:sz w:val="22"/>
          <w:szCs w:val="22"/>
          <w:color w:val="auto"/>
        </w:rPr>
      </w:pPr>
      <w:r>
        <w:rPr>
          <w:rFonts w:ascii="Arial" w:cs="Arial" w:eastAsia="Arial" w:hAnsi="Arial"/>
          <w:sz w:val="22"/>
          <w:szCs w:val="22"/>
          <w:color w:val="auto"/>
        </w:rPr>
        <w:t>a material reduction in Base Salary or annual target cash incentive opportunity in each case, from those in effect immediately prior to the termination other than a general reduction in Base Salary or annual target cash incentive award opportunity which similarly affects a significant number or class of executives in addition to the Executive; or</w:t>
      </w:r>
    </w:p>
    <w:p>
      <w:pPr>
        <w:spacing w:after="0" w:line="187" w:lineRule="exact"/>
        <w:rPr>
          <w:rFonts w:ascii="Arial" w:cs="Arial" w:eastAsia="Arial" w:hAnsi="Arial"/>
          <w:sz w:val="22"/>
          <w:szCs w:val="22"/>
          <w:color w:val="auto"/>
        </w:rPr>
      </w:pPr>
    </w:p>
    <w:p>
      <w:pPr>
        <w:ind w:left="1292" w:right="180" w:hanging="644"/>
        <w:spacing w:after="0" w:line="264" w:lineRule="auto"/>
        <w:tabs>
          <w:tab w:leader="none" w:pos="1318"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Company’s requirement to relocate to a location more than 50 miles from the Executive’s principal place of employment prior to such change; and</w:t>
      </w:r>
    </w:p>
    <w:p>
      <w:pPr>
        <w:spacing w:after="0" w:line="186" w:lineRule="exact"/>
        <w:rPr>
          <w:sz w:val="20"/>
          <w:szCs w:val="20"/>
          <w:color w:val="auto"/>
        </w:rPr>
      </w:pPr>
    </w:p>
    <w:p>
      <w:pPr>
        <w:ind w:left="652" w:right="480"/>
        <w:spacing w:after="0" w:line="264" w:lineRule="auto"/>
        <w:rPr>
          <w:sz w:val="20"/>
          <w:szCs w:val="20"/>
          <w:color w:val="auto"/>
        </w:rPr>
      </w:pPr>
      <w:r>
        <w:rPr>
          <w:rFonts w:ascii="Arial" w:cs="Arial" w:eastAsia="Arial" w:hAnsi="Arial"/>
          <w:sz w:val="22"/>
          <w:szCs w:val="22"/>
          <w:color w:val="auto"/>
        </w:rPr>
        <w:t>The Executive takes all of the following actions in response to the existence of the Non-Change in Control Good Reason condition(s):</w:t>
      </w:r>
    </w:p>
    <w:p>
      <w:pPr>
        <w:spacing w:after="0" w:line="199" w:lineRule="exact"/>
        <w:rPr>
          <w:sz w:val="20"/>
          <w:szCs w:val="20"/>
          <w:color w:val="auto"/>
        </w:rPr>
      </w:pPr>
    </w:p>
    <w:p>
      <w:pPr>
        <w:ind w:left="1292" w:right="520" w:hanging="644"/>
        <w:spacing w:after="0" w:line="254" w:lineRule="auto"/>
        <w:tabs>
          <w:tab w:leader="none" w:pos="1172" w:val="left"/>
        </w:tabs>
        <w:numPr>
          <w:ilvl w:val="1"/>
          <w:numId w:val="50"/>
        </w:numPr>
        <w:rPr>
          <w:rFonts w:ascii="Arial" w:cs="Arial" w:eastAsia="Arial" w:hAnsi="Arial"/>
          <w:sz w:val="22"/>
          <w:szCs w:val="22"/>
          <w:color w:val="auto"/>
        </w:rPr>
      </w:pPr>
      <w:r>
        <w:rPr>
          <w:rFonts w:ascii="Arial" w:cs="Arial" w:eastAsia="Arial" w:hAnsi="Arial"/>
          <w:sz w:val="22"/>
          <w:szCs w:val="22"/>
          <w:color w:val="auto"/>
        </w:rPr>
        <w:t>provides written notice to the Chief People Officer of GE HealthCare of the existence of the circumstances providing grounds for a Non-Change in Control Good Reason Termination within 30 calendar days of the date the Executive first becomes aware of such circumstances;</w:t>
      </w:r>
    </w:p>
    <w:p>
      <w:pPr>
        <w:spacing w:after="0" w:line="222" w:lineRule="exact"/>
        <w:rPr>
          <w:rFonts w:ascii="Arial" w:cs="Arial" w:eastAsia="Arial" w:hAnsi="Arial"/>
          <w:sz w:val="22"/>
          <w:szCs w:val="22"/>
          <w:color w:val="auto"/>
        </w:rPr>
      </w:pPr>
    </w:p>
    <w:p>
      <w:pPr>
        <w:ind w:left="1292" w:right="320" w:hanging="644"/>
        <w:spacing w:after="0" w:line="264" w:lineRule="auto"/>
        <w:tabs>
          <w:tab w:leader="none" w:pos="1172"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allows the Company at least 30 calendar days to cure the circumstances providing grounds for a Non-Change in Control Good Reason Termination; and</w:t>
      </w:r>
    </w:p>
    <w:p>
      <w:pPr>
        <w:spacing w:after="0" w:line="199" w:lineRule="exact"/>
        <w:rPr>
          <w:rFonts w:ascii="Arial" w:cs="Arial" w:eastAsia="Arial" w:hAnsi="Arial"/>
          <w:sz w:val="22"/>
          <w:szCs w:val="22"/>
          <w:color w:val="auto"/>
        </w:rPr>
      </w:pPr>
    </w:p>
    <w:p>
      <w:pPr>
        <w:ind w:left="1292" w:right="120" w:hanging="644"/>
        <w:spacing w:after="0" w:line="254" w:lineRule="auto"/>
        <w:tabs>
          <w:tab w:leader="none" w:pos="1184" w:val="left"/>
        </w:tabs>
        <w:numPr>
          <w:ilvl w:val="1"/>
          <w:numId w:val="50"/>
        </w:numPr>
        <w:rPr>
          <w:rFonts w:ascii="Arial" w:cs="Arial" w:eastAsia="Arial" w:hAnsi="Arial"/>
          <w:sz w:val="22"/>
          <w:szCs w:val="22"/>
          <w:color w:val="auto"/>
        </w:rPr>
      </w:pPr>
      <w:r>
        <w:rPr>
          <w:rFonts w:ascii="Arial" w:cs="Arial" w:eastAsia="Arial" w:hAnsi="Arial"/>
          <w:sz w:val="22"/>
          <w:szCs w:val="22"/>
          <w:color w:val="auto"/>
        </w:rPr>
        <w:t>if the Company fails to cure the circumstances providing grounds for a Non-Change in Control Good Reason Termination, terminates employment with the Company within 30 calendar days following such failure to cure.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652" w:hanging="652"/>
        <w:spacing w:after="0"/>
        <w:tabs>
          <w:tab w:leader="none" w:pos="652" w:val="left"/>
        </w:tabs>
        <w:numPr>
          <w:ilvl w:val="0"/>
          <w:numId w:val="51"/>
        </w:numPr>
        <w:rPr>
          <w:rFonts w:ascii="Arial" w:cs="Arial" w:eastAsia="Arial" w:hAnsi="Arial"/>
          <w:sz w:val="21"/>
          <w:szCs w:val="21"/>
          <w:color w:val="auto"/>
        </w:rPr>
      </w:pPr>
      <w:r>
        <w:rPr>
          <w:rFonts w:ascii="Arial" w:cs="Arial" w:eastAsia="Arial" w:hAnsi="Arial"/>
          <w:sz w:val="21"/>
          <w:szCs w:val="21"/>
          <w:color w:val="auto"/>
        </w:rPr>
        <w:t>“Participating Affiliate” means an Affiliate whose participation in the Plan is approved by the Plan Administrator.</w:t>
      </w:r>
    </w:p>
    <w:p>
      <w:pPr>
        <w:spacing w:after="0" w:line="231" w:lineRule="exact"/>
        <w:rPr>
          <w:rFonts w:ascii="Arial" w:cs="Arial" w:eastAsia="Arial" w:hAnsi="Arial"/>
          <w:sz w:val="21"/>
          <w:szCs w:val="21"/>
          <w:color w:val="auto"/>
        </w:rPr>
      </w:pPr>
    </w:p>
    <w:p>
      <w:pPr>
        <w:ind w:left="672" w:hanging="672"/>
        <w:spacing w:after="0"/>
        <w:tabs>
          <w:tab w:leader="none" w:pos="672" w:val="left"/>
        </w:tabs>
        <w:numPr>
          <w:ilvl w:val="0"/>
          <w:numId w:val="51"/>
        </w:numPr>
        <w:rPr>
          <w:rFonts w:ascii="Arial" w:cs="Arial" w:eastAsia="Arial" w:hAnsi="Arial"/>
          <w:sz w:val="22"/>
          <w:szCs w:val="22"/>
          <w:color w:val="auto"/>
        </w:rPr>
      </w:pPr>
      <w:r>
        <w:rPr>
          <w:rFonts w:ascii="Arial" w:cs="Arial" w:eastAsia="Arial" w:hAnsi="Arial"/>
          <w:sz w:val="22"/>
          <w:szCs w:val="22"/>
          <w:color w:val="auto"/>
        </w:rPr>
        <w:t>“Participating Employer” means GE HealthCare or a Participating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12"/>
          </w:cols>
          <w:pgMar w:left="328" w:top="1427" w:right="359" w:bottom="1440" w:gutter="0" w:footer="0" w:header="0"/>
        </w:sectPr>
      </w:pPr>
    </w:p>
    <w:bookmarkStart w:id="56" w:name="page57"/>
    <w:bookmarkEnd w:id="56"/>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“Plan Administrator” means the Compensation Committee, or its designee or delegate.</w:t>
      </w:r>
    </w:p>
    <w:p>
      <w:pPr>
        <w:spacing w:after="0" w:line="219" w:lineRule="exact"/>
        <w:rPr>
          <w:rFonts w:ascii="Arial" w:cs="Arial" w:eastAsia="Arial" w:hAnsi="Arial"/>
          <w:sz w:val="22"/>
          <w:szCs w:val="22"/>
          <w:color w:val="auto"/>
        </w:rPr>
      </w:pPr>
    </w:p>
    <w:p>
      <w:pPr>
        <w:ind w:left="680" w:hanging="672"/>
        <w:spacing w:after="0"/>
        <w:tabs>
          <w:tab w:leader="none" w:pos="6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“Plan Sponsor” means GE HealthCare.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“Section 409A” means Section 409A of the Code.</w:t>
      </w:r>
    </w:p>
    <w:p>
      <w:pPr>
        <w:spacing w:after="0" w:line="233" w:lineRule="exact"/>
        <w:rPr>
          <w:rFonts w:ascii="Arial" w:cs="Arial" w:eastAsia="Arial" w:hAnsi="Arial"/>
          <w:sz w:val="22"/>
          <w:szCs w:val="22"/>
          <w:color w:val="auto"/>
        </w:rPr>
      </w:pPr>
    </w:p>
    <w:p>
      <w:pPr>
        <w:ind w:left="680" w:hanging="672"/>
        <w:spacing w:after="0"/>
        <w:tabs>
          <w:tab w:leader="none" w:pos="6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“Special Early Retirement Option Offset” shall have the meaning set forth in the GE HealthCare Pension Plan.</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IX.</w:t>
      </w:r>
      <w:r>
        <w:rPr>
          <w:sz w:val="20"/>
          <w:szCs w:val="20"/>
          <w:color w:val="auto"/>
        </w:rPr>
        <w:tab/>
      </w:r>
      <w:r>
        <w:rPr>
          <w:rFonts w:ascii="Arial" w:cs="Arial" w:eastAsia="Arial" w:hAnsi="Arial"/>
          <w:sz w:val="21"/>
          <w:szCs w:val="21"/>
          <w:b w:val="1"/>
          <w:bCs w:val="1"/>
          <w:color w:val="auto"/>
        </w:rPr>
        <w:t>Other</w:t>
      </w:r>
    </w:p>
    <w:p>
      <w:pPr>
        <w:spacing w:after="0" w:line="230" w:lineRule="exact"/>
        <w:rPr>
          <w:sz w:val="20"/>
          <w:szCs w:val="20"/>
          <w:color w:val="auto"/>
        </w:rPr>
      </w:pPr>
    </w:p>
    <w:p>
      <w:pPr>
        <w:ind w:left="660" w:hanging="652"/>
        <w:spacing w:after="0" w:line="254" w:lineRule="auto"/>
        <w:tabs>
          <w:tab w:leader="none" w:pos="683" w:val="left"/>
        </w:tabs>
        <w:numPr>
          <w:ilvl w:val="0"/>
          <w:numId w:val="53"/>
        </w:numPr>
        <w:rPr>
          <w:rFonts w:ascii="Arial" w:cs="Arial" w:eastAsia="Arial" w:hAnsi="Arial"/>
          <w:sz w:val="22"/>
          <w:szCs w:val="22"/>
          <w:color w:val="auto"/>
        </w:rPr>
      </w:pPr>
      <w:r>
        <w:rPr>
          <w:rFonts w:ascii="Arial" w:cs="Arial" w:eastAsia="Arial" w:hAnsi="Arial"/>
          <w:sz w:val="22"/>
          <w:szCs w:val="22"/>
          <w:color w:val="auto"/>
        </w:rPr>
        <w:t>Payments made under this Plan shall not be treated as eligible “compensation” for purposes of any retirement, savings, or similar plan of the Company, including, but not limited to, the GE HealthCare Retirement Savings Plan, the GE HealthCare Pension Plan, the GE HealthCare Restoration Plan, the GE HealthCare Supplementary Pension Plan, and the GE HealthCare Excess Benefits Plan.</w:t>
      </w:r>
    </w:p>
    <w:p>
      <w:pPr>
        <w:spacing w:after="0" w:line="184" w:lineRule="exact"/>
        <w:rPr>
          <w:rFonts w:ascii="Arial" w:cs="Arial" w:eastAsia="Arial" w:hAnsi="Arial"/>
          <w:sz w:val="22"/>
          <w:szCs w:val="22"/>
          <w:color w:val="auto"/>
        </w:rPr>
      </w:pPr>
    </w:p>
    <w:p>
      <w:pPr>
        <w:ind w:left="660" w:right="40" w:hanging="652"/>
        <w:spacing w:after="0" w:line="248" w:lineRule="auto"/>
        <w:tabs>
          <w:tab w:leader="none" w:pos="674"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Company determines that an Executive is indebted to it on the effective date of the Qualifying Termination, including by reason of breaching a commitment to the Company, the Company reserves the right to offset the payment of any benefits under the Plan by the amount of such indebtedness, as determined by the Plan Administrator. Such offset will be made in accordance with all applicable laws (including the intent not to trigger taxes under Section 409A).</w:t>
      </w:r>
    </w:p>
    <w:p>
      <w:pPr>
        <w:spacing w:after="0" w:line="205" w:lineRule="exact"/>
        <w:rPr>
          <w:rFonts w:ascii="Arial" w:cs="Arial" w:eastAsia="Arial" w:hAnsi="Arial"/>
          <w:sz w:val="22"/>
          <w:szCs w:val="22"/>
          <w:color w:val="auto"/>
        </w:rPr>
      </w:pPr>
    </w:p>
    <w:p>
      <w:pPr>
        <w:ind w:left="660" w:right="20" w:hanging="652"/>
        <w:spacing w:after="0" w:line="247" w:lineRule="auto"/>
        <w:tabs>
          <w:tab w:leader="none" w:pos="683"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 amount payable at any time under this Plan shall be subject in any manner to alienation, sale, transfer, assignment, pledge or encumbrance of any kind (except as described in subsection (b) above). Any attempt to alienate, sell, transfer, assign, pledge, commute, anticipate, mortgage or otherwise encumber, transfer, hypothecate or convey any such benefit, whether presently or subsequently payable, shall be void. Except as required by law or as described in Section XII, no benefit payable under this Plan shall, prior to actual payment, in any manner be subject to seizure, garnishment, attachment, execution, sequestration or other legal process for the payment of any debts, judgments, alimony, separate maintenance or liability of any Executive, or be transferrable by operation of law in the event of an Executive’s or any other person’s bankruptcy or insolvency.</w:t>
      </w:r>
    </w:p>
    <w:p>
      <w:pPr>
        <w:spacing w:after="0" w:line="194" w:lineRule="exact"/>
        <w:rPr>
          <w:rFonts w:ascii="Arial" w:cs="Arial" w:eastAsia="Arial" w:hAnsi="Arial"/>
          <w:sz w:val="22"/>
          <w:szCs w:val="22"/>
          <w:color w:val="auto"/>
        </w:rPr>
      </w:pPr>
    </w:p>
    <w:p>
      <w:pPr>
        <w:ind w:left="660" w:right="40" w:hanging="652"/>
        <w:spacing w:after="0" w:line="260" w:lineRule="auto"/>
        <w:tabs>
          <w:tab w:leader="none" w:pos="67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Plan Administrator is authorized to comply with any court order in any action in which the Plan or the Plan Administrator has been named as a party, including any action involving a determination of the rights or interests in an Employee’s benefits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20" w:top="1440" w:right="379" w:bottom="1440" w:gutter="0" w:footer="0" w:header="0"/>
        </w:sectPr>
      </w:pPr>
    </w:p>
    <w:bookmarkStart w:id="57" w:name="page58"/>
    <w:bookmarkEnd w:id="57"/>
    <w:p>
      <w:pPr>
        <w:spacing w:after="0" w:line="200" w:lineRule="exact"/>
        <w:rPr>
          <w:sz w:val="20"/>
          <w:szCs w:val="20"/>
          <w:color w:val="auto"/>
        </w:rPr>
      </w:pPr>
    </w:p>
    <w:p>
      <w:pPr>
        <w:spacing w:after="0" w:line="246" w:lineRule="exact"/>
        <w:rPr>
          <w:sz w:val="20"/>
          <w:szCs w:val="20"/>
          <w:color w:val="auto"/>
        </w:rPr>
      </w:pPr>
    </w:p>
    <w:p>
      <w:pPr>
        <w:ind w:left="660" w:right="120" w:hanging="652"/>
        <w:spacing w:after="0" w:line="254" w:lineRule="auto"/>
        <w:tabs>
          <w:tab w:leader="none" w:pos="686"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This Plan does not provide any individual a right to continue employment with the Company, nor does it affect the Company’s right to terminate the employment of any individual at any time for any reason with or without Cause.</w:t>
      </w:r>
    </w:p>
    <w:p>
      <w:pPr>
        <w:spacing w:after="0" w:line="195" w:lineRule="exact"/>
        <w:rPr>
          <w:rFonts w:ascii="Arial" w:cs="Arial" w:eastAsia="Arial" w:hAnsi="Arial"/>
          <w:sz w:val="22"/>
          <w:szCs w:val="22"/>
          <w:color w:val="auto"/>
        </w:rPr>
      </w:pPr>
    </w:p>
    <w:p>
      <w:pPr>
        <w:ind w:left="660" w:right="680" w:hanging="652"/>
        <w:spacing w:after="0" w:line="254" w:lineRule="auto"/>
        <w:tabs>
          <w:tab w:leader="none" w:pos="67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Except to the extent preempted by ERISA or otherwise governed by federal law, the laws of the State of Delaware shall govern the construction and interpretation of the Plan, without regard to conflicts of law provisions therein.</w:t>
      </w:r>
    </w:p>
    <w:p>
      <w:pPr>
        <w:spacing w:after="0" w:line="182" w:lineRule="exact"/>
        <w:rPr>
          <w:rFonts w:ascii="Arial" w:cs="Arial" w:eastAsia="Arial" w:hAnsi="Arial"/>
          <w:sz w:val="22"/>
          <w:szCs w:val="22"/>
          <w:color w:val="auto"/>
        </w:rPr>
      </w:pPr>
    </w:p>
    <w:p>
      <w:pPr>
        <w:ind w:left="660" w:right="640" w:hanging="652"/>
        <w:spacing w:after="0" w:line="264" w:lineRule="auto"/>
        <w:tabs>
          <w:tab w:leader="none" w:pos="685" w:val="left"/>
        </w:tabs>
        <w:numPr>
          <w:ilvl w:val="0"/>
          <w:numId w:val="54"/>
        </w:numPr>
        <w:rPr>
          <w:rFonts w:ascii="Arial" w:cs="Arial" w:eastAsia="Arial" w:hAnsi="Arial"/>
          <w:sz w:val="22"/>
          <w:szCs w:val="22"/>
          <w:color w:val="auto"/>
        </w:rPr>
      </w:pPr>
      <w:r>
        <w:rPr>
          <w:rFonts w:ascii="Arial" w:cs="Arial" w:eastAsia="Arial" w:hAnsi="Arial"/>
          <w:sz w:val="22"/>
          <w:szCs w:val="22"/>
          <w:color w:val="auto"/>
        </w:rPr>
        <w:t>Benefits provided under this Plan are unfunded and unsecured obligations of the Participating Employer payable from its general assets.</w:t>
      </w:r>
    </w:p>
    <w:p>
      <w:pPr>
        <w:spacing w:after="0" w:line="185" w:lineRule="exact"/>
        <w:rPr>
          <w:rFonts w:ascii="Arial" w:cs="Arial" w:eastAsia="Arial" w:hAnsi="Arial"/>
          <w:sz w:val="22"/>
          <w:szCs w:val="22"/>
          <w:color w:val="auto"/>
        </w:rPr>
      </w:pPr>
    </w:p>
    <w:p>
      <w:pPr>
        <w:jc w:val="both"/>
        <w:ind w:left="660" w:right="20" w:hanging="652"/>
        <w:spacing w:after="0" w:line="254" w:lineRule="auto"/>
        <w:tabs>
          <w:tab w:leader="none" w:pos="676"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Each Executive shall cooperate with the Plan Administrator by furnishing any and all information requested by the Plan Administrator and take such other actions as may be requested in order to facilitate the administration of the Plan and the payment of benefits hereunder.</w:t>
      </w:r>
    </w:p>
    <w:p>
      <w:pPr>
        <w:spacing w:after="0" w:line="182" w:lineRule="exact"/>
        <w:rPr>
          <w:rFonts w:ascii="Arial" w:cs="Arial" w:eastAsia="Arial" w:hAnsi="Arial"/>
          <w:sz w:val="22"/>
          <w:szCs w:val="22"/>
          <w:color w:val="auto"/>
        </w:rPr>
      </w:pPr>
    </w:p>
    <w:p>
      <w:pPr>
        <w:ind w:left="660" w:hanging="652"/>
        <w:spacing w:after="0" w:line="254" w:lineRule="auto"/>
        <w:tabs>
          <w:tab w:leader="none" w:pos="66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This Plan contains a complete statement of its terms. The Plan may be amended, suspended or terminated only in writing and then only as provided in Section X. The legal or equitable rights or interests of any person in this Plan, and the Participating Employer’s obligations or liabilities therefor, shall be exclusively determined by the express provisions of the Plan.</w:t>
      </w:r>
    </w:p>
    <w:p>
      <w:pPr>
        <w:spacing w:after="0" w:line="184" w:lineRule="exact"/>
        <w:rPr>
          <w:rFonts w:ascii="Arial" w:cs="Arial" w:eastAsia="Arial" w:hAnsi="Arial"/>
          <w:sz w:val="22"/>
          <w:szCs w:val="22"/>
          <w:color w:val="auto"/>
        </w:rPr>
      </w:pPr>
    </w:p>
    <w:p>
      <w:pPr>
        <w:jc w:val="both"/>
        <w:ind w:left="660" w:right="120" w:hanging="652"/>
        <w:spacing w:after="0" w:line="254" w:lineRule="auto"/>
        <w:tabs>
          <w:tab w:leader="none" w:pos="668"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any provision of the Plan shall be held unlawful or otherwise invalid or unenforceable in whole or in part, the unlawfulness, invalidity, or unenforceability shall not affect any other provision of the Plan, each of which shall remain in full force and effect.</w:t>
      </w:r>
    </w:p>
    <w:p>
      <w:pPr>
        <w:spacing w:after="0" w:line="182" w:lineRule="exact"/>
        <w:rPr>
          <w:rFonts w:ascii="Arial" w:cs="Arial" w:eastAsia="Arial" w:hAnsi="Arial"/>
          <w:sz w:val="22"/>
          <w:szCs w:val="22"/>
          <w:color w:val="auto"/>
        </w:rPr>
      </w:pPr>
    </w:p>
    <w:p>
      <w:pPr>
        <w:jc w:val="both"/>
        <w:ind w:left="660" w:right="340" w:hanging="652"/>
        <w:spacing w:after="0" w:line="260" w:lineRule="auto"/>
        <w:tabs>
          <w:tab w:leader="none" w:pos="674"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 severance benefit is paid to an Executive and the Company or Plan Administrator determines that all or part of such payment was not owed under the terms of the Plan, the Company reserves the right to recover such payment, including deducting such amounts from any sums due the Executive.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X.</w:t>
      </w:r>
      <w:r>
        <w:rPr>
          <w:sz w:val="20"/>
          <w:szCs w:val="20"/>
          <w:color w:val="auto"/>
        </w:rPr>
        <w:tab/>
      </w:r>
      <w:r>
        <w:rPr>
          <w:rFonts w:ascii="Arial" w:cs="Arial" w:eastAsia="Arial" w:hAnsi="Arial"/>
          <w:sz w:val="21"/>
          <w:szCs w:val="21"/>
          <w:b w:val="1"/>
          <w:bCs w:val="1"/>
          <w:color w:val="auto"/>
        </w:rPr>
        <w:t>Amendment or Termination</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22"/>
          <w:szCs w:val="22"/>
          <w:color w:val="auto"/>
        </w:rPr>
        <w:t>The Plan may be amended or terminated by the Talent, Compensation Committee or its designee, at any time and for any reason, in its sole discretion and with the result that benefits under the Plan may be changed or discontinued, retroactively or prospectively.</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XI.</w:t>
      </w:r>
      <w:r>
        <w:rPr>
          <w:sz w:val="20"/>
          <w:szCs w:val="20"/>
          <w:color w:val="auto"/>
        </w:rPr>
        <w:tab/>
      </w:r>
      <w:r>
        <w:rPr>
          <w:rFonts w:ascii="Arial" w:cs="Arial" w:eastAsia="Arial" w:hAnsi="Arial"/>
          <w:sz w:val="21"/>
          <w:szCs w:val="21"/>
          <w:b w:val="1"/>
          <w:bCs w:val="1"/>
          <w:color w:val="auto"/>
        </w:rPr>
        <w:t>Administration</w:t>
      </w:r>
    </w:p>
    <w:p>
      <w:pPr>
        <w:spacing w:after="0" w:line="23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Except as otherwise expressly provided in the Plan, the management and control of the operation and administration of the Plan shall be vested in the Plan Administrator. The Plan Administrator has sole discretion to make all determinations with respect to eligibility and benefits under the Plan and such determinations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40" w:right="359" w:bottom="1440" w:gutter="0" w:footer="0" w:header="0"/>
        </w:sectPr>
      </w:pPr>
    </w:p>
    <w:bookmarkStart w:id="58" w:name="page59"/>
    <w:bookmarkEnd w:id="58"/>
    <w:p>
      <w:pPr>
        <w:ind w:right="240"/>
        <w:spacing w:after="0" w:line="254" w:lineRule="auto"/>
        <w:rPr>
          <w:sz w:val="20"/>
          <w:szCs w:val="20"/>
          <w:color w:val="auto"/>
        </w:rPr>
      </w:pPr>
      <w:r>
        <w:rPr>
          <w:rFonts w:ascii="Arial" w:cs="Arial" w:eastAsia="Arial" w:hAnsi="Arial"/>
          <w:sz w:val="22"/>
          <w:szCs w:val="22"/>
          <w:color w:val="auto"/>
        </w:rPr>
        <w:t>No liability shall attach to or be incurred by the stockholders, officers, directors or employees of the Company, in whatever capacity, under or by reason of the terms, conditions or agreements contained in the Plan or any law, rule or regulation, or for acts or decisions taken or omitted by any of them thereunder.</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Plan Administrator may, from time to time, employ agents and delegate to them such administrative duties as it sees fit. In accordance with its charter, the Plan Administrator may also delegate to other persons or other entities any or all of its authority, responsibilities, obligations and duties with respect to the Plan. If the Company, Plan Administrator, or other plan fiduciary (an “Advisee”) engages attorneys, accountants, actuaries, consultants, and other service providers (an “Advisor”) to advise them on issues related to a Plan or the Advisee’s responsibilities under the Plan:</w:t>
      </w:r>
    </w:p>
    <w:p>
      <w:pPr>
        <w:spacing w:after="0" w:line="187" w:lineRule="exact"/>
        <w:rPr>
          <w:sz w:val="20"/>
          <w:szCs w:val="20"/>
          <w:color w:val="auto"/>
        </w:rPr>
      </w:pPr>
    </w:p>
    <w:p>
      <w:pPr>
        <w:ind w:left="660" w:right="480" w:hanging="652"/>
        <w:spacing w:after="0" w:line="264" w:lineRule="auto"/>
        <w:tabs>
          <w:tab w:leader="none" w:pos="68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Advisor’s client is the Advisee and not any employee, participant, dependent, beneficiary, claimant, or other person;</w:t>
      </w:r>
    </w:p>
    <w:p>
      <w:pPr>
        <w:spacing w:after="0" w:line="172" w:lineRule="exact"/>
        <w:rPr>
          <w:rFonts w:ascii="Arial" w:cs="Arial" w:eastAsia="Arial" w:hAnsi="Arial"/>
          <w:sz w:val="22"/>
          <w:szCs w:val="22"/>
          <w:color w:val="auto"/>
        </w:rPr>
      </w:pPr>
    </w:p>
    <w:p>
      <w:pPr>
        <w:ind w:left="660" w:right="200" w:hanging="652"/>
        <w:spacing w:after="0" w:line="254" w:lineRule="auto"/>
        <w:tabs>
          <w:tab w:leader="none" w:pos="67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Advisee will be entitled to preserve the attorney-client privilege and any other privilege accorded to communications with the Advisor, and all other rights to maintain confidentiality, to the full extent permitted by law; and</w:t>
      </w:r>
    </w:p>
    <w:p>
      <w:pPr>
        <w:spacing w:after="0" w:line="195" w:lineRule="exact"/>
        <w:rPr>
          <w:rFonts w:ascii="Arial" w:cs="Arial" w:eastAsia="Arial" w:hAnsi="Arial"/>
          <w:sz w:val="22"/>
          <w:szCs w:val="22"/>
          <w:color w:val="auto"/>
        </w:rPr>
      </w:pPr>
    </w:p>
    <w:p>
      <w:pPr>
        <w:ind w:left="660" w:right="480" w:hanging="652"/>
        <w:spacing w:after="0" w:line="254" w:lineRule="auto"/>
        <w:tabs>
          <w:tab w:leader="none" w:pos="683"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employee, participant, dependent, beneficiary, claimant or other person will be permitted to review any communication between the Advisee and any of the Advisee’s Advisors with respect to whom a privilege applies, unless mandated by a court order.</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XII. Taxation and Section 409A</w:t>
      </w:r>
    </w:p>
    <w:p>
      <w:pPr>
        <w:spacing w:after="0" w:line="230" w:lineRule="exact"/>
        <w:rPr>
          <w:sz w:val="20"/>
          <w:szCs w:val="20"/>
          <w:color w:val="auto"/>
        </w:rPr>
      </w:pPr>
    </w:p>
    <w:p>
      <w:pPr>
        <w:ind w:right="360"/>
        <w:spacing w:after="0" w:line="265" w:lineRule="auto"/>
        <w:rPr>
          <w:sz w:val="20"/>
          <w:szCs w:val="20"/>
          <w:color w:val="auto"/>
        </w:rPr>
      </w:pPr>
      <w:r>
        <w:rPr>
          <w:rFonts w:ascii="Arial" w:cs="Arial" w:eastAsia="Arial" w:hAnsi="Arial"/>
          <w:sz w:val="21"/>
          <w:szCs w:val="21"/>
          <w:color w:val="auto"/>
        </w:rPr>
        <w:t>All payments and benefits under the Plan are subject to all applicable deductions and withholdings, including obligations to withhold federal, state and local income and employment taxes. Each recipient of benefits under the Plan (and not the Company) shall be solely responsible for the recipient’s own tax liability with respect to such benefits (including imputed income), without regard to the amount withheld or reported to the Internal Revenue Service. The amount withheld shall be determined by the Company. Nothing in this Plan shall be interpreted or construed to transfer any liability for any tax (including a tax or penalty due as a result of a failure to comply with Section 409A) from any Executive or an Executive’s spouse, beneficiary, or estate to any other individual or entity.</w:t>
      </w:r>
    </w:p>
    <w:p>
      <w:pPr>
        <w:spacing w:after="0" w:line="172"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The Plan shall be construed and administered consistently with the intent that payments under the Plan be exempt from the requirements of Section 409A (i.e., applying the “short-term deferral” rule described in Treas. Reg. § 1.409A-1(b)(4), the “two-year, two-time” rule described in Treas. Reg. § 1.409A-1(b)(9) and/or another exemption). To the extent Section 409A applies, the Plan shall be construed and administered consistently with the requirements thereof to avoid taxes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59" w:name="page60"/>
    <w:bookmarkEnd w:id="59"/>
    <w:p>
      <w:pPr>
        <w:spacing w:after="0" w:line="200" w:lineRule="exact"/>
        <w:rPr>
          <w:sz w:val="20"/>
          <w:szCs w:val="20"/>
          <w:color w:val="auto"/>
        </w:rPr>
      </w:pPr>
    </w:p>
    <w:p>
      <w:pPr>
        <w:spacing w:after="0" w:line="246" w:lineRule="exact"/>
        <w:rPr>
          <w:sz w:val="20"/>
          <w:szCs w:val="20"/>
          <w:color w:val="auto"/>
        </w:rPr>
      </w:pPr>
    </w:p>
    <w:p>
      <w:pPr>
        <w:jc w:val="both"/>
        <w:ind w:right="280"/>
        <w:spacing w:after="0" w:line="254" w:lineRule="auto"/>
        <w:rPr>
          <w:sz w:val="20"/>
          <w:szCs w:val="20"/>
          <w:color w:val="auto"/>
        </w:rPr>
      </w:pPr>
      <w:r>
        <w:rPr>
          <w:rFonts w:ascii="Arial" w:cs="Arial" w:eastAsia="Arial" w:hAnsi="Arial"/>
          <w:sz w:val="22"/>
          <w:szCs w:val="22"/>
          <w:color w:val="auto"/>
        </w:rPr>
        <w:t>Consistent therewith, where the Plan specifies a window during which a payment may be made, the payment date within such window shall be determined by the Plan Sponsor in its sole discretion. Furthermore, any installment in any series of payments shall be treated as a separate payment.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To the extent that Section 409A applies:</w:t>
      </w:r>
    </w:p>
    <w:p>
      <w:pPr>
        <w:spacing w:after="0" w:line="220" w:lineRule="exact"/>
        <w:rPr>
          <w:sz w:val="20"/>
          <w:szCs w:val="20"/>
          <w:color w:val="auto"/>
        </w:rPr>
      </w:pPr>
    </w:p>
    <w:p>
      <w:pPr>
        <w:ind w:left="660" w:hanging="652"/>
        <w:spacing w:after="0" w:line="264" w:lineRule="auto"/>
        <w:tabs>
          <w:tab w:leader="none" w:pos="683" w:val="left"/>
        </w:tabs>
        <w:numPr>
          <w:ilvl w:val="0"/>
          <w:numId w:val="56"/>
        </w:numPr>
        <w:rPr>
          <w:rFonts w:ascii="Arial" w:cs="Arial" w:eastAsia="Arial" w:hAnsi="Arial"/>
          <w:sz w:val="22"/>
          <w:szCs w:val="22"/>
          <w:color w:val="auto"/>
        </w:rPr>
      </w:pPr>
      <w:r>
        <w:rPr>
          <w:rFonts w:ascii="Arial" w:cs="Arial" w:eastAsia="Arial" w:hAnsi="Arial"/>
          <w:sz w:val="22"/>
          <w:szCs w:val="22"/>
          <w:color w:val="auto"/>
        </w:rPr>
        <w:t>Payment of the lump sum benefit described in Section IV shall occur on the 60th day following the Executive’s Qualifying Termination;</w:t>
      </w:r>
    </w:p>
    <w:p>
      <w:pPr>
        <w:spacing w:after="0" w:line="172" w:lineRule="exact"/>
        <w:rPr>
          <w:rFonts w:ascii="Arial" w:cs="Arial" w:eastAsia="Arial" w:hAnsi="Arial"/>
          <w:sz w:val="22"/>
          <w:szCs w:val="22"/>
          <w:color w:val="auto"/>
        </w:rPr>
      </w:pPr>
    </w:p>
    <w:p>
      <w:pPr>
        <w:ind w:left="660" w:right="200" w:hanging="652"/>
        <w:spacing w:after="0" w:line="260" w:lineRule="auto"/>
        <w:tabs>
          <w:tab w:leader="none" w:pos="67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effective date of an Executive’s Qualifying Termination shall be the date the Executive actually incurs a “separation from service” within the meaning of Section 409A and the regulations and other guidance issued thereunder, as determined by the Plan Administrator;</w:t>
      </w:r>
    </w:p>
    <w:p>
      <w:pPr>
        <w:spacing w:after="0" w:line="176" w:lineRule="exact"/>
        <w:rPr>
          <w:rFonts w:ascii="Arial" w:cs="Arial" w:eastAsia="Arial" w:hAnsi="Arial"/>
          <w:sz w:val="22"/>
          <w:szCs w:val="22"/>
          <w:color w:val="auto"/>
        </w:rPr>
      </w:pPr>
    </w:p>
    <w:p>
      <w:pPr>
        <w:ind w:left="660" w:right="140" w:hanging="652"/>
        <w:spacing w:after="0" w:line="250" w:lineRule="auto"/>
        <w:tabs>
          <w:tab w:leader="none" w:pos="683"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upon separation from service, an Executive is a “specified employee” within the meaning of Section 409A, any payment under this Plan that is subject to Section 409A and would otherwise be paid within six months after the Executive’s separation from service will instead be paid in the seventh month following the Executive’s separation from service; and</w:t>
      </w:r>
    </w:p>
    <w:p>
      <w:pPr>
        <w:spacing w:after="0" w:line="187" w:lineRule="exact"/>
        <w:rPr>
          <w:rFonts w:ascii="Arial" w:cs="Arial" w:eastAsia="Arial" w:hAnsi="Arial"/>
          <w:sz w:val="22"/>
          <w:szCs w:val="22"/>
          <w:color w:val="auto"/>
        </w:rPr>
      </w:pPr>
    </w:p>
    <w:p>
      <w:pPr>
        <w:ind w:left="660" w:right="220" w:hanging="652"/>
        <w:spacing w:after="0" w:line="254" w:lineRule="auto"/>
        <w:tabs>
          <w:tab w:leader="none" w:pos="674"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the period during which an Executive has discretion to execute or revoke the separation agreement (including the Release) described in Section III straddles two calendar years, the Plan Sponsor shall make payments conditioned on execution of such separation agreement no earlier than January 1st of the second calendar year, regardless of which year the separation agreement becomes effective.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XIII. Claims and Appeals</w:t>
      </w:r>
    </w:p>
    <w:p>
      <w:pPr>
        <w:spacing w:after="0" w:line="23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provisions of this Section XIII shall apply to any claim for a benefit under the Plan, regardless of the basis asserted for the claim and regardless of when the act or omission upon which the claim is based occurred. Any such claim shall be addressed through the claims and appeals process described in the handbook summary for this Plan, and no such claim may be filed in court, arbitration, or similar proceeding before the claimant has exhausted that process. Such process is intended to comply with Section 503 of ERISA and shall be administered and interpreted in a manner consistent with such intent.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claims administrator shall be the Plan Administrator, or its designee or delegate.</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XIV. Limitations Period</w:t>
      </w:r>
    </w:p>
    <w:p>
      <w:pPr>
        <w:spacing w:after="0" w:line="230" w:lineRule="exact"/>
        <w:rPr>
          <w:sz w:val="20"/>
          <w:szCs w:val="20"/>
          <w:color w:val="auto"/>
        </w:rPr>
      </w:pPr>
    </w:p>
    <w:p>
      <w:pPr>
        <w:ind w:left="660" w:right="40" w:hanging="652"/>
        <w:spacing w:after="0" w:line="264" w:lineRule="auto"/>
        <w:tabs>
          <w:tab w:leader="none" w:pos="683"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claim (1) for benefits; (2) to enforce rights under the Plan; or (3) otherwise seeking a remedy or judgment of any kind against the Plan, the Plan Administrator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60"/>
          </w:cols>
          <w:pgMar w:left="320" w:top="1440" w:right="419" w:bottom="1440" w:gutter="0" w:footer="0" w:header="0"/>
        </w:sectPr>
      </w:pPr>
    </w:p>
    <w:bookmarkStart w:id="60" w:name="page61"/>
    <w:bookmarkEnd w:id="60"/>
    <w:p>
      <w:pPr>
        <w:ind w:left="652" w:right="860"/>
        <w:spacing w:after="0" w:line="264" w:lineRule="auto"/>
        <w:rPr>
          <w:sz w:val="20"/>
          <w:szCs w:val="20"/>
          <w:color w:val="auto"/>
        </w:rPr>
      </w:pPr>
      <w:r>
        <w:rPr>
          <w:rFonts w:ascii="Arial" w:cs="Arial" w:eastAsia="Arial" w:hAnsi="Arial"/>
          <w:sz w:val="22"/>
          <w:szCs w:val="22"/>
          <w:color w:val="auto"/>
        </w:rPr>
        <w:t>Company must be filed within the limitations period prescribed by this Section XIV (and subsequent to exhaustion as described in Section XIII).</w:t>
      </w:r>
    </w:p>
    <w:p>
      <w:pPr>
        <w:spacing w:after="0" w:line="172" w:lineRule="exact"/>
        <w:rPr>
          <w:sz w:val="20"/>
          <w:szCs w:val="20"/>
          <w:color w:val="auto"/>
        </w:rPr>
      </w:pPr>
    </w:p>
    <w:p>
      <w:pPr>
        <w:ind w:left="652" w:hanging="652"/>
        <w:spacing w:after="0"/>
        <w:tabs>
          <w:tab w:leader="none" w:pos="652"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limitations period shall begin on the following date:</w:t>
      </w:r>
    </w:p>
    <w:p>
      <w:pPr>
        <w:spacing w:after="0" w:line="233" w:lineRule="exact"/>
        <w:rPr>
          <w:rFonts w:ascii="Arial" w:cs="Arial" w:eastAsia="Arial" w:hAnsi="Arial"/>
          <w:sz w:val="22"/>
          <w:szCs w:val="22"/>
          <w:color w:val="auto"/>
        </w:rPr>
      </w:pPr>
    </w:p>
    <w:p>
      <w:pPr>
        <w:ind w:left="1292" w:hanging="644"/>
        <w:spacing w:after="0" w:line="264" w:lineRule="auto"/>
        <w:tabs>
          <w:tab w:leader="none" w:pos="1318" w:val="left"/>
        </w:tabs>
        <w:numPr>
          <w:ilvl w:val="1"/>
          <w:numId w:val="58"/>
        </w:numPr>
        <w:rPr>
          <w:rFonts w:ascii="Arial" w:cs="Arial" w:eastAsia="Arial" w:hAnsi="Arial"/>
          <w:sz w:val="21"/>
          <w:szCs w:val="21"/>
          <w:color w:val="auto"/>
        </w:rPr>
      </w:pPr>
      <w:r>
        <w:rPr>
          <w:rFonts w:ascii="Arial" w:cs="Arial" w:eastAsia="Arial" w:hAnsi="Arial"/>
          <w:sz w:val="21"/>
          <w:szCs w:val="21"/>
          <w:color w:val="auto"/>
        </w:rPr>
        <w:t>For a claim for benefits, the earliest of: (i) the date the first benefit payment was actually made or allegedly due, or (ii) the date the Plan, the Plan Administrator or the Company first repudiated the alleged obligation to provide such benefits, regardless of whether such repudiation occurred during administrative review pursuant to Section XIII. A repudiation described in clause (ii) may be made in the form of a direct communication to the employee or a more general oral or written communication related to benefits payable under the Plan (for example, a summary of the Plan or an amendment to the Plan);</w:t>
      </w:r>
    </w:p>
    <w:p>
      <w:pPr>
        <w:spacing w:after="0" w:line="174" w:lineRule="exact"/>
        <w:rPr>
          <w:rFonts w:ascii="Arial" w:cs="Arial" w:eastAsia="Arial" w:hAnsi="Arial"/>
          <w:sz w:val="21"/>
          <w:szCs w:val="21"/>
          <w:color w:val="auto"/>
        </w:rPr>
      </w:pPr>
    </w:p>
    <w:p>
      <w:pPr>
        <w:ind w:left="1292" w:right="160" w:hanging="644"/>
        <w:spacing w:after="0" w:line="254" w:lineRule="auto"/>
        <w:tabs>
          <w:tab w:leader="none" w:pos="1318" w:val="left"/>
        </w:tabs>
        <w:numPr>
          <w:ilvl w:val="1"/>
          <w:numId w:val="58"/>
        </w:numPr>
        <w:rPr>
          <w:rFonts w:ascii="Arial" w:cs="Arial" w:eastAsia="Arial" w:hAnsi="Arial"/>
          <w:sz w:val="22"/>
          <w:szCs w:val="22"/>
          <w:color w:val="auto"/>
        </w:rPr>
      </w:pPr>
      <w:r>
        <w:rPr>
          <w:rFonts w:ascii="Arial" w:cs="Arial" w:eastAsia="Arial" w:hAnsi="Arial"/>
          <w:sz w:val="22"/>
          <w:szCs w:val="22"/>
          <w:color w:val="auto"/>
        </w:rPr>
        <w:t>For a claim to enforce an alleged right under the Plan (other than a right to benefits), the date the Plan first denied the request made on behalf of the employee to exercise such right, regardless of whether such denial occurred during administrative review pursuant to Section XIII; or</w:t>
      </w:r>
    </w:p>
    <w:p>
      <w:pPr>
        <w:spacing w:after="0" w:line="182" w:lineRule="exact"/>
        <w:rPr>
          <w:rFonts w:ascii="Arial" w:cs="Arial" w:eastAsia="Arial" w:hAnsi="Arial"/>
          <w:sz w:val="22"/>
          <w:szCs w:val="22"/>
          <w:color w:val="auto"/>
        </w:rPr>
      </w:pPr>
    </w:p>
    <w:p>
      <w:pPr>
        <w:ind w:left="1292" w:right="180" w:hanging="644"/>
        <w:spacing w:after="0" w:line="254" w:lineRule="auto"/>
        <w:tabs>
          <w:tab w:leader="none" w:pos="1318" w:val="left"/>
        </w:tabs>
        <w:numPr>
          <w:ilvl w:val="1"/>
          <w:numId w:val="58"/>
        </w:numPr>
        <w:rPr>
          <w:rFonts w:ascii="Arial" w:cs="Arial" w:eastAsia="Arial" w:hAnsi="Arial"/>
          <w:sz w:val="22"/>
          <w:szCs w:val="22"/>
          <w:color w:val="auto"/>
        </w:rPr>
      </w:pPr>
      <w:r>
        <w:rPr>
          <w:rFonts w:ascii="Arial" w:cs="Arial" w:eastAsia="Arial" w:hAnsi="Arial"/>
          <w:sz w:val="22"/>
          <w:szCs w:val="22"/>
          <w:color w:val="auto"/>
        </w:rPr>
        <w:t>For any claim otherwise seeking a remedy or judgment of any kind against the Plan, the Plan Administrator or the Company, the earliest date on which the employee knew or should have known of the material facts on which such claim or action is based, regardless of whether the employee was aware of the legal theory underlying the claim.</w:t>
      </w:r>
    </w:p>
    <w:p>
      <w:pPr>
        <w:spacing w:after="0" w:line="184" w:lineRule="exact"/>
        <w:rPr>
          <w:rFonts w:ascii="Arial" w:cs="Arial" w:eastAsia="Arial" w:hAnsi="Arial"/>
          <w:sz w:val="22"/>
          <w:szCs w:val="22"/>
          <w:color w:val="auto"/>
        </w:rPr>
      </w:pPr>
    </w:p>
    <w:p>
      <w:pPr>
        <w:ind w:left="652" w:right="20" w:hanging="652"/>
        <w:spacing w:after="0" w:line="254" w:lineRule="auto"/>
        <w:tabs>
          <w:tab w:leader="none" w:pos="67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limitations period shall end on the first anniversary of the beginning date described in Section XIV(b); provided, however, that if a request for administrative review pursuant to Section XIII is pending at such time, the limitations period shall be extended to end on the date that is 60 days after the final denial of such claim on administrative review.</w:t>
      </w:r>
    </w:p>
    <w:p>
      <w:pPr>
        <w:spacing w:after="0" w:line="184" w:lineRule="exact"/>
        <w:rPr>
          <w:rFonts w:ascii="Arial" w:cs="Arial" w:eastAsia="Arial" w:hAnsi="Arial"/>
          <w:sz w:val="22"/>
          <w:szCs w:val="22"/>
          <w:color w:val="auto"/>
        </w:rPr>
      </w:pPr>
    </w:p>
    <w:p>
      <w:pPr>
        <w:ind w:left="652" w:hanging="652"/>
        <w:spacing w:after="0" w:line="250" w:lineRule="auto"/>
        <w:tabs>
          <w:tab w:leader="none" w:pos="66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limitations period described in this Section XIV replaces and supersedes any limitations period that otherwise might be deemed applicable under state or federal law in the absence of this Section XIV. A claim filed after the expiration of the limitations period shall be deemed time-barred, except that the Plan Administrator shall have discretion to extend the limitations period upon a showing of exceptional circumstances that, in the opinion of the Plan Administrator, provide good cause for an extension. The exercise of this discretion is committed solely to the Plan Administrator and is not subject to review.</w:t>
      </w:r>
    </w:p>
    <w:p>
      <w:pPr>
        <w:spacing w:after="0" w:line="187" w:lineRule="exact"/>
        <w:rPr>
          <w:rFonts w:ascii="Arial" w:cs="Arial" w:eastAsia="Arial" w:hAnsi="Arial"/>
          <w:sz w:val="22"/>
          <w:szCs w:val="22"/>
          <w:color w:val="auto"/>
        </w:rPr>
      </w:pPr>
    </w:p>
    <w:p>
      <w:pPr>
        <w:ind w:left="652" w:right="220" w:hanging="652"/>
        <w:spacing w:after="0" w:line="264" w:lineRule="auto"/>
        <w:tabs>
          <w:tab w:leader="none" w:pos="678"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event of any claim brought by or on behalf of two or more employees, the requirements of this Section XIV shall apply separately with respect to each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12"/>
          </w:cols>
          <w:pgMar w:left="328" w:top="1427" w:right="359" w:bottom="1440" w:gutter="0" w:footer="0" w:header="0"/>
        </w:sectPr>
      </w:pPr>
    </w:p>
    <w:bookmarkStart w:id="61" w:name="page62"/>
    <w:bookmarkEnd w:id="61"/>
    <w:p>
      <w:pPr>
        <w:ind w:left="10200"/>
        <w:spacing w:after="0"/>
        <w:rPr>
          <w:sz w:val="20"/>
          <w:szCs w:val="20"/>
          <w:color w:val="auto"/>
        </w:rPr>
      </w:pPr>
      <w:r>
        <w:rPr>
          <w:rFonts w:ascii="Arial" w:cs="Arial" w:eastAsia="Arial" w:hAnsi="Arial"/>
          <w:sz w:val="18"/>
          <w:szCs w:val="18"/>
          <w:b w:val="1"/>
          <w:bCs w:val="1"/>
          <w:color w:val="auto"/>
        </w:rPr>
        <w:t>Exhibit 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[Logo]</w:t>
      </w:r>
    </w:p>
    <w:p>
      <w:pPr>
        <w:spacing w:after="0" w:line="106" w:lineRule="exact"/>
        <w:rPr>
          <w:sz w:val="20"/>
          <w:szCs w:val="20"/>
          <w:color w:val="auto"/>
        </w:rPr>
      </w:pPr>
    </w:p>
    <w:p>
      <w:pPr>
        <w:ind w:right="260"/>
        <w:spacing w:after="0" w:line="270" w:lineRule="auto"/>
        <w:rPr>
          <w:sz w:val="20"/>
          <w:szCs w:val="20"/>
          <w:color w:val="auto"/>
        </w:rPr>
      </w:pPr>
      <w:r>
        <w:rPr>
          <w:rFonts w:ascii="Arial" w:cs="Arial" w:eastAsia="Arial" w:hAnsi="Arial"/>
          <w:sz w:val="13"/>
          <w:szCs w:val="13"/>
          <w:b w:val="1"/>
          <w:bCs w:val="1"/>
          <w:color w:val="auto"/>
        </w:rPr>
        <w:t>CERTAIN CONFIDENTIAL INFORMATION CONTAINED IN THIS OFFER LETTER HAS BEEN OMITTED BY MEANS OF REDACTING A PORTION OF THE TEXT AND REPLACING IT WITH [***], PURSUANT TO REGULATION S-K ITEM 601(B) OF THE SECURITIES ACT OF 1933, AS AMENDED. CERTAIN CONFIDENTIAL INFORMATION HAS BEEN EXCLUDED FROM THE EXHIBIT BECAUSE IT IS: (i) NOT MATERIAL AND (ii) IS THE TYPE THAT THE REGISTRANT TREATS AS PRIVATE OR CONFIDENTIAL.</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Betty Larson</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Chief People Leader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 Healthcare</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500 W. Monroe Street</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Chicago, IL 60661</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USA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May 4,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Mr. Jay Saccaro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Jay,</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We are pleased to offer you the position of Chief Financial Officer for GE HealthCare Technologies, Inc. (together with its affiliates “GE HealthCare” or the “Company”) on June 1, 2023 (your “start date”). This position will be based in Chicago, Illinois, and you will report to Peter Arduini, Chief Executive Officer (the “CEO”). The details of our offer are noted below:</w:t>
      </w:r>
    </w:p>
    <w:p>
      <w:pPr>
        <w:sectPr>
          <w:pgSz w:w="11900" w:h="16838" w:orient="portrait"/>
          <w:cols w:equalWidth="0" w:num="1">
            <w:col w:w="11240"/>
          </w:cols>
          <w:pgMar w:left="320" w:top="130" w:right="339" w:bottom="1440" w:gutter="0" w:footer="0" w:header="0"/>
        </w:sect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Salary:</w:t>
      </w:r>
    </w:p>
    <w:p>
      <w:pPr>
        <w:spacing w:after="0" w:line="306" w:lineRule="exact"/>
        <w:rPr>
          <w:sz w:val="20"/>
          <w:szCs w:val="20"/>
          <w:color w:val="auto"/>
        </w:rPr>
      </w:pPr>
    </w:p>
    <w:p>
      <w:pPr>
        <w:jc w:val="both"/>
        <w:ind w:left="80"/>
        <w:spacing w:after="0" w:line="355" w:lineRule="auto"/>
        <w:rPr>
          <w:sz w:val="20"/>
          <w:szCs w:val="20"/>
          <w:color w:val="auto"/>
        </w:rPr>
      </w:pPr>
      <w:r>
        <w:rPr>
          <w:rFonts w:ascii="Arial" w:cs="Arial" w:eastAsia="Arial" w:hAnsi="Arial"/>
          <w:sz w:val="17"/>
          <w:szCs w:val="17"/>
          <w:color w:val="auto"/>
        </w:rPr>
        <w:t>One GE HealthCare Annual Bonus Plan (“Bonus Plan”):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right="220"/>
        <w:spacing w:after="0" w:line="322" w:lineRule="auto"/>
        <w:rPr>
          <w:sz w:val="20"/>
          <w:szCs w:val="20"/>
          <w:color w:val="auto"/>
        </w:rPr>
      </w:pPr>
      <w:r>
        <w:rPr>
          <w:rFonts w:ascii="Arial" w:cs="Arial" w:eastAsia="Arial" w:hAnsi="Arial"/>
          <w:sz w:val="18"/>
          <w:szCs w:val="18"/>
          <w:color w:val="auto"/>
        </w:rPr>
        <w:t>Long-Term Incentive Plan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Founders Grant*: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$875,000 (US dollars) paid bi-weekly.</w:t>
      </w:r>
    </w:p>
    <w:p>
      <w:pPr>
        <w:spacing w:after="0" w:line="200" w:lineRule="exact"/>
        <w:rPr>
          <w:sz w:val="20"/>
          <w:szCs w:val="20"/>
          <w:color w:val="auto"/>
        </w:rPr>
      </w:pPr>
    </w:p>
    <w:p>
      <w:pPr>
        <w:spacing w:after="0" w:line="228" w:lineRule="exact"/>
        <w:rPr>
          <w:sz w:val="20"/>
          <w:szCs w:val="20"/>
          <w:color w:val="auto"/>
        </w:rPr>
      </w:pPr>
    </w:p>
    <w:p>
      <w:pPr>
        <w:jc w:val="both"/>
        <w:ind w:left="60" w:right="1500"/>
        <w:spacing w:after="0"/>
        <w:rPr>
          <w:sz w:val="20"/>
          <w:szCs w:val="20"/>
          <w:color w:val="auto"/>
        </w:rPr>
      </w:pPr>
      <w:r>
        <w:rPr>
          <w:rFonts w:ascii="Arial" w:cs="Arial" w:eastAsia="Arial" w:hAnsi="Arial"/>
          <w:sz w:val="18"/>
          <w:szCs w:val="18"/>
          <w:color w:val="auto"/>
        </w:rPr>
        <w:t>Your target under the Bonus Plan is 100% of your base salary as of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each plan year. Payments are made in the Company’s discretion and are typically based on business performance, segment/region performance and individual performance. For the performance year 2023, any bonus you receive will be pro-rated based on your start date.</w:t>
      </w:r>
    </w:p>
    <w:p>
      <w:pPr>
        <w:spacing w:after="0" w:line="150" w:lineRule="exact"/>
        <w:rPr>
          <w:sz w:val="20"/>
          <w:szCs w:val="20"/>
          <w:color w:val="auto"/>
        </w:rPr>
      </w:pPr>
    </w:p>
    <w:p>
      <w:pPr>
        <w:jc w:val="both"/>
        <w:ind w:right="1460"/>
        <w:spacing w:after="0" w:line="253" w:lineRule="auto"/>
        <w:rPr>
          <w:sz w:val="20"/>
          <w:szCs w:val="20"/>
          <w:color w:val="auto"/>
        </w:rPr>
      </w:pPr>
      <w:r>
        <w:rPr>
          <w:rFonts w:ascii="Arial" w:cs="Arial" w:eastAsia="Arial" w:hAnsi="Arial"/>
          <w:sz w:val="18"/>
          <w:szCs w:val="18"/>
          <w:color w:val="auto"/>
        </w:rPr>
        <w:t>The target grant value of your annual equity award will be $3,800,000 (US dollars). LTIP awards are typically granted in March each year, with the award type and terms determined by the Talent, Culture, and Compensation Committee of the Board of Directors (“Committee”). For 2023, your annual equity award will be granted on June 1, 2023. The award will consist of 50% performance stock units (“PSUs”) which vest on the date in the first quarter of 2026 on which the Committee certifies PSU performance, 25% restricted stock units (“RSUs”) and 25% stock options and both of which will vest 33% on September 1, 2024, 33% on September 1, 2025, and 34% on September 1, 2026. All vesting is subject to your continued employment on the vesting dates.</w:t>
      </w:r>
    </w:p>
    <w:p>
      <w:pPr>
        <w:spacing w:after="0" w:line="34" w:lineRule="exact"/>
        <w:rPr>
          <w:sz w:val="20"/>
          <w:szCs w:val="20"/>
          <w:color w:val="auto"/>
        </w:rPr>
      </w:pPr>
    </w:p>
    <w:p>
      <w:pPr>
        <w:jc w:val="both"/>
        <w:ind w:right="1460"/>
        <w:spacing w:after="0" w:line="256" w:lineRule="auto"/>
        <w:rPr>
          <w:sz w:val="20"/>
          <w:szCs w:val="20"/>
          <w:color w:val="auto"/>
        </w:rPr>
      </w:pPr>
      <w:r>
        <w:rPr>
          <w:rFonts w:ascii="Arial" w:cs="Arial" w:eastAsia="Arial" w:hAnsi="Arial"/>
          <w:sz w:val="18"/>
          <w:szCs w:val="18"/>
          <w:color w:val="auto"/>
        </w:rPr>
        <w:t>You will also receive a one-time Founders Grant in the amount of $1,900,000 (US dollars), which will be granted on June 1, 2023, and will be in the form of 25% RSUs and 75% stock options, both of which will vest 50% on February 1, 2025, and 50% on February 1, 2026. All vesting is subject to your continued employment on the vesting dates.</w:t>
      </w:r>
    </w:p>
    <w:p>
      <w:pPr>
        <w:spacing w:after="0" w:line="152" w:lineRule="exact"/>
        <w:rPr>
          <w:sz w:val="20"/>
          <w:szCs w:val="20"/>
          <w:color w:val="auto"/>
        </w:rPr>
      </w:pPr>
    </w:p>
    <w:p>
      <w:pPr>
        <w:sectPr>
          <w:pgSz w:w="11900" w:h="16838" w:orient="portrait"/>
          <w:cols w:equalWidth="0" w:num="2">
            <w:col w:w="2280" w:space="540"/>
            <w:col w:w="8420"/>
          </w:cols>
          <w:pgMar w:left="320" w:top="130" w:right="339" w:bottom="1440" w:gutter="0" w:footer="0" w:header="0"/>
          <w:type w:val="continuous"/>
        </w:sectPr>
      </w:pPr>
    </w:p>
    <w:p>
      <w:pPr>
        <w:ind w:left="80"/>
        <w:spacing w:after="0"/>
        <w:tabs>
          <w:tab w:leader="none" w:pos="2860" w:val="left"/>
        </w:tabs>
        <w:rPr>
          <w:sz w:val="20"/>
          <w:szCs w:val="20"/>
          <w:color w:val="auto"/>
        </w:rPr>
      </w:pPr>
      <w:r>
        <w:rPr>
          <w:rFonts w:ascii="Arial" w:cs="Arial" w:eastAsia="Arial" w:hAnsi="Arial"/>
          <w:sz w:val="18"/>
          <w:szCs w:val="18"/>
          <w:color w:val="auto"/>
        </w:rPr>
        <w:t>Benefits:</w:t>
      </w:r>
      <w:r>
        <w:rPr>
          <w:sz w:val="20"/>
          <w:szCs w:val="20"/>
          <w:color w:val="auto"/>
        </w:rPr>
        <w:tab/>
      </w:r>
      <w:r>
        <w:rPr>
          <w:rFonts w:ascii="Arial" w:cs="Arial" w:eastAsia="Arial" w:hAnsi="Arial"/>
          <w:sz w:val="18"/>
          <w:szCs w:val="18"/>
          <w:color w:val="auto"/>
        </w:rPr>
        <w:t>You will also be eligible to participate in the Company’s benefit plans, including:</w:t>
      </w:r>
    </w:p>
    <w:p>
      <w:pPr>
        <w:spacing w:after="0" w:line="144" w:lineRule="exact"/>
        <w:rPr>
          <w:sz w:val="20"/>
          <w:szCs w:val="20"/>
          <w:color w:val="auto"/>
        </w:rPr>
      </w:pPr>
    </w:p>
    <w:p>
      <w:pPr>
        <w:ind w:left="3520" w:right="1980" w:hanging="326"/>
        <w:spacing w:after="0" w:line="291" w:lineRule="auto"/>
        <w:tabs>
          <w:tab w:leader="none" w:pos="3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Reimbursement of up to $3,100 (US dollars) annually for physical health examinations.</w:t>
      </w:r>
    </w:p>
    <w:p>
      <w:pPr>
        <w:sectPr>
          <w:pgSz w:w="11900" w:h="16838" w:orient="portrait"/>
          <w:cols w:equalWidth="0" w:num="1">
            <w:col w:w="11240"/>
          </w:cols>
          <w:pgMar w:left="320" w:top="130" w:right="339" w:bottom="144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New Hire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Contingent Make-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Whole Award*:</w:t>
      </w:r>
    </w:p>
    <w:p>
      <w:pPr>
        <w:spacing w:after="0" w:line="20" w:lineRule="exact"/>
        <w:rPr>
          <w:sz w:val="20"/>
          <w:szCs w:val="20"/>
          <w:color w:val="auto"/>
        </w:rPr>
      </w:pPr>
      <w:r>
        <w:rPr>
          <w:sz w:val="20"/>
          <w:szCs w:val="20"/>
          <w:color w:val="auto"/>
        </w:rPr>
        <w:br w:type="column"/>
      </w:r>
    </w:p>
    <w:p>
      <w:pPr>
        <w:ind w:left="700" w:right="399" w:hanging="321"/>
        <w:spacing w:after="0" w:line="291" w:lineRule="auto"/>
        <w:tabs>
          <w:tab w:leader="none" w:pos="7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Reimbursement of up to $15,000 (US dollars) annually for financial planning services.</w:t>
      </w:r>
    </w:p>
    <w:p>
      <w:pPr>
        <w:spacing w:after="0" w:line="200" w:lineRule="exact"/>
        <w:rPr>
          <w:rFonts w:ascii="Arial" w:cs="Arial" w:eastAsia="Arial" w:hAnsi="Arial"/>
          <w:sz w:val="18"/>
          <w:szCs w:val="18"/>
          <w:color w:val="auto"/>
        </w:rPr>
      </w:pPr>
    </w:p>
    <w:p>
      <w:pPr>
        <w:jc w:val="both"/>
        <w:ind w:left="700" w:right="399" w:hanging="321"/>
        <w:spacing w:after="0" w:line="269"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Participation in the Restoration Plan under which 7% of your pay above the IRS pay limit that applies to 401(k) plans is credited each year and notionally invested as you choose. These amounts generally vest after 3 years of service.</w:t>
      </w:r>
    </w:p>
    <w:p>
      <w:pPr>
        <w:spacing w:after="0" w:line="192" w:lineRule="exact"/>
        <w:rPr>
          <w:rFonts w:ascii="Arial" w:cs="Arial" w:eastAsia="Arial" w:hAnsi="Arial"/>
          <w:sz w:val="18"/>
          <w:szCs w:val="18"/>
          <w:color w:val="auto"/>
        </w:rPr>
      </w:pPr>
    </w:p>
    <w:p>
      <w:pPr>
        <w:jc w:val="both"/>
        <w:ind w:left="700" w:right="399" w:hanging="321"/>
        <w:spacing w:after="0" w:line="269"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Participation in the Severance and Change in Control Plan for CEO and Leadership Team under which protections and benefits are provided in the event of certain terminations, including, in some cases following a change in control of the Company.</w:t>
      </w:r>
    </w:p>
    <w:p>
      <w:pPr>
        <w:spacing w:after="0" w:line="368" w:lineRule="exact"/>
        <w:rPr>
          <w:sz w:val="20"/>
          <w:szCs w:val="20"/>
          <w:color w:val="auto"/>
        </w:rPr>
      </w:pPr>
    </w:p>
    <w:p>
      <w:pPr>
        <w:ind w:left="60" w:right="399"/>
        <w:spacing w:after="0" w:line="322" w:lineRule="auto"/>
        <w:rPr>
          <w:sz w:val="20"/>
          <w:szCs w:val="20"/>
          <w:color w:val="auto"/>
        </w:rPr>
      </w:pPr>
      <w:r>
        <w:rPr>
          <w:rFonts w:ascii="Arial" w:cs="Arial" w:eastAsia="Arial" w:hAnsi="Arial"/>
          <w:sz w:val="18"/>
          <w:szCs w:val="18"/>
          <w:color w:val="auto"/>
        </w:rPr>
        <w:t>All aspects of these and other benefits, including the Bonus Plan, will be governed by the terms of the applicable plan or program, as may be amended from time to time.</w:t>
      </w:r>
    </w:p>
    <w:p>
      <w:pPr>
        <w:spacing w:after="0" w:line="106" w:lineRule="exact"/>
        <w:rPr>
          <w:sz w:val="20"/>
          <w:szCs w:val="20"/>
          <w:color w:val="auto"/>
        </w:rPr>
      </w:pPr>
    </w:p>
    <w:p>
      <w:pPr>
        <w:jc w:val="both"/>
        <w:ind w:right="359"/>
        <w:spacing w:after="0" w:line="255" w:lineRule="auto"/>
        <w:rPr>
          <w:sz w:val="20"/>
          <w:szCs w:val="20"/>
          <w:color w:val="auto"/>
        </w:rPr>
      </w:pPr>
      <w:r>
        <w:rPr>
          <w:rFonts w:ascii="Arial" w:cs="Arial" w:eastAsia="Arial" w:hAnsi="Arial"/>
          <w:sz w:val="18"/>
          <w:szCs w:val="18"/>
          <w:color w:val="auto"/>
        </w:rPr>
        <w:t>In consideration of some of the equity awards from your prior employer (“Prior Employer”) that are forfeited in connection with your commencement of employment with us, we will provide you with a Special New Hire Equity Grant valued at $3,500,000 (US dollars) to be granted on June 1, 2023. The grant will consist of RSUs and will vest 50% on June 1, 2024, and 50% on June 1, 2025, subject to your continued employment on such dates.</w:t>
      </w:r>
    </w:p>
    <w:p>
      <w:pPr>
        <w:spacing w:after="0" w:line="30" w:lineRule="exact"/>
        <w:rPr>
          <w:sz w:val="20"/>
          <w:szCs w:val="20"/>
          <w:color w:val="auto"/>
        </w:rPr>
      </w:pPr>
    </w:p>
    <w:p>
      <w:pPr>
        <w:ind w:right="379"/>
        <w:spacing w:after="0" w:line="252" w:lineRule="auto"/>
        <w:rPr>
          <w:sz w:val="20"/>
          <w:szCs w:val="20"/>
          <w:color w:val="auto"/>
        </w:rPr>
      </w:pPr>
      <w:r>
        <w:rPr>
          <w:rFonts w:ascii="Arial" w:cs="Arial" w:eastAsia="Arial" w:hAnsi="Arial"/>
          <w:sz w:val="18"/>
          <w:szCs w:val="18"/>
          <w:color w:val="auto"/>
        </w:rPr>
        <w:t>In the event that (i) applicable securities laws or insider trading policies of your Prior Employer preclude you from selling shares for the entire 90-day period following your termination of employment, which prevents you from exercising your fully vested stock options granted on each of September 2, 2014, March 3, 2015, March 3, 2016 and March 2, 2017 (such options, collectively, the “Vested Options”) from the time your employment with your Prior Employer terminates through the 90-day period following termination of employment when the Vested Options terminate in accordance with their terms and (ii) your Prior Employer fails to permit a net exercise or extend such 90-day period to allow you an opportunity to exercise the Vested Options during a period where such exercise is not precluded by applicable securities laws or insider trading policies, you will be entitled to receive a one-time make-whole award (the “Make-Whole Award”).</w:t>
      </w:r>
    </w:p>
    <w:p>
      <w:pPr>
        <w:spacing w:after="0" w:line="267" w:lineRule="exact"/>
        <w:rPr>
          <w:sz w:val="20"/>
          <w:szCs w:val="20"/>
          <w:color w:val="auto"/>
        </w:rPr>
      </w:pPr>
    </w:p>
    <w:p>
      <w:pPr>
        <w:ind w:right="379" w:firstLine="60"/>
        <w:spacing w:after="0" w:line="258" w:lineRule="auto"/>
        <w:rPr>
          <w:sz w:val="20"/>
          <w:szCs w:val="20"/>
          <w:color w:val="auto"/>
        </w:rPr>
      </w:pPr>
      <w:r>
        <w:rPr>
          <w:rFonts w:ascii="Arial" w:cs="Arial" w:eastAsia="Arial" w:hAnsi="Arial"/>
          <w:sz w:val="18"/>
          <w:szCs w:val="18"/>
          <w:color w:val="auto"/>
        </w:rPr>
        <w:t>The value of the Make-Whole Award will be determined based on the fair market value of the total number of shares subject to the Vested Options (determined by the average closing stock price of the Prior Employer’s stock over the 90-day period following your termination of employment with the</w:t>
      </w:r>
    </w:p>
    <w:p>
      <w:pPr>
        <w:sectPr>
          <w:pgSz w:w="11900" w:h="16838" w:orient="portrait"/>
          <w:cols w:equalWidth="0" w:num="2">
            <w:col w:w="2020" w:space="720"/>
            <w:col w:w="7319"/>
          </w:cols>
          <w:pgMar w:left="400" w:top="1355" w:right="1440"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Cash Sign-on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Payment:</w:t>
      </w:r>
    </w:p>
    <w:p>
      <w:pPr>
        <w:spacing w:after="0" w:line="20" w:lineRule="exact"/>
        <w:rPr>
          <w:sz w:val="20"/>
          <w:szCs w:val="20"/>
          <w:color w:val="auto"/>
        </w:rPr>
      </w:pPr>
      <w:r>
        <w:rPr>
          <w:sz w:val="20"/>
          <w:szCs w:val="20"/>
          <w:color w:val="auto"/>
        </w:rPr>
        <w:br w:type="column"/>
      </w:r>
    </w:p>
    <w:p>
      <w:pPr>
        <w:ind w:right="439"/>
        <w:spacing w:after="0" w:line="252" w:lineRule="auto"/>
        <w:rPr>
          <w:sz w:val="20"/>
          <w:szCs w:val="20"/>
          <w:color w:val="auto"/>
        </w:rPr>
      </w:pPr>
      <w:r>
        <w:rPr>
          <w:rFonts w:ascii="Arial" w:cs="Arial" w:eastAsia="Arial" w:hAnsi="Arial"/>
          <w:sz w:val="18"/>
          <w:szCs w:val="18"/>
          <w:color w:val="auto"/>
        </w:rPr>
        <w:t>Prior Employer) less the aggregate exercise price of such options, up to a maximum of $3,000,000 (US dollars) in the aggregate. One-third of the Make-Whole Award will be paid as a special cash payment (the “Cash Make-Whole Award”) and two-thirds of the Make-Whole Award will be granted to you in the form of RSUs (the “Make-Whole RSUs”). The Make Whole RSUs will be granted on the first business day following the date the Vested Options terminate and the Cash Make-Whole Award will be paid as soon as practicable following the date the Vested Options terminate, and in each case no event later than December 31, 2023, provided that you have (i) used reasonable best efforts to obtain your Prior Employer’s consent to your exercise of such Vested Options or extension of the post-termination exercise period, and (ii) provided us with reasonably satisfactory information about the number of Vested Options forfeited, why the Vested Options cannot be exercised and the date the Vested Options terminate.</w:t>
      </w:r>
    </w:p>
    <w:p>
      <w:pPr>
        <w:spacing w:after="0" w:line="227" w:lineRule="exact"/>
        <w:rPr>
          <w:sz w:val="20"/>
          <w:szCs w:val="20"/>
          <w:color w:val="auto"/>
        </w:rPr>
      </w:pPr>
    </w:p>
    <w:p>
      <w:pPr>
        <w:ind w:right="459"/>
        <w:spacing w:after="0" w:line="256" w:lineRule="auto"/>
        <w:rPr>
          <w:sz w:val="20"/>
          <w:szCs w:val="20"/>
          <w:color w:val="auto"/>
        </w:rPr>
      </w:pPr>
      <w:r>
        <w:rPr>
          <w:rFonts w:ascii="Arial" w:cs="Arial" w:eastAsia="Arial" w:hAnsi="Arial"/>
          <w:sz w:val="18"/>
          <w:szCs w:val="18"/>
          <w:color w:val="auto"/>
        </w:rPr>
        <w:t>The Cash Make-Whole Award is subject to applicable tax an other withholding and must be repaid to the Company if: (i) you resign on or before the one-year anniversary of its payment; and/or (ii) you are found, in the Company's sole discretion, to have engaged in conduct that would give rise to a termination by us for "Cause" (as defined below).</w:t>
      </w:r>
    </w:p>
    <w:p>
      <w:pPr>
        <w:spacing w:after="0" w:line="219" w:lineRule="exact"/>
        <w:rPr>
          <w:sz w:val="20"/>
          <w:szCs w:val="20"/>
          <w:color w:val="auto"/>
        </w:rPr>
      </w:pPr>
    </w:p>
    <w:p>
      <w:pPr>
        <w:ind w:right="359"/>
        <w:spacing w:after="0" w:line="255" w:lineRule="auto"/>
        <w:rPr>
          <w:sz w:val="20"/>
          <w:szCs w:val="20"/>
          <w:color w:val="auto"/>
        </w:rPr>
      </w:pPr>
      <w:r>
        <w:rPr>
          <w:rFonts w:ascii="Arial" w:cs="Arial" w:eastAsia="Arial" w:hAnsi="Arial"/>
          <w:sz w:val="18"/>
          <w:szCs w:val="18"/>
          <w:color w:val="auto"/>
        </w:rPr>
        <w:t>The Make-Whole RSUs will vest 100% on the first anniversary of the date of grant, subject to your continued employment on such date, provided, however, that in the event your employment terminates due to death or “Disability” (as defined in our 2023 Long-Term Incentive Plan), or you are are terminated by us without “Cause” (as defined below), in each case, prior to the first anniversary of the date of grant, your Make-Whole RSUs will vest in full as of the date of your termination of employment.</w:t>
      </w:r>
    </w:p>
    <w:p>
      <w:pPr>
        <w:spacing w:after="0" w:line="219" w:lineRule="exact"/>
        <w:rPr>
          <w:sz w:val="20"/>
          <w:szCs w:val="20"/>
          <w:color w:val="auto"/>
        </w:rPr>
      </w:pPr>
    </w:p>
    <w:p>
      <w:pPr>
        <w:ind w:right="459"/>
        <w:spacing w:after="0" w:line="285" w:lineRule="auto"/>
        <w:rPr>
          <w:sz w:val="20"/>
          <w:szCs w:val="20"/>
          <w:color w:val="auto"/>
        </w:rPr>
      </w:pPr>
      <w:r>
        <w:rPr>
          <w:rFonts w:ascii="Arial" w:cs="Arial" w:eastAsia="Arial" w:hAnsi="Arial"/>
          <w:sz w:val="17"/>
          <w:szCs w:val="17"/>
          <w:color w:val="auto"/>
        </w:rPr>
        <w:t>For the avoidance of doubt, in the event that your Vested Options may, for any reason, be exercised prior to their expiration, you will not be entitled to the grant of the Make-Whole Award or any other payment or benefit with respect to such Vested Options.</w:t>
      </w:r>
    </w:p>
    <w:p>
      <w:pPr>
        <w:spacing w:after="0" w:line="114" w:lineRule="exact"/>
        <w:rPr>
          <w:sz w:val="20"/>
          <w:szCs w:val="20"/>
          <w:color w:val="auto"/>
        </w:rPr>
      </w:pPr>
    </w:p>
    <w:p>
      <w:pPr>
        <w:jc w:val="both"/>
        <w:ind w:left="40" w:right="379"/>
        <w:spacing w:after="0" w:line="253" w:lineRule="auto"/>
        <w:rPr>
          <w:sz w:val="20"/>
          <w:szCs w:val="20"/>
          <w:color w:val="auto"/>
        </w:rPr>
      </w:pPr>
      <w:r>
        <w:rPr>
          <w:rFonts w:ascii="Arial" w:cs="Arial" w:eastAsia="Arial" w:hAnsi="Arial"/>
          <w:sz w:val="18"/>
          <w:szCs w:val="18"/>
          <w:color w:val="auto"/>
        </w:rPr>
        <w:t>In consideration of some of the compensation from your Prior Employer that is forfeited in connection with your commencement of employment with us, we will provide you with a special cash payment of $350,000 (US Dollars) to be paid within 30 days from your employment start date. As with your annual salary and other payments, this amount is subject to applicable tax and other withholding. This special cash payment must be repaid to the Company if: (i) you resign on or before the one-year anniversary of its payment; and/or (ii) you are found, in the Company’s sole discretion, to have engaged in conduct that would give rise to a termination by us for “Cause” (as defined below).</w:t>
      </w:r>
    </w:p>
    <w:p>
      <w:pPr>
        <w:sectPr>
          <w:pgSz w:w="11900" w:h="16838" w:orient="portrait"/>
          <w:cols w:equalWidth="0" w:num="2">
            <w:col w:w="2020" w:space="720"/>
            <w:col w:w="7319"/>
          </w:cols>
          <w:pgMar w:left="400" w:top="1355" w:right="1440" w:bottom="1440" w:gutter="0" w:footer="0" w:header="0"/>
        </w:sectPr>
      </w:pPr>
    </w:p>
    <w:bookmarkStart w:id="64" w:name="page65"/>
    <w:bookmarkEnd w:id="64"/>
    <w:p>
      <w:pPr>
        <w:spacing w:after="0" w:line="91" w:lineRule="exact"/>
        <w:rPr>
          <w:sz w:val="20"/>
          <w:szCs w:val="20"/>
          <w:color w:val="auto"/>
        </w:rPr>
      </w:pPr>
    </w:p>
    <w:p>
      <w:pPr>
        <w:jc w:val="both"/>
        <w:ind w:left="2820" w:right="1480"/>
        <w:spacing w:after="0" w:line="294" w:lineRule="auto"/>
        <w:rPr>
          <w:sz w:val="20"/>
          <w:szCs w:val="20"/>
          <w:color w:val="auto"/>
        </w:rPr>
      </w:pPr>
      <w:r>
        <w:rPr>
          <w:rFonts w:ascii="Arial" w:cs="Arial" w:eastAsia="Arial" w:hAnsi="Arial"/>
          <w:sz w:val="18"/>
          <w:szCs w:val="18"/>
          <w:color w:val="auto"/>
        </w:rPr>
        <w:t>A termination by us for “Cause” means your: (1) breach of the Employee Invention and Proprietary Information Agreement (“EIPIA”) or any other confidentiality, non-solicitation, or non-competition agreement, or breach of a material term of any other agreement between you and the Company or its affiliate; (2) engagement in conduct that results in, or has the potential to cause material harm financially, reputationally, or otherwise to the Company or its affiliate; (3) commission of an act of dishonesty, fraud, embezzlement or theft; (4) conviction of, or plea of guilty or no contest to a felony or crime involving moral turpitude; (5) failure to comply with the Company’s or affiliate’s policies and procedures, including but not limited to The Spirit and the Letter, its code of conduct; or (6) sustained poor performance of any material aspect of your duties or obligations, including refusal to follow lawful instructions from the CEO, which is not substantially cured to the CEO’s satisfaction within 30 days after written notice of such failure or poor performance has been given to you.</w:t>
      </w:r>
    </w:p>
    <w:p>
      <w:pPr>
        <w:spacing w:after="0" w:line="312" w:lineRule="exact"/>
        <w:rPr>
          <w:sz w:val="20"/>
          <w:szCs w:val="20"/>
          <w:color w:val="auto"/>
        </w:rPr>
      </w:pPr>
    </w:p>
    <w:p>
      <w:pPr>
        <w:ind w:right="80"/>
        <w:spacing w:after="0" w:line="318" w:lineRule="auto"/>
        <w:rPr>
          <w:sz w:val="20"/>
          <w:szCs w:val="20"/>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As a condition of your employment, you agree to sign and abide by the Company’s Protective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which is enclosed for your review and signature.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You acknowledge that during your employment you will have access to confidential and/or proprietary information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concerning the business, operations, processes and affairs of GE HealthCare, and its suppliers, customers, agents and employees which is commercially sensitive and which, if disclosed, may cause significant damage to GE HealthCare (“Confidential Information”).</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You agree that you will not directly or indirectly (except as authorized or required in the proper course of your duties or as required by law), either during your employment or at any time after its termination (howsoever arising), use or disclose to any person, company or other organization (and shall use your best endeavors to prevent the unauthorized publication or disclosure of) any Confidential Information or any information in respect of which the Company owes an obligation of confidentiality to a third party which may come to your knowledge during your employment or otherwise. This restriction will not apply to information that is already in, or comes into, the public domain other than through your unauthorized disclosure. You further agree you will sign, as a condition of your employment, the Company’s Employee Innovation and Proprietary Information Agreement as part of the onboarding process. Nothing herein will limit or restrict you from exercising any legally protected whistleblower rights.</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58" w:lineRule="auto"/>
        <w:rPr>
          <w:sz w:val="20"/>
          <w:szCs w:val="20"/>
          <w:color w:val="auto"/>
        </w:rPr>
      </w:pPr>
      <w:r>
        <w:rPr>
          <w:rFonts w:ascii="Arial" w:cs="Arial" w:eastAsia="Arial" w:hAnsi="Arial"/>
          <w:sz w:val="18"/>
          <w:szCs w:val="18"/>
          <w:color w:val="auto"/>
        </w:rPr>
        <w:t>Please note, this offer is contingent upon your agreement to the conditions of employment described in the Company's “Acknowledgement of Conditions of Employment”. Your acknowledgment of this document and other required documentation will be collected electronically through the GE HealthCare Hire onboarding tool. More information on how to access this tool will be provided shortly. Nothing in this letter is a guarantee of employment for any fixed period or changes your at-will employment status with the Company or its affiliate.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Jay, I am incredibly excited about the prospect of your joining our team.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any questions, please contact me at </w:t>
      </w:r>
      <w:r>
        <w:rPr>
          <w:rFonts w:ascii="Arial" w:cs="Arial" w:eastAsia="Arial" w:hAnsi="Arial"/>
          <w:sz w:val="18"/>
          <w:szCs w:val="18"/>
          <w:b w:val="1"/>
          <w:bCs w:val="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Betty Larson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 HealthCare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cc: Peter Arduini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Please signify your acceptance of this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u w:val="single" w:color="auto"/>
          <w:color w:val="auto"/>
        </w:rPr>
        <w:t>/s/ James K. Saccaro</w:t>
      </w:r>
      <w:r>
        <w:rPr>
          <w:rFonts w:ascii="Arial" w:cs="Arial" w:eastAsia="Arial" w:hAnsi="Arial"/>
          <w:sz w:val="18"/>
          <w:szCs w:val="18"/>
          <w:color w:val="auto"/>
        </w:rPr>
        <w:t>__________</w:t>
      </w:r>
      <w:r>
        <w:rPr>
          <w:sz w:val="20"/>
          <w:szCs w:val="20"/>
          <w:color w:val="auto"/>
        </w:rPr>
        <w:tab/>
      </w:r>
      <w:r>
        <w:rPr>
          <w:rFonts w:ascii="Arial" w:cs="Arial" w:eastAsia="Arial" w:hAnsi="Arial"/>
          <w:sz w:val="18"/>
          <w:szCs w:val="18"/>
          <w:u w:val="single" w:color="auto"/>
          <w:color w:val="auto"/>
        </w:rPr>
        <w:t>5/4/23</w:t>
      </w:r>
      <w:r>
        <w:rPr>
          <w:rFonts w:ascii="Arial" w:cs="Arial" w:eastAsia="Arial" w:hAnsi="Arial"/>
          <w:sz w:val="18"/>
          <w:szCs w:val="18"/>
          <w:color w:val="auto"/>
        </w:rPr>
        <w:t>__________________________</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Signature</w:t>
        <w:tab/>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780"/>
        <w:spacing w:after="0" w:line="302" w:lineRule="auto"/>
        <w:rPr>
          <w:sz w:val="20"/>
          <w:szCs w:val="20"/>
          <w:color w:val="auto"/>
        </w:rPr>
      </w:pPr>
      <w:r>
        <w:rPr>
          <w:rFonts w:ascii="Arial" w:cs="Arial" w:eastAsia="Arial" w:hAnsi="Arial"/>
          <w:sz w:val="18"/>
          <w:szCs w:val="18"/>
          <w:color w:val="auto"/>
        </w:rPr>
        <w:t>*The number of PSUs and RSUs granted pursuant to this offer letter will be determined using the closing stock price for GE HealthCare on the date of the relevant grant; options granted under this offer letter will be determined using the same price and the Black Scholes model.</w:t>
      </w:r>
    </w:p>
    <w:p>
      <w:pPr>
        <w:sectPr>
          <w:pgSz w:w="11900" w:h="16838" w:orient="portrait"/>
          <w:cols w:equalWidth="0" w:num="1">
            <w:col w:w="11240"/>
          </w:cols>
          <w:pgMar w:left="320" w:top="140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6"/>
          <w:szCs w:val="16"/>
          <w:color w:val="auto"/>
        </w:rPr>
      </w:pPr>
    </w:p>
    <w:p>
      <w:pPr>
        <w:ind w:left="660" w:right="260" w:hanging="652"/>
        <w:spacing w:after="0" w:line="26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6"/>
          <w:szCs w:val="16"/>
          <w:color w:val="auto"/>
        </w:rPr>
      </w:pPr>
    </w:p>
    <w:p>
      <w:pPr>
        <w:ind w:left="1300" w:right="240" w:hanging="644"/>
        <w:spacing w:after="0" w:line="261"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6"/>
          <w:szCs w:val="16"/>
          <w:color w:val="auto"/>
        </w:rPr>
      </w:pPr>
    </w:p>
    <w:p>
      <w:pPr>
        <w:ind w:left="1300" w:right="160" w:hanging="644"/>
        <w:spacing w:after="0" w:line="270"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6"/>
          <w:szCs w:val="16"/>
          <w:color w:val="auto"/>
        </w:rPr>
      </w:pPr>
    </w:p>
    <w:p>
      <w:pPr>
        <w:ind w:left="1300" w:right="20" w:hanging="644"/>
        <w:spacing w:after="0" w:line="270"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6"/>
          <w:szCs w:val="16"/>
          <w:color w:val="auto"/>
        </w:rPr>
      </w:pPr>
    </w:p>
    <w:p>
      <w:pPr>
        <w:ind w:left="1300" w:right="640" w:hanging="644"/>
        <w:spacing w:after="0" w:line="276"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6"/>
          <w:szCs w:val="16"/>
          <w:color w:val="auto"/>
        </w:rPr>
      </w:pPr>
    </w:p>
    <w:p>
      <w:pPr>
        <w:ind w:left="1300" w:right="280" w:hanging="644"/>
        <w:spacing w:after="0" w:line="276"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 July 25, 2023</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54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6"/>
          <w:szCs w:val="16"/>
          <w:color w:val="auto"/>
        </w:rPr>
      </w:pPr>
    </w:p>
    <w:p>
      <w:pPr>
        <w:ind w:left="660" w:right="260" w:hanging="652"/>
        <w:spacing w:after="0" w:line="261"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6"/>
          <w:szCs w:val="16"/>
          <w:color w:val="auto"/>
        </w:rPr>
      </w:pPr>
    </w:p>
    <w:p>
      <w:pPr>
        <w:ind w:left="1300" w:right="240" w:hanging="644"/>
        <w:spacing w:after="0" w:line="261"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6"/>
          <w:szCs w:val="16"/>
          <w:color w:val="auto"/>
        </w:rPr>
      </w:pPr>
    </w:p>
    <w:p>
      <w:pPr>
        <w:ind w:left="1300" w:right="160" w:hanging="644"/>
        <w:spacing w:after="0" w:line="270"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6"/>
          <w:szCs w:val="16"/>
          <w:color w:val="auto"/>
        </w:rPr>
      </w:pPr>
    </w:p>
    <w:p>
      <w:pPr>
        <w:ind w:left="1300" w:right="20" w:hanging="644"/>
        <w:spacing w:after="0" w:line="270"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6"/>
          <w:szCs w:val="16"/>
          <w:color w:val="auto"/>
        </w:rPr>
      </w:pPr>
    </w:p>
    <w:p>
      <w:pPr>
        <w:ind w:left="1300" w:right="640" w:hanging="644"/>
        <w:spacing w:after="0" w:line="276"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6"/>
          <w:szCs w:val="16"/>
          <w:color w:val="auto"/>
        </w:rPr>
      </w:pPr>
    </w:p>
    <w:p>
      <w:pPr>
        <w:ind w:left="1300" w:right="280" w:hanging="644"/>
        <w:spacing w:after="0" w:line="276"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 July 25, 2023</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46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3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June 30, 2023,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4" w:lineRule="exact"/>
        <w:rPr>
          <w:rFonts w:ascii="Arial" w:cs="Arial" w:eastAsia="Arial" w:hAnsi="Arial"/>
          <w:sz w:val="16"/>
          <w:szCs w:val="16"/>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July 25, 2023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54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746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1)"/>
      <w:numFmt w:val="lowerLetter"/>
      <w:start w:val="2"/>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decimal"/>
      <w:start w:val="101"/>
    </w:lvl>
  </w:abstractNum>
  <w:abstractNum w:abstractNumId="34">
    <w:nsid w:val="684A481A"/>
    <w:multiLevelType w:val="hybridMultilevel"/>
    <w:lvl w:ilvl="0">
      <w:lvlJc w:val="left"/>
      <w:lvlText w:val="%1"/>
      <w:numFmt w:val="decimal"/>
      <w:start w:val="104"/>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1"/>
    </w:lvl>
    <w:lvl w:ilvl="1">
      <w:lvlJc w:val="left"/>
      <w:lvlText w:val="(%2)"/>
      <w:numFmt w:val="decimal"/>
      <w:start w:val="1"/>
    </w:lvl>
  </w:abstractNum>
  <w:abstractNum w:abstractNumId="39">
    <w:nsid w:val="79A1DEA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5"/>
    </w:lvl>
  </w:abstractNum>
  <w:abstractNum w:abstractNumId="40">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41">
    <w:nsid w:val="12E685FB"/>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35"/>
    </w:lvl>
  </w:abstractNum>
  <w:abstractNum w:abstractNumId="42">
    <w:nsid w:val="70C6A529"/>
    <w:multiLevelType w:val="hybridMultilevel"/>
    <w:lvl w:ilvl="0">
      <w:lvlJc w:val="left"/>
      <w:lvlText w:val="(%1)"/>
      <w:numFmt w:val="lowerLetter"/>
      <w:start w:val="3"/>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4"/>
    </w:lvl>
    <w:lvl w:ilvl="1">
      <w:lvlJc w:val="left"/>
      <w:lvlText w:val="(%2)"/>
      <w:numFmt w:val="decimal"/>
      <w:start w:val="1"/>
    </w:lvl>
  </w:abstractNum>
  <w:abstractNum w:abstractNumId="45">
    <w:nsid w:val="4F4EF005"/>
    <w:multiLevelType w:val="hybridMultilevel"/>
    <w:lvl w:ilvl="0">
      <w:lvlJc w:val="left"/>
      <w:lvlText w:val="(%1)"/>
      <w:numFmt w:val="lowerLetter"/>
      <w:start w:val="7"/>
    </w:lvl>
    <w:lvl w:ilvl="1">
      <w:lvlJc w:val="left"/>
      <w:lvlText w:val="(%2)"/>
      <w:numFmt w:val="decimal"/>
      <w:start w:val="1"/>
    </w:lvl>
  </w:abstractNum>
  <w:abstractNum w:abstractNumId="46">
    <w:nsid w:val="23F9C13C"/>
    <w:multiLevelType w:val="hybridMultilevel"/>
    <w:lvl w:ilvl="0">
      <w:lvlJc w:val="left"/>
      <w:lvlText w:val="(%1)"/>
      <w:numFmt w:val="upperLetter"/>
      <w:start w:val="1"/>
    </w:lvl>
  </w:abstractNum>
  <w:abstractNum w:abstractNumId="47">
    <w:nsid w:val="649BB77C"/>
    <w:multiLevelType w:val="hybridMultilevel"/>
    <w:lvl w:ilvl="0">
      <w:lvlJc w:val="left"/>
      <w:lvlText w:val="(%1)"/>
      <w:numFmt w:val="lowerLetter"/>
      <w:start w:val="8"/>
    </w:lvl>
  </w:abstractNum>
  <w:abstractNum w:abstractNumId="48">
    <w:nsid w:val="275AC794"/>
    <w:multiLevelType w:val="hybridMultilevel"/>
    <w:lvl w:ilvl="0">
      <w:lvlJc w:val="left"/>
      <w:lvlText w:val="(%1)"/>
      <w:numFmt w:val="lowerLetter"/>
      <w:start w:val="15"/>
    </w:lvl>
    <w:lvl w:ilvl="1">
      <w:lvlJc w:val="left"/>
      <w:lvlText w:val="(%2)"/>
      <w:numFmt w:val="decimal"/>
      <w:start w:val="1"/>
    </w:lvl>
  </w:abstractNum>
  <w:abstractNum w:abstractNumId="49">
    <w:nsid w:val="39386575"/>
    <w:multiLevelType w:val="hybridMultilevel"/>
    <w:lvl w:ilvl="0">
      <w:lvlJc w:val="left"/>
      <w:lvlText w:val="%1"/>
      <w:numFmt w:val="lowerLetter"/>
      <w:start w:val="1"/>
    </w:lvl>
    <w:lvl w:ilvl="1">
      <w:lvlJc w:val="left"/>
      <w:lvlText w:val="(%2)"/>
      <w:numFmt w:val="upperLetter"/>
      <w:start w:val="1"/>
    </w:lvl>
  </w:abstractNum>
  <w:abstractNum w:abstractNumId="50">
    <w:nsid w:val="1CF10FD8"/>
    <w:multiLevelType w:val="hybridMultilevel"/>
    <w:lvl w:ilvl="0">
      <w:lvlJc w:val="left"/>
      <w:lvlText w:val="(%1)"/>
      <w:numFmt w:val="lowerLetter"/>
      <w:start w:val="16"/>
    </w:lvl>
    <w:lvl w:ilvl="1">
      <w:lvlJc w:val="left"/>
      <w:lvlText w:val="%2"/>
      <w:numFmt w:val="upperLetter"/>
      <w:start w:val="1"/>
    </w:lvl>
  </w:abstractNum>
  <w:abstractNum w:abstractNumId="51">
    <w:nsid w:val="180115BE"/>
    <w:multiLevelType w:val="hybridMultilevel"/>
    <w:lvl w:ilvl="0">
      <w:lvlJc w:val="left"/>
      <w:lvlText w:val="(%1)"/>
      <w:numFmt w:val="lowerLetter"/>
      <w:start w:val="18"/>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5"/>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2"/>
    </w:lvl>
    <w:lvl w:ilvl="1">
      <w:lvlJc w:val="left"/>
      <w:lvlText w:val="(%2)"/>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2" Type="http://schemas.openxmlformats.org/officeDocument/2006/relationships/hyperlink" Target="https://www.sec.gov/Archives/edgar/data/1932393/000119312522314166/d439598dex31.htm" TargetMode="External"/><Relationship Id="rId63" Type="http://schemas.openxmlformats.org/officeDocument/2006/relationships/hyperlink" Target="https://www.sec.gov/Archives/edgar/data/1932393/000119312522314166/d4395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2023-07-25T05:44:39Z</dcterms:created>
  <dcterms:modified xsi:type="dcterms:W3CDTF">2023-07-25T05:44:39Z</dcterms:modified>
</cp:coreProperties>
</file>