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52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524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Rackliffe Philip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20" w:type="dxa"/>
            <w:vAlign w:val="bottom"/>
            <w:tcBorders>
              <w:top w:val="single" w:sz="8" w:color="0000EE"/>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GE HealthCare Technologies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GEHC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500 W. MONROE STREET</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IL</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60661</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CEO, Ultrasound &amp; IGT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0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20"/>
                <w:szCs w:val="20"/>
                <w:color w:val="0000FF"/>
              </w:rPr>
              <w:t>13,117</w:t>
            </w:r>
            <w:r>
              <w:rPr>
                <w:rFonts w:ascii="Times New Roman" w:cs="Times New Roman" w:eastAsia="Times New Roman" w:hAnsi="Times New Roman"/>
                <w:sz w:val="25"/>
                <w:szCs w:val="25"/>
                <w:color w:val="008000"/>
                <w:vertAlign w:val="superscript"/>
              </w:rPr>
              <w:t>(1)(2)</w:t>
            </w:r>
          </w:p>
        </w:tc>
        <w:tc>
          <w:tcPr>
            <w:tcW w:w="7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02/01/2033</w:t>
            </w:r>
          </w:p>
        </w:tc>
        <w:tc>
          <w:tcPr>
            <w:tcW w:w="184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Common Stock, par</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7,838</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value $0.01 per share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03/01/2033</w:t>
            </w:r>
          </w:p>
        </w:tc>
        <w:tc>
          <w:tcPr>
            <w:tcW w:w="184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Common Stock, par</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4,631</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75.3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value $0.01 per share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03/01/2034</w:t>
            </w:r>
          </w:p>
        </w:tc>
        <w:tc>
          <w:tcPr>
            <w:tcW w:w="184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Common Stock, par</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3,834</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92.72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value $0.01 per share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awards of: (i) 9,217 restricted stock units with respect to GE HealthCare Technologies Inc. ("GE HealthCare") common stock, granted on September 1, 2022, of which 50% will vest on September 1, 2024 and 50% will vest on September 1, 2025; (ii) 892 restricted stock units with respect to GE HealthCare common stock, granted on February 1, 2023, of which 50% will vest on February 1, 2025 and 50% will vest on February 1, 2026; (iii) 1,660 restricted stock units with respect to GE HealthCare common stock, granted on March 1, 2023, of which 33% will vest on September 1, 2024, 33% will vest on September 1, 2025, and 34% will vest on September 1, 2026; and (iv) 1,348 restricted stock units with respect to GE HealthCare common stock, granted on March 1, 2024, of which 33% will vest on September 1, 2025, 33% will vest on September 1, 2026, and 34% will vest on September 1, 2027.</w:t>
      </w:r>
    </w:p>
    <w:p>
      <w:pPr>
        <w:spacing w:after="0" w:line="3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the right to receive, at settlement, one share of GE HealthCare common stock.</w:t>
      </w:r>
    </w:p>
    <w:p>
      <w:pPr>
        <w:spacing w:after="0" w:line="52"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Award of an employee stock option with respect to GE HealthCare common stock, of which 50% will become exercisable on February 1, 2025 and 50% will become exercisable on February 1, 2026.</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Award of an employee stock option with respect to GE HealthCare common stock, of which 33% will become exercisable on September 1, 2024, 33% will become exercisable on September 1, 2025, and 34% will become exercisable on September 1, 2026.</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Award of an employee stock option with respect to GE HealthCare common stock, of which 33% will become exercisable on September 1, 2025, 33% will become exercisable on September 1, 2026, and 34% will become exercisable on September 1, 2027.</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Frank R. Jimenez,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496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4965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General Counsel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388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8"/>
          <w:szCs w:val="18"/>
          <w:color w:val="0000FF"/>
        </w:rPr>
        <w:t>Corporate Secretary,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1512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1255" cy="9525"/>
                    </a:xfrm>
                    <a:prstGeom prst="rect">
                      <a:avLst/>
                    </a:prstGeom>
                    <a:noFill/>
                  </pic:spPr>
                </pic:pic>
              </a:graphicData>
            </a:graphic>
          </wp:anchor>
        </w:drawing>
      </w:r>
    </w:p>
    <w:p>
      <w:pPr>
        <w:spacing w:after="0" w:line="1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7702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70255" cy="9525"/>
                    </a:xfrm>
                    <a:prstGeom prst="rect">
                      <a:avLst/>
                    </a:prstGeom>
                    <a:noFill/>
                  </pic:spPr>
                </pic:pic>
              </a:graphicData>
            </a:graphic>
          </wp:anchor>
        </w:drawing>
      </w:r>
    </w:p>
    <w:p>
      <w:pPr>
        <w:spacing w:after="0" w:line="3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 Signature of Reporting</w:t>
      </w:r>
    </w:p>
    <w:p>
      <w:pPr>
        <w:spacing w:after="0" w:line="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Person</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07/01/2024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color w:val="auto"/>
        </w:rPr>
        <w:t>Date</w:t>
      </w:r>
    </w:p>
    <w:p>
      <w:pPr>
        <w:sectPr>
          <w:pgSz w:w="11900" w:h="16838" w:orient="portrait"/>
          <w:cols w:equalWidth="0" w:num="2">
            <w:col w:w="8380" w:space="380"/>
            <w:col w:w="2180"/>
          </w:cols>
          <w:pgMar w:left="480" w:top="230" w:right="479" w:bottom="0" w:gutter="0" w:footer="0" w:header="0"/>
          <w:type w:val="continuous"/>
        </w:sectPr>
      </w:pPr>
    </w:p>
    <w:bookmarkStart w:id="1" w:name="page2"/>
    <w:bookmarkEnd w:id="1"/>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Frank R. Jimenez and (ii) Jenny L. Lauth, signing SINGLY, the undersigned’s true and lawful attorney-in-fact to:</w:t>
      </w:r>
    </w:p>
    <w:p>
      <w:pPr>
        <w:spacing w:after="0" w:line="223" w:lineRule="exact"/>
        <w:rPr>
          <w:sz w:val="20"/>
          <w:szCs w:val="20"/>
          <w:color w:val="auto"/>
        </w:rPr>
      </w:pPr>
    </w:p>
    <w:p>
      <w:pPr>
        <w:jc w:val="both"/>
        <w:ind w:firstLine="720"/>
        <w:spacing w:after="0" w:line="258" w:lineRule="auto"/>
        <w:tabs>
          <w:tab w:leader="none" w:pos="1318"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director or holder of ten percent (10%) or more of the registered class of securities of GE HealthCare Technologies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Forms 3, 4 and 5 in accordance with Section 16(a) of the Securities Exchange Act of 1934, as amended, and the rules thereunder;</w:t>
      </w:r>
    </w:p>
    <w:p>
      <w:pPr>
        <w:spacing w:after="0" w:line="208" w:lineRule="exact"/>
        <w:rPr>
          <w:rFonts w:ascii="Times New Roman" w:cs="Times New Roman" w:eastAsia="Times New Roman" w:hAnsi="Times New Roman"/>
          <w:sz w:val="24"/>
          <w:szCs w:val="24"/>
          <w:color w:val="auto"/>
        </w:rPr>
      </w:pPr>
    </w:p>
    <w:p>
      <w:pPr>
        <w:ind w:firstLine="720"/>
        <w:spacing w:after="0" w:line="279" w:lineRule="auto"/>
        <w:tabs>
          <w:tab w:leader="none" w:pos="1245"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necessary, submit a Form ID to apply for and obtain EDGAR filing codes in order to file a Form 3 on behalf of the undersigned;</w:t>
      </w:r>
    </w:p>
    <w:p>
      <w:pPr>
        <w:spacing w:after="0" w:line="168" w:lineRule="exact"/>
        <w:rPr>
          <w:rFonts w:ascii="Times New Roman" w:cs="Times New Roman" w:eastAsia="Times New Roman" w:hAnsi="Times New Roman"/>
          <w:sz w:val="24"/>
          <w:szCs w:val="24"/>
          <w:color w:val="auto"/>
        </w:rPr>
      </w:pPr>
    </w:p>
    <w:p>
      <w:pPr>
        <w:jc w:val="both"/>
        <w:ind w:firstLine="720"/>
        <w:spacing w:after="0" w:line="262" w:lineRule="auto"/>
        <w:tabs>
          <w:tab w:leader="none" w:pos="1434"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90" w:lineRule="exact"/>
        <w:rPr>
          <w:rFonts w:ascii="Times New Roman" w:cs="Times New Roman" w:eastAsia="Times New Roman" w:hAnsi="Times New Roman"/>
          <w:sz w:val="24"/>
          <w:szCs w:val="24"/>
          <w:color w:val="auto"/>
        </w:rPr>
      </w:pPr>
    </w:p>
    <w:p>
      <w:pPr>
        <w:jc w:val="both"/>
        <w:ind w:firstLine="720"/>
        <w:spacing w:after="0" w:line="259" w:lineRule="auto"/>
        <w:tabs>
          <w:tab w:leader="none" w:pos="1308"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right="20" w:firstLine="720"/>
        <w:spacing w:after="0" w:line="26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ectPr>
          <w:pgSz w:w="11900" w:h="16838" w:orient="portrait"/>
          <w:cols w:equalWidth="0" w:num="1">
            <w:col w:w="10940"/>
          </w:cols>
          <w:pgMar w:left="480" w:top="1440" w:right="479" w:bottom="1440" w:gutter="0" w:footer="0" w:header="0"/>
        </w:sectPr>
      </w:pPr>
    </w:p>
    <w:bookmarkStart w:id="3" w:name="page4"/>
    <w:bookmarkEnd w:id="3"/>
    <w:p>
      <w:pPr>
        <w:spacing w:after="0" w:line="186"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12th day of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4"/>
          <w:szCs w:val="24"/>
          <w:color w:val="auto"/>
        </w:rPr>
        <w:t xml:space="preserve">By: </w:t>
      </w:r>
      <w:r>
        <w:rPr>
          <w:rFonts w:ascii="Times New Roman" w:cs="Times New Roman" w:eastAsia="Times New Roman" w:hAnsi="Times New Roman"/>
          <w:sz w:val="24"/>
          <w:szCs w:val="24"/>
          <w:u w:val="single" w:color="auto"/>
          <w:color w:val="auto"/>
        </w:rPr>
        <w:t>/s/ Philip Rackliffe_____</w:t>
      </w:r>
    </w:p>
    <w:p>
      <w:pPr>
        <w:spacing w:after="0" w:line="3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4"/>
          <w:szCs w:val="24"/>
          <w:color w:val="auto"/>
        </w:rPr>
        <w:t>Name: Philip Rackliffe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Power of Attorney (Forms 3, 4 &amp; 5)</w:t>
      </w:r>
      <w:r>
        <w:rPr>
          <w:rFonts w:ascii="Times New Roman" w:cs="Times New Roman" w:eastAsia="Times New Roman" w:hAnsi="Times New Roman"/>
          <w:sz w:val="20"/>
          <w:szCs w:val="20"/>
          <w:color w:val="auto"/>
        </w:rPr>
        <w:t>]</w:t>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027284" TargetMode="External"/><Relationship Id="rId11"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2024-07-01T15:14:22Z</dcterms:created>
  <dcterms:modified xsi:type="dcterms:W3CDTF">2024-07-01T15:14:22Z</dcterms:modified>
</cp:coreProperties>
</file>