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October 22, 2026</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 HEALTHCARE TECHNOLOGIES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40" w:lineRule="exact"/>
        <w:rPr>
          <w:sz w:val="24"/>
          <w:szCs w:val="24"/>
          <w:color w:val="auto"/>
        </w:rPr>
      </w:pPr>
    </w:p>
    <w:tbl>
      <w:tblPr>
        <w:tblLayout w:type="fixed"/>
        <w:tblInd w:w="800" w:type="dxa"/>
        <w:tblCellMar>
          <w:top w:w="0" w:type="dxa"/>
          <w:left w:w="0" w:type="dxa"/>
          <w:bottom w:w="0" w:type="dxa"/>
          <w:right w:w="0" w:type="dxa"/>
        </w:tblCellMar>
      </w:tblPr>
      <w:tr>
        <w:trPr>
          <w:trHeight w:val="223"/>
        </w:trPr>
        <w:tc>
          <w:tcPr>
            <w:tcW w:w="2900" w:type="dxa"/>
            <w:vAlign w:val="bottom"/>
          </w:tcPr>
          <w:p>
            <w:pPr>
              <w:jc w:val="center"/>
              <w:spacing w:after="0"/>
              <w:rPr>
                <w:sz w:val="20"/>
                <w:szCs w:val="20"/>
                <w:color w:val="auto"/>
              </w:rPr>
            </w:pPr>
            <w:r>
              <w:rPr>
                <w:rFonts w:ascii="Arial" w:cs="Arial" w:eastAsia="Arial" w:hAnsi="Arial"/>
                <w:sz w:val="16"/>
                <w:szCs w:val="16"/>
                <w:b w:val="1"/>
                <w:bCs w:val="1"/>
                <w:color w:val="auto"/>
              </w:rPr>
              <w:t>Delaware</w:t>
            </w:r>
          </w:p>
        </w:tc>
        <w:tc>
          <w:tcPr>
            <w:tcW w:w="326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99"/>
              </w:rPr>
              <w:t>001-41528</w:t>
            </w:r>
          </w:p>
        </w:tc>
        <w:tc>
          <w:tcPr>
            <w:tcW w:w="140" w:type="dxa"/>
            <w:vAlign w:val="bottom"/>
          </w:tcPr>
          <w:p>
            <w:pPr>
              <w:spacing w:after="0"/>
              <w:rPr>
                <w:sz w:val="19"/>
                <w:szCs w:val="19"/>
                <w:color w:val="auto"/>
              </w:rPr>
            </w:pPr>
          </w:p>
        </w:tc>
        <w:tc>
          <w:tcPr>
            <w:tcW w:w="3340" w:type="dxa"/>
            <w:vAlign w:val="bottom"/>
          </w:tcPr>
          <w:p>
            <w:pPr>
              <w:jc w:val="right"/>
              <w:ind w:right="1159"/>
              <w:spacing w:after="0"/>
              <w:rPr>
                <w:sz w:val="20"/>
                <w:szCs w:val="20"/>
                <w:color w:val="auto"/>
              </w:rPr>
            </w:pPr>
            <w:r>
              <w:rPr>
                <w:rFonts w:ascii="Arial" w:cs="Arial" w:eastAsia="Arial" w:hAnsi="Arial"/>
                <w:sz w:val="16"/>
                <w:szCs w:val="16"/>
                <w:b w:val="1"/>
                <w:bCs w:val="1"/>
                <w:color w:val="auto"/>
              </w:rPr>
              <w:t>88-2515116</w:t>
            </w:r>
          </w:p>
        </w:tc>
      </w:tr>
      <w:tr>
        <w:trPr>
          <w:trHeight w:val="35"/>
        </w:trPr>
        <w:tc>
          <w:tcPr>
            <w:tcW w:w="2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155"/>
        </w:trPr>
        <w:tc>
          <w:tcPr>
            <w:tcW w:w="2900" w:type="dxa"/>
            <w:vAlign w:val="bottom"/>
          </w:tcPr>
          <w:p>
            <w:pPr>
              <w:ind w:left="520"/>
              <w:spacing w:after="0" w:line="155" w:lineRule="exact"/>
              <w:rPr>
                <w:sz w:val="20"/>
                <w:szCs w:val="20"/>
                <w:color w:val="auto"/>
              </w:rPr>
            </w:pPr>
            <w:r>
              <w:rPr>
                <w:rFonts w:ascii="Arial" w:cs="Arial" w:eastAsia="Arial" w:hAnsi="Arial"/>
                <w:sz w:val="16"/>
                <w:szCs w:val="16"/>
                <w:color w:val="auto"/>
              </w:rPr>
              <w:t>(State or other jurisdiction</w:t>
            </w:r>
          </w:p>
        </w:tc>
        <w:tc>
          <w:tcPr>
            <w:tcW w:w="140" w:type="dxa"/>
            <w:vAlign w:val="bottom"/>
          </w:tcPr>
          <w:p>
            <w:pPr>
              <w:spacing w:after="0"/>
              <w:rPr>
                <w:sz w:val="13"/>
                <w:szCs w:val="13"/>
                <w:color w:val="auto"/>
              </w:rPr>
            </w:pPr>
          </w:p>
        </w:tc>
        <w:tc>
          <w:tcPr>
            <w:tcW w:w="3120" w:type="dxa"/>
            <w:vAlign w:val="bottom"/>
          </w:tcPr>
          <w:p>
            <w:pPr>
              <w:jc w:val="center"/>
              <w:spacing w:after="0" w:line="155" w:lineRule="exact"/>
              <w:rPr>
                <w:sz w:val="20"/>
                <w:szCs w:val="20"/>
                <w:color w:val="auto"/>
              </w:rPr>
            </w:pPr>
            <w:r>
              <w:rPr>
                <w:rFonts w:ascii="Arial" w:cs="Arial" w:eastAsia="Arial" w:hAnsi="Arial"/>
                <w:sz w:val="16"/>
                <w:szCs w:val="16"/>
                <w:color w:val="auto"/>
              </w:rPr>
              <w:t>(Commission</w:t>
            </w:r>
          </w:p>
        </w:tc>
        <w:tc>
          <w:tcPr>
            <w:tcW w:w="140" w:type="dxa"/>
            <w:vAlign w:val="bottom"/>
          </w:tcPr>
          <w:p>
            <w:pPr>
              <w:spacing w:after="0"/>
              <w:rPr>
                <w:sz w:val="13"/>
                <w:szCs w:val="13"/>
                <w:color w:val="auto"/>
              </w:rPr>
            </w:pPr>
          </w:p>
        </w:tc>
        <w:tc>
          <w:tcPr>
            <w:tcW w:w="3340" w:type="dxa"/>
            <w:vAlign w:val="bottom"/>
          </w:tcPr>
          <w:p>
            <w:pPr>
              <w:jc w:val="center"/>
              <w:spacing w:after="0" w:line="155" w:lineRule="exact"/>
              <w:rPr>
                <w:sz w:val="20"/>
                <w:szCs w:val="20"/>
                <w:color w:val="auto"/>
              </w:rPr>
            </w:pPr>
            <w:r>
              <w:rPr>
                <w:rFonts w:ascii="Arial" w:cs="Arial" w:eastAsia="Arial" w:hAnsi="Arial"/>
                <w:sz w:val="16"/>
                <w:szCs w:val="16"/>
                <w:color w:val="auto"/>
              </w:rPr>
              <w:t>(IRS Employer</w:t>
            </w:r>
          </w:p>
        </w:tc>
      </w:tr>
      <w:tr>
        <w:trPr>
          <w:trHeight w:val="215"/>
        </w:trPr>
        <w:tc>
          <w:tcPr>
            <w:tcW w:w="290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140" w:type="dxa"/>
            <w:vAlign w:val="bottom"/>
          </w:tcPr>
          <w:p>
            <w:pPr>
              <w:spacing w:after="0"/>
              <w:rPr>
                <w:sz w:val="18"/>
                <w:szCs w:val="18"/>
                <w:color w:val="auto"/>
              </w:rPr>
            </w:pPr>
          </w:p>
        </w:tc>
        <w:tc>
          <w:tcPr>
            <w:tcW w:w="3260" w:type="dxa"/>
            <w:vAlign w:val="bottom"/>
            <w:gridSpan w:val="2"/>
          </w:tcPr>
          <w:p>
            <w:pPr>
              <w:jc w:val="center"/>
              <w:ind w:right="80"/>
              <w:spacing w:after="0"/>
              <w:rPr>
                <w:sz w:val="20"/>
                <w:szCs w:val="20"/>
                <w:color w:val="auto"/>
              </w:rPr>
            </w:pPr>
            <w:r>
              <w:rPr>
                <w:rFonts w:ascii="Arial" w:cs="Arial" w:eastAsia="Arial" w:hAnsi="Arial"/>
                <w:sz w:val="16"/>
                <w:szCs w:val="16"/>
                <w:color w:val="auto"/>
              </w:rPr>
              <w:t>File Number)</w:t>
            </w:r>
          </w:p>
        </w:tc>
        <w:tc>
          <w:tcPr>
            <w:tcW w:w="334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514"/>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500 W. Monroe Street, Chicago, IL</w:t>
            </w:r>
          </w:p>
        </w:tc>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b w:val="1"/>
                <w:bCs w:val="1"/>
                <w:color w:val="auto"/>
              </w:rPr>
              <w:t>60661</w:t>
            </w:r>
          </w:p>
        </w:tc>
      </w:tr>
      <w:tr>
        <w:trPr>
          <w:trHeight w:val="208"/>
        </w:trPr>
        <w:tc>
          <w:tcPr>
            <w:tcW w:w="290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u w:val="single" w:color="auto"/>
          <w:color w:val="auto"/>
        </w:rPr>
        <w:t>(833) 735-1139</w:t>
      </w:r>
    </w:p>
    <w:p>
      <w:pPr>
        <w:spacing w:after="0" w:line="262"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______________________________________________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32"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82"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40" w:type="dxa"/>
            <w:vAlign w:val="bottom"/>
            <w:gridSpan w:val="2"/>
          </w:tcPr>
          <w:p>
            <w:pPr>
              <w:jc w:val="center"/>
              <w:ind w:right="120"/>
              <w:spacing w:after="0"/>
              <w:rPr>
                <w:sz w:val="20"/>
                <w:szCs w:val="20"/>
                <w:color w:val="auto"/>
              </w:rPr>
            </w:pPr>
            <w:r>
              <w:rPr>
                <w:rFonts w:ascii="Arial" w:cs="Arial" w:eastAsia="Arial" w:hAnsi="Arial"/>
                <w:sz w:val="16"/>
                <w:szCs w:val="16"/>
                <w:color w:val="auto"/>
              </w:rPr>
              <w:t>Securities registered pursuant to Section 12(b) of the Act: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432"/>
        </w:trPr>
        <w:tc>
          <w:tcPr>
            <w:tcW w:w="4240" w:type="dxa"/>
            <w:vAlign w:val="bottom"/>
            <w:gridSpan w:val="2"/>
          </w:tcPr>
          <w:p>
            <w:pPr>
              <w:jc w:val="center"/>
              <w:ind w:right="60"/>
              <w:spacing w:after="0"/>
              <w:rPr>
                <w:sz w:val="20"/>
                <w:szCs w:val="20"/>
                <w:color w:val="auto"/>
              </w:rPr>
            </w:pPr>
            <w:r>
              <w:rPr>
                <w:rFonts w:ascii="Arial" w:cs="Arial" w:eastAsia="Arial" w:hAnsi="Arial"/>
                <w:sz w:val="16"/>
                <w:szCs w:val="16"/>
                <w:color w:val="auto"/>
              </w:rPr>
              <w:t>Title of each class</w:t>
            </w:r>
          </w:p>
        </w:tc>
        <w:tc>
          <w:tcPr>
            <w:tcW w:w="28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418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42"/>
        </w:trPr>
        <w:tc>
          <w:tcPr>
            <w:tcW w:w="4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08"/>
        </w:trPr>
        <w:tc>
          <w:tcPr>
            <w:tcW w:w="416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9"/>
              </w:rPr>
              <w:t>GEHC</w:t>
            </w:r>
          </w:p>
        </w:tc>
        <w:tc>
          <w:tcPr>
            <w:tcW w:w="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271" w:lineRule="exact"/>
        <w:rPr>
          <w:sz w:val="24"/>
          <w:szCs w:val="24"/>
          <w:color w:val="auto"/>
        </w:rPr>
      </w:pPr>
    </w:p>
    <w:p>
      <w:pPr>
        <w:ind w:left="300" w:right="560"/>
        <w:spacing w:after="0" w:line="24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jc w:val="right"/>
        <w:ind w:right="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10420" w:type="dxa"/>
            <w:vAlign w:val="bottom"/>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10420" w:type="dxa"/>
            <w:vAlign w:val="bottom"/>
          </w:tcPr>
          <w:p>
            <w:pPr>
              <w:spacing w:after="0"/>
              <w:rPr>
                <w:sz w:val="20"/>
                <w:szCs w:val="20"/>
                <w:color w:val="auto"/>
              </w:rPr>
            </w:pPr>
            <w:r>
              <w:rPr>
                <w:rFonts w:ascii="Arial" w:cs="Arial" w:eastAsia="Arial" w:hAnsi="Arial"/>
                <w:sz w:val="16"/>
                <w:szCs w:val="16"/>
                <w:color w:val="auto"/>
              </w:rPr>
              <w:t>any new or revised financial accounting standards pursuant to Section 13(a) of the Exchange Act.</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28, 2026, GE HealthCare Technologies Inc. (“GE HealthCare”) issued a press release announcing its third quarter 2026 financial results. A copy of this press release is furnished as Exhibit 99 to this Current Report on Form 8-K.</w:t>
      </w:r>
    </w:p>
    <w:p>
      <w:pPr>
        <w:spacing w:after="0" w:line="19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information furnished pursuant to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 of GE HealthCare under the Securities Act of 1933, as amended, or the Exchange Act, except as expressly set forth by specific reference in such filing.</w:t>
      </w:r>
    </w:p>
    <w:p>
      <w:pPr>
        <w:spacing w:after="0" w:line="200" w:lineRule="exact"/>
        <w:rPr>
          <w:sz w:val="20"/>
          <w:szCs w:val="20"/>
          <w:color w:val="auto"/>
        </w:rPr>
      </w:pPr>
    </w:p>
    <w:p>
      <w:pPr>
        <w:ind w:right="460"/>
        <w:spacing w:after="0" w:line="314"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5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October 22, 2026, Jeannette Bankes notified GE HealthCare that she will resign as President and CEO, Patient Care Solutions. Ms. Bankes' last day at GE HealthCare will be November 15, 2026.</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Exhibits</w:t>
      </w:r>
    </w:p>
    <w:p>
      <w:pPr>
        <w:spacing w:after="0" w:line="46"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6"/>
          <w:szCs w:val="16"/>
          <w:b w:val="1"/>
          <w:bCs w:val="1"/>
          <w:u w:val="single" w:color="auto"/>
          <w:color w:val="auto"/>
        </w:rPr>
        <w:t>Exhibit</w:t>
      </w:r>
      <w:r>
        <w:rPr>
          <w:sz w:val="20"/>
          <w:szCs w:val="20"/>
          <w:color w:val="auto"/>
        </w:rPr>
        <w:tab/>
      </w:r>
      <w:r>
        <w:rPr>
          <w:rFonts w:ascii="Arial" w:cs="Arial" w:eastAsia="Arial" w:hAnsi="Arial"/>
          <w:sz w:val="16"/>
          <w:szCs w:val="16"/>
          <w:b w:val="1"/>
          <w:bCs w:val="1"/>
          <w:u w:val="single" w:color="auto"/>
          <w:color w:val="auto"/>
        </w:rPr>
        <w:t>Description</w:t>
      </w:r>
    </w:p>
    <w:p>
      <w:pPr>
        <w:spacing w:after="0" w:line="46" w:lineRule="exact"/>
        <w:rPr>
          <w:sz w:val="20"/>
          <w:szCs w:val="20"/>
          <w:color w:val="auto"/>
        </w:rPr>
      </w:pPr>
    </w:p>
    <w:p>
      <w:pPr>
        <w:ind w:left="1580" w:hanging="1554"/>
        <w:spacing w:after="0"/>
        <w:tabs>
          <w:tab w:leader="none" w:pos="1580" w:val="left"/>
        </w:tabs>
        <w:numPr>
          <w:ilvl w:val="0"/>
          <w:numId w:val="2"/>
        </w:numPr>
        <w:rPr>
          <w:rFonts w:ascii="Arial" w:cs="Arial" w:eastAsia="Arial" w:hAnsi="Arial"/>
          <w:sz w:val="16"/>
          <w:szCs w:val="16"/>
          <w:b w:val="1"/>
          <w:bCs w:val="1"/>
          <w:color w:val="auto"/>
        </w:rPr>
      </w:pPr>
      <w:r>
        <w:rPr>
          <w:rFonts w:ascii="Arial" w:cs="Arial" w:eastAsia="Arial" w:hAnsi="Arial"/>
          <w:sz w:val="16"/>
          <w:szCs w:val="16"/>
          <w:u w:val="single" w:color="auto"/>
          <w:color w:val="0E32E1"/>
        </w:rPr>
        <w:t>Press release of GE HealthCare Technologies Inc., dated October 28, 2026.</w:t>
      </w:r>
    </w:p>
    <w:p>
      <w:pPr>
        <w:spacing w:after="0" w:line="46" w:lineRule="exact"/>
        <w:rPr>
          <w:sz w:val="20"/>
          <w:szCs w:val="20"/>
          <w:color w:val="auto"/>
        </w:rPr>
      </w:pPr>
    </w:p>
    <w:p>
      <w:pPr>
        <w:ind w:left="1580" w:hanging="1554"/>
        <w:spacing w:after="0"/>
        <w:tabs>
          <w:tab w:leader="none" w:pos="15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cover page of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20955</wp:posOffset>
            </wp:positionV>
            <wp:extent cx="53663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80"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(Registrant)</w:t>
      </w:r>
    </w:p>
    <w:p>
      <w:pPr>
        <w:spacing w:after="0" w:line="86" w:lineRule="exact"/>
        <w:rPr>
          <w:sz w:val="20"/>
          <w:szCs w:val="20"/>
          <w:color w:val="auto"/>
        </w:rPr>
      </w:pPr>
    </w:p>
    <w:p>
      <w:pPr>
        <w:ind w:left="20"/>
        <w:spacing w:after="0"/>
        <w:tabs>
          <w:tab w:leader="none" w:pos="2760" w:val="left"/>
        </w:tabs>
        <w:rPr>
          <w:sz w:val="20"/>
          <w:szCs w:val="20"/>
          <w:color w:val="auto"/>
        </w:rPr>
      </w:pPr>
      <w:r>
        <w:rPr>
          <w:rFonts w:ascii="Arial" w:cs="Arial" w:eastAsia="Arial" w:hAnsi="Arial"/>
          <w:sz w:val="16"/>
          <w:szCs w:val="16"/>
          <w:color w:val="auto"/>
        </w:rPr>
        <w:t>Date: October 28, 2026</w:t>
      </w:r>
      <w:r>
        <w:rPr>
          <w:sz w:val="20"/>
          <w:szCs w:val="20"/>
          <w:color w:val="auto"/>
        </w:rPr>
        <w:tab/>
      </w: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20955</wp:posOffset>
            </wp:positionV>
            <wp:extent cx="5366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George A. Newcomb, Controller &amp; Chief Accounting Officer (authorized signatory)</w:t>
      </w:r>
    </w:p>
    <w:p>
      <w:pPr>
        <w:sectPr>
          <w:pgSz w:w="11900" w:h="16838" w:orient="portrait"/>
          <w:cols w:equalWidth="0" w:num="1">
            <w:col w:w="11220"/>
          </w:cols>
          <w:pgMar w:left="320" w:top="895" w:right="359" w:bottom="1440" w:gutter="0" w:footer="0" w:header="0"/>
        </w:sectPr>
      </w:pPr>
    </w:p>
    <w:bookmarkStart w:id="3" w:name="page4"/>
    <w:bookmarkEnd w:id="3"/>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68880" cy="8318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99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6022A6"/>
        </w:rPr>
        <w:t>GE HealthCare reports third quarter 2026 financial results</w:t>
      </w:r>
    </w:p>
    <w:p>
      <w:pPr>
        <w:spacing w:after="0" w:line="29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Delivers top- and bottom-line growth ahead of Company expectations and raises full-year 2026 guidance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growth of 7.2%, and Organic revenue growth* of 6.2%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Organic orders growth of 4.0%, book-to-bill of 1.03 times and backlog of $23.7 billion</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margin of 11.1% and Adjusted earnings before interest and taxes (EBIT) margin* of 16.6%; diluted EPS of $1.36 grew 39.1% and Adjusted EPS* of $1.34 grew 25.1%</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operating activities of $907 million and Free cash flow* of $793 million</w:t>
      </w:r>
    </w:p>
    <w:p>
      <w:pPr>
        <w:spacing w:after="0" w:line="23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 xml:space="preserve">Chicago, IL – October 28, 2026 – </w:t>
      </w:r>
      <w:r>
        <w:rPr>
          <w:rFonts w:ascii="Arial" w:cs="Arial" w:eastAsia="Arial" w:hAnsi="Arial"/>
          <w:sz w:val="18"/>
          <w:szCs w:val="18"/>
          <w:color w:val="auto"/>
        </w:rPr>
        <w:t>GE HealthCare (Nasdaq: GEHC) today reported financial results for the third quarter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30, 2026.</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GE HealthCare President and CEO Peter Arduini said, “We delivered strong top-line growth and margin expansion across all segments, and robust EPS growth in the third quarter. This reflects our teams’ commercial execution, disciplined operational focus enabled by Heartbeat, and continued customer adoption of our innovations. With our improved performance year-to-date and momentum in the business, we are raising guidance for the year.”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Third quarter 2026 total company financial performance</w:t>
      </w:r>
      <w:r>
        <w:rPr>
          <w:rFonts w:ascii="Arial" w:cs="Arial" w:eastAsia="Arial" w:hAnsi="Arial"/>
          <w:sz w:val="23"/>
          <w:szCs w:val="23"/>
          <w:b w:val="1"/>
          <w:bCs w:val="1"/>
          <w:color w:val="6022A6"/>
          <w:vertAlign w:val="superscript"/>
        </w:rPr>
        <w:t>(1)</w:t>
      </w:r>
    </w:p>
    <w:p>
      <w:pPr>
        <w:spacing w:after="0" w:line="54"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Revenues of $5.5 billion, up 7.2%, including Organic revenue growth* of 6.2%, with growth across all segments.</w:t>
      </w:r>
    </w:p>
    <w:p>
      <w:pPr>
        <w:spacing w:after="0" w:line="261"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orders up 4.0% organically, book-to-bill of 1.03 times and backlog of $23.7 billion, driven by healthy demand.</w:t>
      </w:r>
    </w:p>
    <w:p>
      <w:pPr>
        <w:spacing w:after="0" w:line="265" w:lineRule="exact"/>
        <w:rPr>
          <w:rFonts w:ascii="Arial" w:cs="Arial" w:eastAsia="Arial" w:hAnsi="Arial"/>
          <w:sz w:val="18"/>
          <w:szCs w:val="18"/>
          <w:color w:val="auto"/>
        </w:rPr>
      </w:pPr>
    </w:p>
    <w:p>
      <w:pPr>
        <w:ind w:left="660" w:right="560" w:hanging="328"/>
        <w:spacing w:after="0" w:line="287"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income attributable to GE HealthCare of $615 million versus $446 million, and Adjusted EBIT* of $913 million versus $761 million.</w:t>
      </w:r>
    </w:p>
    <w:p>
      <w:pPr>
        <w:spacing w:after="0" w:line="179" w:lineRule="exact"/>
        <w:rPr>
          <w:rFonts w:ascii="Arial" w:cs="Arial" w:eastAsia="Arial" w:hAnsi="Arial"/>
          <w:sz w:val="18"/>
          <w:szCs w:val="18"/>
          <w:color w:val="auto"/>
        </w:rPr>
      </w:pPr>
    </w:p>
    <w:p>
      <w:pPr>
        <w:jc w:val="both"/>
        <w:ind w:left="660" w:right="320" w:hanging="328"/>
        <w:spacing w:after="0" w:line="268"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income margin of 11.1% versus 8.7%, up 250 basis points (bps). Adjusted EBIT margin* of 16.6% versus 14.8%, up 180 bps, with both measures driven by volume, price and cost productivity, and favorable year-over-year net tariff impact, partially offset by inflation.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Diluted EPS of $1.36 versus $0.98, up $0.38; Adjusted EPS* of $1.34 versus $1.07, up $0.27.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Non-GAAP financial measure.</w:t>
      </w:r>
    </w:p>
    <w:p>
      <w:pPr>
        <w:spacing w:after="0"/>
        <w:rPr>
          <w:sz w:val="20"/>
          <w:szCs w:val="20"/>
          <w:color w:val="auto"/>
        </w:rPr>
      </w:pPr>
      <w:r>
        <w:rPr>
          <w:rFonts w:ascii="Arial" w:cs="Arial" w:eastAsia="Arial" w:hAnsi="Arial"/>
          <w:sz w:val="16"/>
          <w:szCs w:val="16"/>
          <w:color w:val="auto"/>
        </w:rPr>
        <w:t>(1) All comparisons to prior-year period unless otherwise noted.</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6022A6"/>
        </w:rPr>
        <w:t xml:space="preserve">Third quarter 2026 segment financial performance </w:t>
      </w:r>
      <w:r>
        <w:rPr>
          <w:rFonts w:ascii="Arial" w:cs="Arial" w:eastAsia="Arial" w:hAnsi="Arial"/>
          <w:sz w:val="18"/>
          <w:szCs w:val="18"/>
          <w:color w:val="6022A6"/>
        </w:rPr>
        <w:t>(Unaudited)</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640" w:type="dxa"/>
            <w:vAlign w:val="bottom"/>
            <w:tcBorders>
              <w:top w:val="single" w:sz="8" w:color="auto"/>
              <w:left w:val="single" w:sz="8" w:color="auto"/>
              <w:right w:val="single" w:sz="8" w:color="auto"/>
            </w:tcBorders>
            <w:vMerge w:val="restart"/>
            <w:shd w:val="clear" w:color="auto" w:fill="6022A6"/>
          </w:tcPr>
          <w:p>
            <w:pPr>
              <w:ind w:left="1940"/>
              <w:spacing w:after="0"/>
              <w:rPr>
                <w:sz w:val="20"/>
                <w:szCs w:val="20"/>
                <w:color w:val="auto"/>
              </w:rPr>
            </w:pPr>
            <w:r>
              <w:rPr>
                <w:rFonts w:ascii="Arial" w:cs="Arial" w:eastAsia="Arial" w:hAnsi="Arial"/>
                <w:sz w:val="18"/>
                <w:szCs w:val="18"/>
                <w:b w:val="1"/>
                <w:bCs w:val="1"/>
                <w:color w:val="FFFFFF"/>
              </w:rPr>
              <w:t>Segment</w:t>
            </w:r>
          </w:p>
        </w:tc>
        <w:tc>
          <w:tcPr>
            <w:tcW w:w="2240" w:type="dxa"/>
            <w:vAlign w:val="bottom"/>
            <w:tcBorders>
              <w:top w:val="single" w:sz="8" w:color="auto"/>
              <w:right w:val="single" w:sz="8" w:color="auto"/>
            </w:tcBorders>
            <w:shd w:val="clear" w:color="auto" w:fill="6022A6"/>
          </w:tcPr>
          <w:p>
            <w:pPr>
              <w:jc w:val="center"/>
              <w:spacing w:after="0"/>
              <w:rPr>
                <w:sz w:val="20"/>
                <w:szCs w:val="20"/>
                <w:color w:val="auto"/>
              </w:rPr>
            </w:pPr>
            <w:r>
              <w:rPr>
                <w:rFonts w:ascii="Arial" w:cs="Arial" w:eastAsia="Arial" w:hAnsi="Arial"/>
                <w:sz w:val="18"/>
                <w:szCs w:val="18"/>
                <w:b w:val="1"/>
                <w:bCs w:val="1"/>
                <w:color w:val="FFFFFF"/>
                <w:w w:val="99"/>
              </w:rPr>
              <w:t>Advanced Imaging</w:t>
            </w:r>
          </w:p>
        </w:tc>
        <w:tc>
          <w:tcPr>
            <w:tcW w:w="2240" w:type="dxa"/>
            <w:vAlign w:val="bottom"/>
            <w:tcBorders>
              <w:top w:val="single" w:sz="8" w:color="auto"/>
              <w:right w:val="single" w:sz="8" w:color="auto"/>
            </w:tcBorders>
            <w:shd w:val="clear" w:color="auto" w:fill="6022A6"/>
          </w:tcPr>
          <w:p>
            <w:pPr>
              <w:jc w:val="center"/>
              <w:spacing w:after="0"/>
              <w:rPr>
                <w:sz w:val="20"/>
                <w:szCs w:val="20"/>
                <w:color w:val="auto"/>
              </w:rPr>
            </w:pPr>
            <w:r>
              <w:rPr>
                <w:rFonts w:ascii="Arial" w:cs="Arial" w:eastAsia="Arial" w:hAnsi="Arial"/>
                <w:sz w:val="18"/>
                <w:szCs w:val="18"/>
                <w:b w:val="1"/>
                <w:bCs w:val="1"/>
                <w:color w:val="FFFFFF"/>
                <w:w w:val="99"/>
              </w:rPr>
              <w:t>Pharmaceutical</w:t>
            </w:r>
          </w:p>
        </w:tc>
        <w:tc>
          <w:tcPr>
            <w:tcW w:w="2140" w:type="dxa"/>
            <w:vAlign w:val="bottom"/>
            <w:tcBorders>
              <w:top w:val="single" w:sz="8" w:color="auto"/>
              <w:right w:val="single" w:sz="8" w:color="auto"/>
            </w:tcBorders>
            <w:vMerge w:val="restart"/>
            <w:shd w:val="clear" w:color="auto" w:fill="6022A6"/>
          </w:tcPr>
          <w:p>
            <w:pPr>
              <w:jc w:val="center"/>
              <w:spacing w:after="0"/>
              <w:rPr>
                <w:sz w:val="20"/>
                <w:szCs w:val="20"/>
                <w:color w:val="auto"/>
              </w:rPr>
            </w:pPr>
            <w:r>
              <w:rPr>
                <w:rFonts w:ascii="Arial" w:cs="Arial" w:eastAsia="Arial" w:hAnsi="Arial"/>
                <w:sz w:val="18"/>
                <w:szCs w:val="18"/>
                <w:b w:val="1"/>
                <w:bCs w:val="1"/>
                <w:color w:val="FFFFFF"/>
                <w:w w:val="99"/>
              </w:rPr>
              <w:t>Patient Care Solutions</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vMerge w:val="continue"/>
            <w:shd w:val="clear" w:color="auto" w:fill="6022A6"/>
          </w:tcPr>
          <w:p>
            <w:pPr>
              <w:spacing w:after="0"/>
              <w:rPr>
                <w:sz w:val="10"/>
                <w:szCs w:val="10"/>
                <w:color w:val="auto"/>
              </w:rPr>
            </w:pPr>
          </w:p>
        </w:tc>
        <w:tc>
          <w:tcPr>
            <w:tcW w:w="2240" w:type="dxa"/>
            <w:vAlign w:val="bottom"/>
            <w:tcBorders>
              <w:right w:val="single" w:sz="8" w:color="auto"/>
            </w:tcBorders>
            <w:vMerge w:val="restart"/>
            <w:shd w:val="clear" w:color="auto" w:fill="6022A6"/>
          </w:tcPr>
          <w:p>
            <w:pPr>
              <w:jc w:val="center"/>
              <w:spacing w:after="0"/>
              <w:rPr>
                <w:sz w:val="20"/>
                <w:szCs w:val="20"/>
                <w:color w:val="auto"/>
              </w:rPr>
            </w:pPr>
            <w:r>
              <w:rPr>
                <w:rFonts w:ascii="Arial" w:cs="Arial" w:eastAsia="Arial" w:hAnsi="Arial"/>
                <w:sz w:val="18"/>
                <w:szCs w:val="18"/>
                <w:b w:val="1"/>
                <w:bCs w:val="1"/>
                <w:color w:val="FFFFFF"/>
                <w:w w:val="99"/>
              </w:rPr>
              <w:t>Solutions</w:t>
            </w:r>
          </w:p>
        </w:tc>
        <w:tc>
          <w:tcPr>
            <w:tcW w:w="2240" w:type="dxa"/>
            <w:vAlign w:val="bottom"/>
            <w:tcBorders>
              <w:right w:val="single" w:sz="8" w:color="auto"/>
            </w:tcBorders>
            <w:vMerge w:val="restart"/>
            <w:shd w:val="clear" w:color="auto" w:fill="6022A6"/>
          </w:tcPr>
          <w:p>
            <w:pPr>
              <w:jc w:val="center"/>
              <w:spacing w:after="0"/>
              <w:rPr>
                <w:sz w:val="20"/>
                <w:szCs w:val="20"/>
                <w:color w:val="auto"/>
              </w:rPr>
            </w:pPr>
            <w:r>
              <w:rPr>
                <w:rFonts w:ascii="Arial" w:cs="Arial" w:eastAsia="Arial" w:hAnsi="Arial"/>
                <w:sz w:val="18"/>
                <w:szCs w:val="18"/>
                <w:b w:val="1"/>
                <w:bCs w:val="1"/>
                <w:color w:val="FFFFFF"/>
                <w:w w:val="97"/>
              </w:rPr>
              <w:t>Diagnostics</w:t>
            </w:r>
          </w:p>
        </w:tc>
        <w:tc>
          <w:tcPr>
            <w:tcW w:w="2140" w:type="dxa"/>
            <w:vAlign w:val="bottom"/>
            <w:tcBorders>
              <w:right w:val="single" w:sz="8" w:color="auto"/>
            </w:tcBorders>
            <w:vMerge w:val="continue"/>
            <w:shd w:val="clear" w:color="auto" w:fill="6022A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40" w:type="dxa"/>
            <w:vAlign w:val="bottom"/>
            <w:tcBorders>
              <w:left w:val="single" w:sz="8" w:color="auto"/>
              <w:right w:val="single" w:sz="8" w:color="auto"/>
            </w:tcBorders>
            <w:vMerge w:val="restart"/>
            <w:shd w:val="clear" w:color="auto" w:fill="6022A6"/>
          </w:tcPr>
          <w:p>
            <w:pPr>
              <w:ind w:left="1740"/>
              <w:spacing w:after="0"/>
              <w:rPr>
                <w:sz w:val="20"/>
                <w:szCs w:val="20"/>
                <w:color w:val="auto"/>
              </w:rPr>
            </w:pPr>
            <w:r>
              <w:rPr>
                <w:rFonts w:ascii="Arial" w:cs="Arial" w:eastAsia="Arial" w:hAnsi="Arial"/>
                <w:sz w:val="18"/>
                <w:szCs w:val="18"/>
                <w:b w:val="1"/>
                <w:bCs w:val="1"/>
                <w:i w:val="1"/>
                <w:iCs w:val="1"/>
                <w:color w:val="FFFFFF"/>
              </w:rPr>
              <w:t>($ in millions)</w:t>
            </w:r>
          </w:p>
        </w:tc>
        <w:tc>
          <w:tcPr>
            <w:tcW w:w="2240" w:type="dxa"/>
            <w:vAlign w:val="bottom"/>
            <w:tcBorders>
              <w:right w:val="single" w:sz="8" w:color="auto"/>
            </w:tcBorders>
            <w:vMerge w:val="continue"/>
            <w:shd w:val="clear" w:color="auto" w:fill="6022A6"/>
          </w:tcPr>
          <w:p>
            <w:pPr>
              <w:spacing w:after="0"/>
              <w:rPr>
                <w:sz w:val="9"/>
                <w:szCs w:val="9"/>
                <w:color w:val="auto"/>
              </w:rPr>
            </w:pPr>
          </w:p>
        </w:tc>
        <w:tc>
          <w:tcPr>
            <w:tcW w:w="2240" w:type="dxa"/>
            <w:vAlign w:val="bottom"/>
            <w:tcBorders>
              <w:right w:val="single" w:sz="8" w:color="auto"/>
            </w:tcBorders>
            <w:vMerge w:val="continue"/>
            <w:shd w:val="clear" w:color="auto" w:fill="6022A6"/>
          </w:tcPr>
          <w:p>
            <w:pPr>
              <w:spacing w:after="0"/>
              <w:rPr>
                <w:sz w:val="9"/>
                <w:szCs w:val="9"/>
                <w:color w:val="auto"/>
              </w:rPr>
            </w:pPr>
          </w:p>
        </w:tc>
        <w:tc>
          <w:tcPr>
            <w:tcW w:w="2140" w:type="dxa"/>
            <w:vAlign w:val="bottom"/>
            <w:tcBorders>
              <w:right w:val="single" w:sz="8" w:color="auto"/>
            </w:tcBorders>
            <w:vMerge w:val="restart"/>
            <w:shd w:val="clear" w:color="auto" w:fill="6022A6"/>
          </w:tcPr>
          <w:p>
            <w:pPr>
              <w:jc w:val="center"/>
              <w:spacing w:after="0"/>
              <w:rPr>
                <w:sz w:val="20"/>
                <w:szCs w:val="20"/>
                <w:color w:val="auto"/>
              </w:rPr>
            </w:pPr>
            <w:r>
              <w:rPr>
                <w:rFonts w:ascii="Arial" w:cs="Arial" w:eastAsia="Arial" w:hAnsi="Arial"/>
                <w:sz w:val="18"/>
                <w:szCs w:val="18"/>
                <w:b w:val="1"/>
                <w:bCs w:val="1"/>
                <w:color w:val="FFFFFF"/>
              </w:rPr>
              <w:t>(PCS)</w:t>
            </w:r>
          </w:p>
        </w:tc>
        <w:tc>
          <w:tcPr>
            <w:tcW w:w="0" w:type="dxa"/>
            <w:vAlign w:val="bottom"/>
          </w:tcPr>
          <w:p>
            <w:pPr>
              <w:spacing w:after="0"/>
              <w:rPr>
                <w:sz w:val="1"/>
                <w:szCs w:val="1"/>
                <w:color w:val="auto"/>
              </w:rPr>
            </w:pPr>
          </w:p>
        </w:tc>
      </w:tr>
      <w:tr>
        <w:trPr>
          <w:trHeight w:val="139"/>
        </w:trPr>
        <w:tc>
          <w:tcPr>
            <w:tcW w:w="4640" w:type="dxa"/>
            <w:vAlign w:val="bottom"/>
            <w:tcBorders>
              <w:left w:val="single" w:sz="8" w:color="auto"/>
              <w:right w:val="single" w:sz="8" w:color="auto"/>
            </w:tcBorders>
            <w:vMerge w:val="continue"/>
            <w:shd w:val="clear" w:color="auto" w:fill="6022A6"/>
          </w:tcPr>
          <w:p>
            <w:pPr>
              <w:spacing w:after="0"/>
              <w:rPr>
                <w:sz w:val="12"/>
                <w:szCs w:val="12"/>
                <w:color w:val="auto"/>
              </w:rPr>
            </w:pPr>
          </w:p>
        </w:tc>
        <w:tc>
          <w:tcPr>
            <w:tcW w:w="2240" w:type="dxa"/>
            <w:vAlign w:val="bottom"/>
            <w:tcBorders>
              <w:right w:val="single" w:sz="8" w:color="auto"/>
            </w:tcBorders>
            <w:vMerge w:val="restart"/>
            <w:shd w:val="clear" w:color="auto" w:fill="6022A6"/>
          </w:tcPr>
          <w:p>
            <w:pPr>
              <w:jc w:val="center"/>
              <w:spacing w:after="0"/>
              <w:rPr>
                <w:sz w:val="20"/>
                <w:szCs w:val="20"/>
                <w:color w:val="auto"/>
              </w:rPr>
            </w:pPr>
            <w:r>
              <w:rPr>
                <w:rFonts w:ascii="Arial" w:cs="Arial" w:eastAsia="Arial" w:hAnsi="Arial"/>
                <w:sz w:val="18"/>
                <w:szCs w:val="18"/>
                <w:b w:val="1"/>
                <w:bCs w:val="1"/>
                <w:color w:val="FFFFFF"/>
                <w:w w:val="99"/>
              </w:rPr>
              <w:t>(AIS)</w:t>
            </w:r>
          </w:p>
        </w:tc>
        <w:tc>
          <w:tcPr>
            <w:tcW w:w="2240" w:type="dxa"/>
            <w:vAlign w:val="bottom"/>
            <w:tcBorders>
              <w:right w:val="single" w:sz="8" w:color="auto"/>
            </w:tcBorders>
            <w:vMerge w:val="restart"/>
            <w:shd w:val="clear" w:color="auto" w:fill="6022A6"/>
          </w:tcPr>
          <w:p>
            <w:pPr>
              <w:jc w:val="center"/>
              <w:spacing w:after="0"/>
              <w:rPr>
                <w:sz w:val="20"/>
                <w:szCs w:val="20"/>
                <w:color w:val="auto"/>
              </w:rPr>
            </w:pPr>
            <w:r>
              <w:rPr>
                <w:rFonts w:ascii="Arial" w:cs="Arial" w:eastAsia="Arial" w:hAnsi="Arial"/>
                <w:sz w:val="18"/>
                <w:szCs w:val="18"/>
                <w:b w:val="1"/>
                <w:bCs w:val="1"/>
                <w:color w:val="FFFFFF"/>
              </w:rPr>
              <w:t>(PDx)</w:t>
            </w:r>
          </w:p>
        </w:tc>
        <w:tc>
          <w:tcPr>
            <w:tcW w:w="2140" w:type="dxa"/>
            <w:vAlign w:val="bottom"/>
            <w:tcBorders>
              <w:right w:val="single" w:sz="8" w:color="auto"/>
            </w:tcBorders>
            <w:vMerge w:val="continue"/>
            <w:shd w:val="clear" w:color="auto" w:fill="6022A6"/>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40" w:type="dxa"/>
            <w:vAlign w:val="bottom"/>
            <w:tcBorders>
              <w:left w:val="single" w:sz="8" w:color="auto"/>
              <w:bottom w:val="single" w:sz="8" w:color="6022A6"/>
              <w:right w:val="single" w:sz="8" w:color="auto"/>
            </w:tcBorders>
            <w:shd w:val="clear" w:color="auto" w:fill="6022A6"/>
          </w:tcPr>
          <w:p>
            <w:pPr>
              <w:spacing w:after="0"/>
              <w:rPr>
                <w:sz w:val="11"/>
                <w:szCs w:val="11"/>
                <w:color w:val="auto"/>
              </w:rPr>
            </w:pPr>
          </w:p>
        </w:tc>
        <w:tc>
          <w:tcPr>
            <w:tcW w:w="2240" w:type="dxa"/>
            <w:vAlign w:val="bottom"/>
            <w:tcBorders>
              <w:bottom w:val="single" w:sz="8" w:color="6022A6"/>
              <w:right w:val="single" w:sz="8" w:color="auto"/>
            </w:tcBorders>
            <w:vMerge w:val="continue"/>
            <w:shd w:val="clear" w:color="auto" w:fill="6022A6"/>
          </w:tcPr>
          <w:p>
            <w:pPr>
              <w:spacing w:after="0"/>
              <w:rPr>
                <w:sz w:val="11"/>
                <w:szCs w:val="11"/>
                <w:color w:val="auto"/>
              </w:rPr>
            </w:pPr>
          </w:p>
        </w:tc>
        <w:tc>
          <w:tcPr>
            <w:tcW w:w="2240" w:type="dxa"/>
            <w:vAlign w:val="bottom"/>
            <w:tcBorders>
              <w:bottom w:val="single" w:sz="8" w:color="6022A6"/>
              <w:right w:val="single" w:sz="8" w:color="auto"/>
            </w:tcBorders>
            <w:vMerge w:val="continue"/>
            <w:shd w:val="clear" w:color="auto" w:fill="6022A6"/>
          </w:tcPr>
          <w:p>
            <w:pPr>
              <w:spacing w:after="0"/>
              <w:rPr>
                <w:sz w:val="11"/>
                <w:szCs w:val="11"/>
                <w:color w:val="auto"/>
              </w:rPr>
            </w:pPr>
          </w:p>
        </w:tc>
        <w:tc>
          <w:tcPr>
            <w:tcW w:w="2140" w:type="dxa"/>
            <w:vAlign w:val="bottom"/>
            <w:tcBorders>
              <w:bottom w:val="single" w:sz="8" w:color="6022A6"/>
              <w:right w:val="single" w:sz="8" w:color="auto"/>
            </w:tcBorders>
            <w:shd w:val="clear" w:color="auto" w:fill="6022A6"/>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4640" w:type="dxa"/>
            <w:vAlign w:val="bottom"/>
            <w:tcBorders>
              <w:top w:val="single" w:sz="8" w:color="auto"/>
              <w:left w:val="single" w:sz="8" w:color="auto"/>
              <w:bottom w:val="single" w:sz="8" w:color="E4E4E4"/>
              <w:right w:val="single" w:sz="8" w:color="auto"/>
            </w:tcBorders>
            <w:shd w:val="clear" w:color="auto" w:fill="E4E4E4"/>
          </w:tcPr>
          <w:p>
            <w:pPr>
              <w:ind w:left="40"/>
              <w:spacing w:after="0"/>
              <w:rPr>
                <w:sz w:val="20"/>
                <w:szCs w:val="20"/>
                <w:color w:val="auto"/>
              </w:rPr>
            </w:pPr>
            <w:r>
              <w:rPr>
                <w:rFonts w:ascii="Arial" w:cs="Arial" w:eastAsia="Arial" w:hAnsi="Arial"/>
                <w:sz w:val="18"/>
                <w:szCs w:val="18"/>
                <w:b w:val="1"/>
                <w:bCs w:val="1"/>
                <w:color w:val="auto"/>
              </w:rPr>
              <w:t>Segment Revenues</w:t>
            </w:r>
          </w:p>
        </w:tc>
        <w:tc>
          <w:tcPr>
            <w:tcW w:w="2240" w:type="dxa"/>
            <w:vAlign w:val="bottom"/>
            <w:tcBorders>
              <w:top w:val="single" w:sz="8" w:color="auto"/>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rPr>
              <w:t>$3,873</w:t>
            </w:r>
          </w:p>
        </w:tc>
        <w:tc>
          <w:tcPr>
            <w:tcW w:w="2240" w:type="dxa"/>
            <w:vAlign w:val="bottom"/>
            <w:tcBorders>
              <w:top w:val="single" w:sz="8" w:color="auto"/>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w w:val="99"/>
              </w:rPr>
              <w:t>$846</w:t>
            </w:r>
          </w:p>
        </w:tc>
        <w:tc>
          <w:tcPr>
            <w:tcW w:w="2140" w:type="dxa"/>
            <w:vAlign w:val="bottom"/>
            <w:tcBorders>
              <w:top w:val="single" w:sz="8" w:color="auto"/>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w w:val="99"/>
              </w:rPr>
              <w:t>$793</w:t>
            </w:r>
          </w:p>
        </w:tc>
        <w:tc>
          <w:tcPr>
            <w:tcW w:w="0" w:type="dxa"/>
            <w:vAlign w:val="bottom"/>
          </w:tcPr>
          <w:p>
            <w:pPr>
              <w:spacing w:after="0"/>
              <w:rPr>
                <w:sz w:val="1"/>
                <w:szCs w:val="1"/>
                <w:color w:val="auto"/>
              </w:rPr>
            </w:pPr>
          </w:p>
        </w:tc>
      </w:tr>
      <w:tr>
        <w:trPr>
          <w:trHeight w:val="247"/>
        </w:trPr>
        <w:tc>
          <w:tcPr>
            <w:tcW w:w="46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YoY % change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6.1%</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13.0%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7"/>
        </w:trPr>
        <w:tc>
          <w:tcPr>
            <w:tcW w:w="4640" w:type="dxa"/>
            <w:vAlign w:val="bottom"/>
            <w:tcBorders>
              <w:left w:val="single" w:sz="8" w:color="auto"/>
              <w:bottom w:val="single" w:sz="8" w:color="E4E4E4"/>
              <w:right w:val="single" w:sz="8" w:color="auto"/>
            </w:tcBorders>
          </w:tcPr>
          <w:p>
            <w:pPr>
              <w:spacing w:after="0"/>
              <w:rPr>
                <w:sz w:val="3"/>
                <w:szCs w:val="3"/>
                <w:color w:val="auto"/>
              </w:rPr>
            </w:pPr>
          </w:p>
        </w:tc>
        <w:tc>
          <w:tcPr>
            <w:tcW w:w="2240" w:type="dxa"/>
            <w:vAlign w:val="bottom"/>
            <w:tcBorders>
              <w:bottom w:val="single" w:sz="8" w:color="E4E4E4"/>
              <w:right w:val="single" w:sz="8" w:color="auto"/>
            </w:tcBorders>
          </w:tcPr>
          <w:p>
            <w:pPr>
              <w:spacing w:after="0"/>
              <w:rPr>
                <w:sz w:val="3"/>
                <w:szCs w:val="3"/>
                <w:color w:val="auto"/>
              </w:rPr>
            </w:pPr>
          </w:p>
        </w:tc>
        <w:tc>
          <w:tcPr>
            <w:tcW w:w="2240" w:type="dxa"/>
            <w:vAlign w:val="bottom"/>
            <w:tcBorders>
              <w:bottom w:val="single" w:sz="8" w:color="E4E4E4"/>
              <w:right w:val="single" w:sz="8" w:color="auto"/>
            </w:tcBorders>
          </w:tcPr>
          <w:p>
            <w:pPr>
              <w:spacing w:after="0"/>
              <w:rPr>
                <w:sz w:val="3"/>
                <w:szCs w:val="3"/>
                <w:color w:val="auto"/>
              </w:rPr>
            </w:pPr>
          </w:p>
        </w:tc>
        <w:tc>
          <w:tcPr>
            <w:tcW w:w="2140" w:type="dxa"/>
            <w:vAlign w:val="bottom"/>
            <w:tcBorders>
              <w:bottom w:val="single" w:sz="8" w:color="E4E4E4"/>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6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YoY % Organic* change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4.5%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13.8%</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6"/>
        </w:trPr>
        <w:tc>
          <w:tcPr>
            <w:tcW w:w="464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4640" w:type="dxa"/>
            <w:vAlign w:val="bottom"/>
            <w:tcBorders>
              <w:left w:val="single" w:sz="8" w:color="auto"/>
              <w:bottom w:val="single" w:sz="8" w:color="E4E4E4"/>
              <w:right w:val="single" w:sz="8" w:color="auto"/>
            </w:tcBorders>
            <w:shd w:val="clear" w:color="auto" w:fill="E4E4E4"/>
          </w:tcPr>
          <w:p>
            <w:pPr>
              <w:ind w:left="40"/>
              <w:spacing w:after="0"/>
              <w:rPr>
                <w:sz w:val="20"/>
                <w:szCs w:val="20"/>
                <w:color w:val="auto"/>
              </w:rPr>
            </w:pPr>
            <w:r>
              <w:rPr>
                <w:rFonts w:ascii="Arial" w:cs="Arial" w:eastAsia="Arial" w:hAnsi="Arial"/>
                <w:sz w:val="18"/>
                <w:szCs w:val="18"/>
                <w:b w:val="1"/>
                <w:bCs w:val="1"/>
                <w:color w:val="auto"/>
              </w:rPr>
              <w:t>Segment EBIT</w:t>
            </w:r>
          </w:p>
        </w:tc>
        <w:tc>
          <w:tcPr>
            <w:tcW w:w="2240" w:type="dxa"/>
            <w:vAlign w:val="bottom"/>
            <w:tcBorders>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w w:val="99"/>
              </w:rPr>
              <w:t>$593</w:t>
            </w:r>
          </w:p>
        </w:tc>
        <w:tc>
          <w:tcPr>
            <w:tcW w:w="2240" w:type="dxa"/>
            <w:vAlign w:val="bottom"/>
            <w:tcBorders>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w w:val="99"/>
              </w:rPr>
              <w:t>$253</w:t>
            </w:r>
          </w:p>
        </w:tc>
        <w:tc>
          <w:tcPr>
            <w:tcW w:w="2140" w:type="dxa"/>
            <w:vAlign w:val="bottom"/>
            <w:tcBorders>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47"/>
        </w:trPr>
        <w:tc>
          <w:tcPr>
            <w:tcW w:w="46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YoY % change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15.8%</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14.9%</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37"/>
        </w:trPr>
        <w:tc>
          <w:tcPr>
            <w:tcW w:w="464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4640" w:type="dxa"/>
            <w:vAlign w:val="bottom"/>
            <w:tcBorders>
              <w:left w:val="single" w:sz="8" w:color="auto"/>
              <w:bottom w:val="single" w:sz="8" w:color="E4E4E4"/>
              <w:right w:val="single" w:sz="8" w:color="auto"/>
            </w:tcBorders>
            <w:shd w:val="clear" w:color="auto" w:fill="E4E4E4"/>
          </w:tcPr>
          <w:p>
            <w:pPr>
              <w:ind w:left="40"/>
              <w:spacing w:after="0"/>
              <w:rPr>
                <w:sz w:val="20"/>
                <w:szCs w:val="20"/>
                <w:color w:val="auto"/>
              </w:rPr>
            </w:pPr>
            <w:r>
              <w:rPr>
                <w:rFonts w:ascii="Arial" w:cs="Arial" w:eastAsia="Arial" w:hAnsi="Arial"/>
                <w:sz w:val="18"/>
                <w:szCs w:val="18"/>
                <w:b w:val="1"/>
                <w:bCs w:val="1"/>
                <w:color w:val="auto"/>
              </w:rPr>
              <w:t>Segment EBIT Margin</w:t>
            </w:r>
          </w:p>
        </w:tc>
        <w:tc>
          <w:tcPr>
            <w:tcW w:w="2240" w:type="dxa"/>
            <w:vAlign w:val="bottom"/>
            <w:tcBorders>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rPr>
              <w:t>15.3%</w:t>
            </w:r>
          </w:p>
        </w:tc>
        <w:tc>
          <w:tcPr>
            <w:tcW w:w="2240" w:type="dxa"/>
            <w:vAlign w:val="bottom"/>
            <w:tcBorders>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rPr>
              <w:t>29.9%</w:t>
            </w:r>
          </w:p>
        </w:tc>
        <w:tc>
          <w:tcPr>
            <w:tcW w:w="2140" w:type="dxa"/>
            <w:vAlign w:val="bottom"/>
            <w:tcBorders>
              <w:bottom w:val="single" w:sz="8" w:color="E4E4E4"/>
              <w:right w:val="single" w:sz="8" w:color="auto"/>
            </w:tcBorders>
            <w:shd w:val="clear" w:color="auto" w:fill="E4E4E4"/>
          </w:tcPr>
          <w:p>
            <w:pPr>
              <w:jc w:val="center"/>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7"/>
        </w:trPr>
        <w:tc>
          <w:tcPr>
            <w:tcW w:w="4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YoY change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130 bps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 bps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480 bps</w:t>
            </w:r>
          </w:p>
        </w:tc>
        <w:tc>
          <w:tcPr>
            <w:tcW w:w="0" w:type="dxa"/>
            <w:vAlign w:val="bottom"/>
          </w:tcPr>
          <w:p>
            <w:pPr>
              <w:spacing w:after="0"/>
              <w:rPr>
                <w:sz w:val="1"/>
                <w:szCs w:val="1"/>
                <w:color w:val="auto"/>
              </w:rPr>
            </w:pPr>
          </w:p>
        </w:tc>
      </w:tr>
      <w:tr>
        <w:trPr>
          <w:trHeight w:val="36"/>
        </w:trPr>
        <w:tc>
          <w:tcPr>
            <w:tcW w:w="46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454545"/>
        </w:rPr>
        <w:t>YoY refers to year-over-year comparison</w:t>
      </w:r>
    </w:p>
    <w:p>
      <w:pPr>
        <w:spacing w:after="0" w:line="246"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The Company announced that Jeannette Bankes, President and CEO, Patient Care Solutions, will be leaving for a CEO role at a publicly traded company. Neal Sandy, currently head of PCS Product Strategy and Management, brings more than 30 years of industry experience and will assume the role of President and CEO of PCS on November 16, 2026.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Third quarter capital deployment</w:t>
      </w:r>
      <w:r>
        <w:rPr>
          <w:rFonts w:ascii="Arial" w:cs="Arial" w:eastAsia="Arial" w:hAnsi="Arial"/>
          <w:sz w:val="23"/>
          <w:szCs w:val="23"/>
          <w:b w:val="1"/>
          <w:bCs w:val="1"/>
          <w:color w:val="6022A6"/>
          <w:vertAlign w:val="superscript"/>
        </w:rPr>
        <w:t>(1)</w:t>
      </w:r>
    </w:p>
    <w:p>
      <w:pPr>
        <w:ind w:left="660" w:right="18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from operating activities of $907 million, up $314 million. Free cash flow* of $793 million, up $310 million. Both measures include a tariff refund of $55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of $114 million compared to $110 million in the prior year.</w:t>
      </w:r>
    </w:p>
    <w:p>
      <w:pPr>
        <w:spacing w:after="0" w:line="171"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of $2.9 billion and access to $3.5 billion of revolving credit facilities. Total debt outstanding of $10.0 billion.</w:t>
      </w:r>
    </w:p>
    <w:p>
      <w:pPr>
        <w:spacing w:after="0" w:line="98"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Declared quarterly dividend of $0.04 per share to stockholders of record as of October 23, 2026, an increase of 14% from the previous quarter.</w:t>
      </w:r>
    </w:p>
    <w:p>
      <w:pPr>
        <w:spacing w:after="0" w:line="98"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2026, the Company announced plans to acquire SOFIE Biosciences from Trilantic North America for a purchase price of $945 million paid in cash. The transaction is expected to close in the first half of 2027, subject to customary closing conditions, including regulatory approvals.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Recent innovation and commercial highlights</w:t>
      </w:r>
    </w:p>
    <w:p>
      <w:pPr>
        <w:spacing w:after="0" w:line="77" w:lineRule="exact"/>
        <w:rPr>
          <w:sz w:val="20"/>
          <w:szCs w:val="20"/>
          <w:color w:val="auto"/>
        </w:rPr>
      </w:pPr>
    </w:p>
    <w:p>
      <w:pPr>
        <w:ind w:left="660" w:hanging="328"/>
        <w:spacing w:after="0"/>
        <w:tabs>
          <w:tab w:leader="none" w:pos="660"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 expands general imaging ultrasound portfolio with LOGIQ Focus, elevating everyday ultrasound performance</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 to acquire SOFIE Biosciences, establishing a 'final mile' footprint for PET radiopharmaceutical supply in the U.S.</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 expands research collaboration to explore using generative AI for more personalized radiation therapy</w:t>
      </w:r>
    </w:p>
    <w:p>
      <w:pPr>
        <w:spacing w:after="0" w:line="24" w:lineRule="exact"/>
        <w:rPr>
          <w:rFonts w:ascii="Arial" w:cs="Arial" w:eastAsia="Arial" w:hAnsi="Arial"/>
          <w:sz w:val="20"/>
          <w:szCs w:val="20"/>
          <w:color w:val="auto"/>
        </w:rPr>
      </w:pPr>
    </w:p>
    <w:p>
      <w:pPr>
        <w:ind w:left="660" w:hanging="328"/>
        <w:spacing w:after="0"/>
        <w:tabs>
          <w:tab w:leader="none" w:pos="660"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 announces CareIntellect for Operations, helping health systems optimize resources and expand access to care</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 aims to advance a new era in theranostics with StarGuide™ GX 4D SPECT/CT, now 510(k) pending with the U.S.</w:t>
      </w:r>
    </w:p>
    <w:p>
      <w:pPr>
        <w:spacing w:after="0" w:line="4"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0000FF"/>
        </w:rPr>
        <w:t>FDA</w:t>
      </w:r>
    </w:p>
    <w:p>
      <w:pPr>
        <w:spacing w:after="0" w:line="31" w:lineRule="exact"/>
        <w:rPr>
          <w:rFonts w:ascii="Arial" w:cs="Arial" w:eastAsia="Arial" w:hAnsi="Arial"/>
          <w:sz w:val="20"/>
          <w:szCs w:val="20"/>
          <w:color w:val="auto"/>
        </w:rPr>
      </w:pPr>
    </w:p>
    <w:p>
      <w:pPr>
        <w:ind w:left="660" w:hanging="328"/>
        <w:spacing w:after="0"/>
        <w:tabs>
          <w:tab w:leader="none" w:pos="660"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HealthCare’s Photonova™ Spectra gains CE Mark, expanding international access</w:t>
      </w:r>
    </w:p>
    <w:p>
      <w:pPr>
        <w:spacing w:after="0" w:line="26" w:lineRule="exact"/>
        <w:rPr>
          <w:rFonts w:ascii="Arial" w:cs="Arial" w:eastAsia="Arial" w:hAnsi="Arial"/>
          <w:sz w:val="20"/>
          <w:szCs w:val="20"/>
          <w:color w:val="auto"/>
        </w:rPr>
      </w:pPr>
    </w:p>
    <w:p>
      <w:pPr>
        <w:ind w:left="660" w:right="540" w:hanging="328"/>
        <w:spacing w:after="0" w:line="250" w:lineRule="auto"/>
        <w:tabs>
          <w:tab w:leader="none" w:pos="662"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 unveils the next generation of the Vivid cardiovascular ultrasound portfolio, enabling advanced cardiac imaging across care settings</w:t>
      </w:r>
    </w:p>
    <w:p>
      <w:pPr>
        <w:spacing w:after="0" w:line="17" w:lineRule="exact"/>
        <w:rPr>
          <w:rFonts w:ascii="Arial" w:cs="Arial" w:eastAsia="Arial" w:hAnsi="Arial"/>
          <w:sz w:val="20"/>
          <w:szCs w:val="20"/>
          <w:color w:val="auto"/>
        </w:rPr>
      </w:pPr>
    </w:p>
    <w:p>
      <w:pPr>
        <w:ind w:left="660" w:hanging="328"/>
        <w:spacing w:after="0"/>
        <w:tabs>
          <w:tab w:leader="none" w:pos="660" w:val="left"/>
        </w:tabs>
        <w:numPr>
          <w:ilvl w:val="1"/>
          <w:numId w:val="7"/>
        </w:numPr>
        <w:rPr>
          <w:rFonts w:ascii="Arial" w:cs="Arial" w:eastAsia="Arial" w:hAnsi="Arial"/>
          <w:sz w:val="20"/>
          <w:szCs w:val="20"/>
          <w:color w:val="auto"/>
        </w:rPr>
      </w:pPr>
      <w:r>
        <w:rPr>
          <w:rFonts w:ascii="Arial" w:cs="Arial" w:eastAsia="Arial" w:hAnsi="Arial"/>
          <w:sz w:val="18"/>
          <w:szCs w:val="18"/>
          <w:color w:val="0000FF"/>
        </w:rPr>
        <w:t>GE HealthCare expands breast imaging portfolio with Invenia ABUS Prime and launch of ABUS StreamVue</w:t>
      </w:r>
    </w:p>
    <w:p>
      <w:pPr>
        <w:spacing w:after="0" w:line="28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6"/>
          <w:szCs w:val="16"/>
          <w:color w:val="auto"/>
        </w:rPr>
        <w:t>* Non-GAAP financial measure.</w:t>
      </w:r>
    </w:p>
    <w:p>
      <w:pPr>
        <w:spacing w:after="0"/>
        <w:rPr>
          <w:sz w:val="20"/>
          <w:szCs w:val="20"/>
          <w:color w:val="auto"/>
        </w:rPr>
      </w:pPr>
      <w:r>
        <w:rPr>
          <w:rFonts w:ascii="Arial" w:cs="Arial" w:eastAsia="Arial" w:hAnsi="Arial"/>
          <w:sz w:val="16"/>
          <w:szCs w:val="16"/>
          <w:color w:val="auto"/>
        </w:rPr>
        <w:t>(1) All comparisons to prior-year period unless otherwise noted.</w:t>
      </w:r>
    </w:p>
    <w:p>
      <w:pPr>
        <w:sectPr>
          <w:pgSz w:w="11900" w:h="16838" w:orient="portrait"/>
          <w:cols w:equalWidth="0" w:num="1">
            <w:col w:w="11260"/>
          </w:cols>
          <w:pgMar w:left="320" w:top="1417"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6022A6"/>
        </w:rPr>
        <w:t>2026 guidance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full-year 2026, the Company raises guidance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60" w:type="dxa"/>
            <w:vAlign w:val="bottom"/>
          </w:tcPr>
          <w:p>
            <w:pPr>
              <w:spacing w:after="0"/>
              <w:rPr>
                <w:sz w:val="21"/>
                <w:szCs w:val="21"/>
                <w:color w:val="auto"/>
              </w:rPr>
            </w:pPr>
          </w:p>
        </w:tc>
        <w:tc>
          <w:tcPr>
            <w:tcW w:w="2460" w:type="dxa"/>
            <w:vAlign w:val="bottom"/>
          </w:tcPr>
          <w:p>
            <w:pPr>
              <w:jc w:val="center"/>
              <w:ind w:left="530"/>
              <w:spacing w:after="0"/>
              <w:rPr>
                <w:sz w:val="20"/>
                <w:szCs w:val="20"/>
                <w:color w:val="auto"/>
              </w:rPr>
            </w:pPr>
            <w:r>
              <w:rPr>
                <w:rFonts w:ascii="Arial" w:cs="Arial" w:eastAsia="Arial" w:hAnsi="Arial"/>
                <w:sz w:val="18"/>
                <w:szCs w:val="18"/>
                <w:b w:val="1"/>
                <w:bCs w:val="1"/>
                <w:color w:val="auto"/>
                <w:w w:val="97"/>
              </w:rPr>
              <w:t>2025A</w:t>
            </w:r>
          </w:p>
        </w:tc>
        <w:tc>
          <w:tcPr>
            <w:tcW w:w="246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9"/>
              </w:rPr>
              <w:t>Previous 2026E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Updated 2026E</w:t>
            </w:r>
          </w:p>
        </w:tc>
        <w:tc>
          <w:tcPr>
            <w:tcW w:w="0" w:type="dxa"/>
            <w:vAlign w:val="bottom"/>
          </w:tcPr>
          <w:p>
            <w:pPr>
              <w:spacing w:after="0"/>
              <w:rPr>
                <w:sz w:val="1"/>
                <w:szCs w:val="1"/>
                <w:color w:val="auto"/>
              </w:rPr>
            </w:pPr>
          </w:p>
        </w:tc>
      </w:tr>
      <w:tr>
        <w:trPr>
          <w:trHeight w:val="28"/>
        </w:trPr>
        <w:tc>
          <w:tcPr>
            <w:tcW w:w="3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Organic Revenue Growth*</w:t>
            </w:r>
            <w:r>
              <w:rPr>
                <w:rFonts w:ascii="Arial" w:cs="Arial" w:eastAsia="Arial" w:hAnsi="Arial"/>
                <w:sz w:val="23"/>
                <w:szCs w:val="23"/>
                <w:color w:val="auto"/>
                <w:vertAlign w:val="superscript"/>
              </w:rPr>
              <w:t>(1)</w:t>
            </w:r>
          </w:p>
        </w:tc>
        <w:tc>
          <w:tcPr>
            <w:tcW w:w="246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7"/>
              </w:rPr>
              <w:t>3.5%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- 4.0%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Adjusted EBIT Margin*</w:t>
            </w:r>
          </w:p>
        </w:tc>
        <w:tc>
          <w:tcPr>
            <w:tcW w:w="2460" w:type="dxa"/>
            <w:vAlign w:val="bottom"/>
            <w:vMerge w:val="restart"/>
          </w:tcPr>
          <w:p>
            <w:pPr>
              <w:jc w:val="center"/>
              <w:ind w:left="530"/>
              <w:spacing w:after="0"/>
              <w:rPr>
                <w:sz w:val="20"/>
                <w:szCs w:val="20"/>
                <w:color w:val="auto"/>
              </w:rPr>
            </w:pPr>
            <w:r>
              <w:rPr>
                <w:rFonts w:ascii="Arial" w:cs="Arial" w:eastAsia="Arial" w:hAnsi="Arial"/>
                <w:sz w:val="18"/>
                <w:szCs w:val="18"/>
                <w:color w:val="auto"/>
              </w:rPr>
              <w:t>15.3%</w:t>
            </w: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c>
          <w:tcPr>
            <w:tcW w:w="1200" w:type="dxa"/>
            <w:vAlign w:val="bottom"/>
          </w:tcPr>
          <w:p>
            <w:pPr>
              <w:ind w:left="20"/>
              <w:spacing w:after="0"/>
              <w:rPr>
                <w:sz w:val="20"/>
                <w:szCs w:val="20"/>
                <w:color w:val="auto"/>
              </w:rPr>
            </w:pPr>
            <w:r>
              <w:rPr>
                <w:rFonts w:ascii="Arial" w:cs="Arial" w:eastAsia="Arial" w:hAnsi="Arial"/>
                <w:sz w:val="18"/>
                <w:szCs w:val="18"/>
                <w:color w:val="auto"/>
              </w:rPr>
              <w:t>- 15.7%</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15.5% - 15.7%</w:t>
            </w:r>
          </w:p>
        </w:tc>
        <w:tc>
          <w:tcPr>
            <w:tcW w:w="0" w:type="dxa"/>
            <w:vAlign w:val="bottom"/>
          </w:tcPr>
          <w:p>
            <w:pPr>
              <w:spacing w:after="0"/>
              <w:rPr>
                <w:sz w:val="1"/>
                <w:szCs w:val="1"/>
                <w:color w:val="auto"/>
              </w:rPr>
            </w:pPr>
          </w:p>
        </w:tc>
      </w:tr>
      <w:tr>
        <w:trPr>
          <w:trHeight w:val="113"/>
        </w:trPr>
        <w:tc>
          <w:tcPr>
            <w:tcW w:w="356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2460" w:type="dxa"/>
            <w:vAlign w:val="bottom"/>
            <w:gridSpan w:val="2"/>
            <w:vMerge w:val="restart"/>
          </w:tcPr>
          <w:p>
            <w:pPr>
              <w:jc w:val="center"/>
              <w:ind w:left="92"/>
              <w:spacing w:after="0"/>
              <w:rPr>
                <w:sz w:val="20"/>
                <w:szCs w:val="20"/>
                <w:color w:val="auto"/>
              </w:rPr>
            </w:pPr>
            <w:r>
              <w:rPr>
                <w:rFonts w:ascii="Arial" w:cs="Arial" w:eastAsia="Arial" w:hAnsi="Arial"/>
                <w:sz w:val="16"/>
                <w:szCs w:val="16"/>
                <w:color w:val="auto"/>
                <w:w w:val="99"/>
              </w:rPr>
              <w:t>10 - 40 bps</w:t>
            </w:r>
          </w:p>
        </w:tc>
        <w:tc>
          <w:tcPr>
            <w:tcW w:w="2240" w:type="dxa"/>
            <w:vAlign w:val="bottom"/>
            <w:vMerge w:val="restart"/>
          </w:tcPr>
          <w:p>
            <w:pPr>
              <w:jc w:val="center"/>
              <w:spacing w:after="0"/>
              <w:rPr>
                <w:sz w:val="20"/>
                <w:szCs w:val="20"/>
                <w:color w:val="auto"/>
              </w:rPr>
            </w:pPr>
            <w:r>
              <w:rPr>
                <w:rFonts w:ascii="Arial" w:cs="Arial" w:eastAsia="Arial" w:hAnsi="Arial"/>
                <w:sz w:val="16"/>
                <w:szCs w:val="16"/>
                <w:color w:val="auto"/>
              </w:rPr>
              <w:t>20 - 40 bps</w:t>
            </w:r>
          </w:p>
        </w:tc>
        <w:tc>
          <w:tcPr>
            <w:tcW w:w="0" w:type="dxa"/>
            <w:vAlign w:val="bottom"/>
          </w:tcPr>
          <w:p>
            <w:pPr>
              <w:spacing w:after="0"/>
              <w:rPr>
                <w:sz w:val="1"/>
                <w:szCs w:val="1"/>
                <w:color w:val="auto"/>
              </w:rPr>
            </w:pPr>
          </w:p>
        </w:tc>
      </w:tr>
      <w:tr>
        <w:trPr>
          <w:trHeight w:val="102"/>
        </w:trPr>
        <w:tc>
          <w:tcPr>
            <w:tcW w:w="3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35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
              <w:spacing w:after="0"/>
              <w:rPr>
                <w:sz w:val="20"/>
                <w:szCs w:val="20"/>
                <w:color w:val="auto"/>
              </w:rPr>
            </w:pPr>
            <w:r>
              <w:rPr>
                <w:rFonts w:ascii="Arial" w:cs="Arial" w:eastAsia="Arial" w:hAnsi="Arial"/>
                <w:sz w:val="18"/>
                <w:szCs w:val="18"/>
                <w:color w:val="auto"/>
              </w:rPr>
              <w:t>Adjusted ETR*</w:t>
            </w:r>
          </w:p>
        </w:tc>
        <w:tc>
          <w:tcPr>
            <w:tcW w:w="2460" w:type="dxa"/>
            <w:vAlign w:val="bottom"/>
          </w:tcPr>
          <w:p>
            <w:pPr>
              <w:jc w:val="center"/>
              <w:ind w:left="530"/>
              <w:spacing w:after="0"/>
              <w:rPr>
                <w:sz w:val="20"/>
                <w:szCs w:val="20"/>
                <w:color w:val="auto"/>
              </w:rPr>
            </w:pPr>
            <w:r>
              <w:rPr>
                <w:rFonts w:ascii="Arial" w:cs="Arial" w:eastAsia="Arial" w:hAnsi="Arial"/>
                <w:sz w:val="18"/>
                <w:szCs w:val="18"/>
                <w:color w:val="auto"/>
              </w:rPr>
              <w:t>20.2%</w:t>
            </w: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200" w:type="dxa"/>
            <w:vAlign w:val="bottom"/>
          </w:tcPr>
          <w:p>
            <w:pPr>
              <w:ind w:left="20"/>
              <w:spacing w:after="0"/>
              <w:rPr>
                <w:sz w:val="20"/>
                <w:szCs w:val="20"/>
                <w:color w:val="auto"/>
              </w:rPr>
            </w:pPr>
            <w:r>
              <w:rPr>
                <w:rFonts w:ascii="Arial" w:cs="Arial" w:eastAsia="Arial" w:hAnsi="Arial"/>
                <w:sz w:val="18"/>
                <w:szCs w:val="18"/>
                <w:color w:val="auto"/>
              </w:rPr>
              <w:t>- 21.0%</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Reaffirmed</w:t>
            </w:r>
          </w:p>
        </w:tc>
        <w:tc>
          <w:tcPr>
            <w:tcW w:w="0" w:type="dxa"/>
            <w:vAlign w:val="bottom"/>
          </w:tcPr>
          <w:p>
            <w:pPr>
              <w:spacing w:after="0"/>
              <w:rPr>
                <w:sz w:val="1"/>
                <w:szCs w:val="1"/>
                <w:color w:val="auto"/>
              </w:rPr>
            </w:pPr>
          </w:p>
        </w:tc>
      </w:tr>
      <w:tr>
        <w:trPr>
          <w:trHeight w:val="36"/>
        </w:trPr>
        <w:tc>
          <w:tcPr>
            <w:tcW w:w="35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Adjusted EPS*</w:t>
            </w:r>
          </w:p>
        </w:tc>
        <w:tc>
          <w:tcPr>
            <w:tcW w:w="2460" w:type="dxa"/>
            <w:vAlign w:val="bottom"/>
            <w:vMerge w:val="restart"/>
          </w:tcPr>
          <w:p>
            <w:pPr>
              <w:jc w:val="center"/>
              <w:ind w:left="530"/>
              <w:spacing w:after="0"/>
              <w:rPr>
                <w:sz w:val="20"/>
                <w:szCs w:val="20"/>
                <w:color w:val="auto"/>
              </w:rPr>
            </w:pPr>
            <w:r>
              <w:rPr>
                <w:rFonts w:ascii="Arial" w:cs="Arial" w:eastAsia="Arial" w:hAnsi="Arial"/>
                <w:sz w:val="18"/>
                <w:szCs w:val="18"/>
                <w:color w:val="auto"/>
                <w:w w:val="97"/>
              </w:rPr>
              <w:t>$4.59</w:t>
            </w:r>
          </w:p>
        </w:tc>
        <w:tc>
          <w:tcPr>
            <w:tcW w:w="1260" w:type="dxa"/>
            <w:vAlign w:val="bottom"/>
          </w:tcPr>
          <w:p>
            <w:pPr>
              <w:jc w:val="right"/>
              <w:spacing w:after="0"/>
              <w:rPr>
                <w:sz w:val="20"/>
                <w:szCs w:val="20"/>
                <w:color w:val="auto"/>
              </w:rPr>
            </w:pPr>
            <w:r>
              <w:rPr>
                <w:rFonts w:ascii="Arial" w:cs="Arial" w:eastAsia="Arial" w:hAnsi="Arial"/>
                <w:sz w:val="18"/>
                <w:szCs w:val="18"/>
                <w:color w:val="auto"/>
              </w:rPr>
              <w:t>$4.80</w:t>
            </w:r>
          </w:p>
        </w:tc>
        <w:tc>
          <w:tcPr>
            <w:tcW w:w="1200" w:type="dxa"/>
            <w:vAlign w:val="bottom"/>
          </w:tcPr>
          <w:p>
            <w:pPr>
              <w:ind w:left="20"/>
              <w:spacing w:after="0"/>
              <w:rPr>
                <w:sz w:val="20"/>
                <w:szCs w:val="20"/>
                <w:color w:val="auto"/>
              </w:rPr>
            </w:pPr>
            <w:r>
              <w:rPr>
                <w:rFonts w:ascii="Arial" w:cs="Arial" w:eastAsia="Arial" w:hAnsi="Arial"/>
                <w:sz w:val="18"/>
                <w:szCs w:val="18"/>
                <w:color w:val="auto"/>
              </w:rPr>
              <w:t>- $5.00</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$4.95 - $5.05</w:t>
            </w:r>
          </w:p>
        </w:tc>
        <w:tc>
          <w:tcPr>
            <w:tcW w:w="0" w:type="dxa"/>
            <w:vAlign w:val="bottom"/>
          </w:tcPr>
          <w:p>
            <w:pPr>
              <w:spacing w:after="0"/>
              <w:rPr>
                <w:sz w:val="1"/>
                <w:szCs w:val="1"/>
                <w:color w:val="auto"/>
              </w:rPr>
            </w:pPr>
          </w:p>
        </w:tc>
      </w:tr>
      <w:tr>
        <w:trPr>
          <w:trHeight w:val="113"/>
        </w:trPr>
        <w:tc>
          <w:tcPr>
            <w:tcW w:w="356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2460" w:type="dxa"/>
            <w:vAlign w:val="bottom"/>
            <w:gridSpan w:val="2"/>
            <w:vMerge w:val="restart"/>
          </w:tcPr>
          <w:p>
            <w:pPr>
              <w:jc w:val="right"/>
              <w:ind w:right="610"/>
              <w:spacing w:after="0"/>
              <w:rPr>
                <w:sz w:val="20"/>
                <w:szCs w:val="20"/>
                <w:color w:val="auto"/>
              </w:rPr>
            </w:pPr>
            <w:r>
              <w:rPr>
                <w:rFonts w:ascii="Arial" w:cs="Arial" w:eastAsia="Arial" w:hAnsi="Arial"/>
                <w:sz w:val="16"/>
                <w:szCs w:val="16"/>
                <w:color w:val="auto"/>
              </w:rPr>
              <w:t>4.6% - 9.0%</w:t>
            </w:r>
          </w:p>
        </w:tc>
        <w:tc>
          <w:tcPr>
            <w:tcW w:w="2240" w:type="dxa"/>
            <w:vAlign w:val="bottom"/>
            <w:vMerge w:val="restart"/>
          </w:tcPr>
          <w:p>
            <w:pPr>
              <w:jc w:val="center"/>
              <w:spacing w:after="0"/>
              <w:rPr>
                <w:sz w:val="20"/>
                <w:szCs w:val="20"/>
                <w:color w:val="auto"/>
              </w:rPr>
            </w:pPr>
            <w:r>
              <w:rPr>
                <w:rFonts w:ascii="Arial" w:cs="Arial" w:eastAsia="Arial" w:hAnsi="Arial"/>
                <w:sz w:val="16"/>
                <w:szCs w:val="16"/>
                <w:color w:val="auto"/>
              </w:rPr>
              <w:t>7.9% - 10.1%</w:t>
            </w:r>
          </w:p>
        </w:tc>
        <w:tc>
          <w:tcPr>
            <w:tcW w:w="0" w:type="dxa"/>
            <w:vAlign w:val="bottom"/>
          </w:tcPr>
          <w:p>
            <w:pPr>
              <w:spacing w:after="0"/>
              <w:rPr>
                <w:sz w:val="1"/>
                <w:szCs w:val="1"/>
                <w:color w:val="auto"/>
              </w:rPr>
            </w:pPr>
          </w:p>
        </w:tc>
      </w:tr>
      <w:tr>
        <w:trPr>
          <w:trHeight w:val="102"/>
        </w:trPr>
        <w:tc>
          <w:tcPr>
            <w:tcW w:w="3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35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460" w:type="dxa"/>
            <w:vAlign w:val="bottom"/>
          </w:tcPr>
          <w:p>
            <w:pPr>
              <w:jc w:val="center"/>
              <w:ind w:left="530"/>
              <w:spacing w:after="0"/>
              <w:rPr>
                <w:sz w:val="20"/>
                <w:szCs w:val="20"/>
                <w:color w:val="auto"/>
              </w:rPr>
            </w:pPr>
            <w:r>
              <w:rPr>
                <w:rFonts w:ascii="Arial" w:cs="Arial" w:eastAsia="Arial" w:hAnsi="Arial"/>
                <w:sz w:val="18"/>
                <w:szCs w:val="18"/>
                <w:color w:val="auto"/>
              </w:rPr>
              <w:t>$1.5B</w:t>
            </w:r>
          </w:p>
        </w:tc>
        <w:tc>
          <w:tcPr>
            <w:tcW w:w="2460" w:type="dxa"/>
            <w:vAlign w:val="bottom"/>
            <w:gridSpan w:val="2"/>
          </w:tcPr>
          <w:p>
            <w:pPr>
              <w:jc w:val="center"/>
              <w:ind w:left="92"/>
              <w:spacing w:after="0"/>
              <w:rPr>
                <w:sz w:val="20"/>
                <w:szCs w:val="20"/>
                <w:color w:val="auto"/>
              </w:rPr>
            </w:pPr>
            <w:r>
              <w:rPr>
                <w:rFonts w:ascii="Arial" w:cs="Arial" w:eastAsia="Arial" w:hAnsi="Arial"/>
                <w:sz w:val="18"/>
                <w:szCs w:val="18"/>
                <w:color w:val="auto"/>
                <w:w w:val="97"/>
              </w:rPr>
              <w:t>~$1.6B</w:t>
            </w:r>
          </w:p>
        </w:tc>
        <w:tc>
          <w:tcPr>
            <w:tcW w:w="2240" w:type="dxa"/>
            <w:vAlign w:val="bottom"/>
          </w:tcPr>
          <w:p>
            <w:pPr>
              <w:jc w:val="center"/>
              <w:spacing w:after="0"/>
              <w:rPr>
                <w:sz w:val="20"/>
                <w:szCs w:val="20"/>
                <w:color w:val="auto"/>
              </w:rPr>
            </w:pPr>
            <w:r>
              <w:rPr>
                <w:rFonts w:ascii="Arial" w:cs="Arial" w:eastAsia="Arial" w:hAnsi="Arial"/>
                <w:sz w:val="18"/>
                <w:szCs w:val="18"/>
                <w:color w:val="auto"/>
              </w:rPr>
              <w:t>$1.6B+</w:t>
            </w:r>
          </w:p>
        </w:tc>
        <w:tc>
          <w:tcPr>
            <w:tcW w:w="0" w:type="dxa"/>
            <w:vAlign w:val="bottom"/>
          </w:tcPr>
          <w:p>
            <w:pPr>
              <w:spacing w:after="0"/>
              <w:rPr>
                <w:sz w:val="1"/>
                <w:szCs w:val="1"/>
                <w:color w:val="auto"/>
              </w:rPr>
            </w:pPr>
          </w:p>
        </w:tc>
      </w:tr>
      <w:tr>
        <w:trPr>
          <w:trHeight w:val="36"/>
        </w:trPr>
        <w:tc>
          <w:tcPr>
            <w:tcW w:w="35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500"/>
        <w:spacing w:after="0" w:line="303" w:lineRule="auto"/>
        <w:rPr>
          <w:sz w:val="20"/>
          <w:szCs w:val="20"/>
          <w:color w:val="auto"/>
        </w:rPr>
      </w:pPr>
      <w:r>
        <w:rPr>
          <w:rFonts w:ascii="Arial" w:cs="Arial" w:eastAsia="Arial" w:hAnsi="Arial"/>
          <w:sz w:val="18"/>
          <w:szCs w:val="18"/>
          <w:color w:val="auto"/>
        </w:rPr>
        <w:t>The Company provides its outlook on a non-GAAP basis. Refer to the Non-GAAP financial measures in outlook section below for more details.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Financial rounding</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Certain columns and rows in this document may not sum due to the use of rounded numbers. Percentages presented are calculated from the underlying whole-dollar amounts.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Non-GAAP financial measure.</w:t>
      </w:r>
    </w:p>
    <w:p>
      <w:pPr>
        <w:spacing w:after="0"/>
        <w:rPr>
          <w:sz w:val="20"/>
          <w:szCs w:val="20"/>
          <w:color w:val="auto"/>
        </w:rPr>
      </w:pPr>
      <w:r>
        <w:rPr>
          <w:rFonts w:ascii="Arial" w:cs="Arial" w:eastAsia="Arial" w:hAnsi="Arial"/>
          <w:sz w:val="16"/>
          <w:szCs w:val="16"/>
          <w:color w:val="auto"/>
        </w:rPr>
        <w:t>(1) All comparisons to prior-year period unless otherwise noted.</w:t>
      </w:r>
    </w:p>
    <w:p>
      <w:pPr>
        <w:sectPr>
          <w:pgSz w:w="11900" w:h="16838" w:orient="portrait"/>
          <w:cols w:equalWidth="0" w:num="1">
            <w:col w:w="11220"/>
          </w:cols>
          <w:pgMar w:left="320" w:top="141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022A6"/>
        </w:rPr>
        <w:t>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96"/>
        </w:trPr>
        <w:tc>
          <w:tcPr>
            <w:tcW w:w="4860" w:type="dxa"/>
            <w:vAlign w:val="bottom"/>
          </w:tcPr>
          <w:p>
            <w:pPr>
              <w:spacing w:after="0"/>
              <w:rPr>
                <w:sz w:val="17"/>
                <w:szCs w:val="17"/>
                <w:color w:val="auto"/>
              </w:rPr>
            </w:pPr>
          </w:p>
        </w:tc>
        <w:tc>
          <w:tcPr>
            <w:tcW w:w="3140" w:type="dxa"/>
            <w:vAlign w:val="bottom"/>
            <w:gridSpan w:val="4"/>
          </w:tcPr>
          <w:p>
            <w:pPr>
              <w:ind w:left="60"/>
              <w:spacing w:after="0"/>
              <w:rPr>
                <w:sz w:val="20"/>
                <w:szCs w:val="20"/>
                <w:color w:val="auto"/>
              </w:rPr>
            </w:pPr>
            <w:r>
              <w:rPr>
                <w:rFonts w:ascii="Arial" w:cs="Arial" w:eastAsia="Arial" w:hAnsi="Arial"/>
                <w:sz w:val="16"/>
                <w:szCs w:val="16"/>
                <w:b w:val="1"/>
                <w:bCs w:val="1"/>
                <w:color w:val="454545"/>
              </w:rPr>
              <w:t>For the three months ended September</w:t>
            </w:r>
          </w:p>
        </w:tc>
        <w:tc>
          <w:tcPr>
            <w:tcW w:w="80" w:type="dxa"/>
            <w:vAlign w:val="bottom"/>
          </w:tcPr>
          <w:p>
            <w:pPr>
              <w:spacing w:after="0"/>
              <w:rPr>
                <w:sz w:val="17"/>
                <w:szCs w:val="17"/>
                <w:color w:val="auto"/>
              </w:rPr>
            </w:pPr>
          </w:p>
        </w:tc>
        <w:tc>
          <w:tcPr>
            <w:tcW w:w="31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nine months ended September</w:t>
            </w:r>
          </w:p>
        </w:tc>
      </w:tr>
      <w:tr>
        <w:trPr>
          <w:trHeight w:val="224"/>
        </w:trPr>
        <w:tc>
          <w:tcPr>
            <w:tcW w:w="4860" w:type="dxa"/>
            <w:vAlign w:val="bottom"/>
          </w:tcPr>
          <w:p>
            <w:pPr>
              <w:spacing w:after="0"/>
              <w:rPr>
                <w:sz w:val="19"/>
                <w:szCs w:val="19"/>
                <w:color w:val="auto"/>
              </w:rPr>
            </w:pPr>
          </w:p>
        </w:tc>
        <w:tc>
          <w:tcPr>
            <w:tcW w:w="380" w:type="dxa"/>
            <w:vAlign w:val="bottom"/>
            <w:tcBorders>
              <w:bottom w:val="single" w:sz="8" w:color="454545"/>
            </w:tcBorders>
          </w:tcPr>
          <w:p>
            <w:pPr>
              <w:spacing w:after="0"/>
              <w:rPr>
                <w:sz w:val="19"/>
                <w:szCs w:val="19"/>
                <w:color w:val="auto"/>
              </w:rPr>
            </w:pPr>
          </w:p>
        </w:tc>
        <w:tc>
          <w:tcPr>
            <w:tcW w:w="1560" w:type="dxa"/>
            <w:vAlign w:val="bottom"/>
            <w:tcBorders>
              <w:bottom w:val="single" w:sz="8" w:color="454545"/>
            </w:tcBorders>
            <w:gridSpan w:val="2"/>
          </w:tcPr>
          <w:p>
            <w:pPr>
              <w:jc w:val="right"/>
              <w:ind w:right="199"/>
              <w:spacing w:after="0"/>
              <w:rPr>
                <w:sz w:val="20"/>
                <w:szCs w:val="20"/>
                <w:color w:val="auto"/>
              </w:rPr>
            </w:pPr>
            <w:r>
              <w:rPr>
                <w:rFonts w:ascii="Arial" w:cs="Arial" w:eastAsia="Arial" w:hAnsi="Arial"/>
                <w:sz w:val="16"/>
                <w:szCs w:val="16"/>
                <w:b w:val="1"/>
                <w:bCs w:val="1"/>
                <w:color w:val="454545"/>
              </w:rPr>
              <w:t>30</w:t>
            </w:r>
          </w:p>
        </w:tc>
        <w:tc>
          <w:tcPr>
            <w:tcW w:w="1200" w:type="dxa"/>
            <w:vAlign w:val="bottom"/>
            <w:tcBorders>
              <w:bottom w:val="single" w:sz="8" w:color="454545"/>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454545"/>
            </w:tcBorders>
          </w:tcPr>
          <w:p>
            <w:pPr>
              <w:spacing w:after="0"/>
              <w:rPr>
                <w:sz w:val="19"/>
                <w:szCs w:val="19"/>
                <w:color w:val="auto"/>
              </w:rPr>
            </w:pPr>
          </w:p>
        </w:tc>
        <w:tc>
          <w:tcPr>
            <w:tcW w:w="1580" w:type="dxa"/>
            <w:vAlign w:val="bottom"/>
            <w:tcBorders>
              <w:bottom w:val="single" w:sz="8" w:color="454545"/>
            </w:tcBorders>
            <w:gridSpan w:val="2"/>
          </w:tcPr>
          <w:p>
            <w:pPr>
              <w:jc w:val="right"/>
              <w:ind w:right="179"/>
              <w:spacing w:after="0"/>
              <w:rPr>
                <w:sz w:val="20"/>
                <w:szCs w:val="20"/>
                <w:color w:val="auto"/>
              </w:rPr>
            </w:pPr>
            <w:r>
              <w:rPr>
                <w:rFonts w:ascii="Arial" w:cs="Arial" w:eastAsia="Arial" w:hAnsi="Arial"/>
                <w:sz w:val="16"/>
                <w:szCs w:val="16"/>
                <w:b w:val="1"/>
                <w:bCs w:val="1"/>
                <w:color w:val="454545"/>
              </w:rPr>
              <w:t>30</w:t>
            </w:r>
          </w:p>
        </w:tc>
        <w:tc>
          <w:tcPr>
            <w:tcW w:w="1220" w:type="dxa"/>
            <w:vAlign w:val="bottom"/>
            <w:tcBorders>
              <w:bottom w:val="single" w:sz="8" w:color="454545"/>
            </w:tcBorders>
          </w:tcPr>
          <w:p>
            <w:pPr>
              <w:spacing w:after="0"/>
              <w:rPr>
                <w:sz w:val="19"/>
                <w:szCs w:val="19"/>
                <w:color w:val="auto"/>
              </w:rPr>
            </w:pPr>
          </w:p>
        </w:tc>
      </w:tr>
      <w:tr>
        <w:trPr>
          <w:trHeight w:val="237"/>
        </w:trPr>
        <w:tc>
          <w:tcPr>
            <w:tcW w:w="486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80" w:type="dxa"/>
            <w:vAlign w:val="bottom"/>
            <w:tcBorders>
              <w:bottom w:val="single" w:sz="8" w:color="6022A6"/>
            </w:tcBorders>
          </w:tcPr>
          <w:p>
            <w:pPr>
              <w:spacing w:after="0"/>
              <w:rPr>
                <w:sz w:val="20"/>
                <w:szCs w:val="20"/>
                <w:color w:val="auto"/>
              </w:rPr>
            </w:pPr>
          </w:p>
        </w:tc>
        <w:tc>
          <w:tcPr>
            <w:tcW w:w="120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2026</w:t>
            </w:r>
          </w:p>
        </w:tc>
        <w:tc>
          <w:tcPr>
            <w:tcW w:w="360" w:type="dxa"/>
            <w:vAlign w:val="bottom"/>
            <w:tcBorders>
              <w:bottom w:val="single" w:sz="8" w:color="6022A6"/>
            </w:tcBorders>
          </w:tcPr>
          <w:p>
            <w:pPr>
              <w:spacing w:after="0"/>
              <w:rPr>
                <w:sz w:val="20"/>
                <w:szCs w:val="20"/>
                <w:color w:val="auto"/>
              </w:rPr>
            </w:pPr>
          </w:p>
        </w:tc>
        <w:tc>
          <w:tcPr>
            <w:tcW w:w="120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2025</w:t>
            </w:r>
          </w:p>
        </w:tc>
        <w:tc>
          <w:tcPr>
            <w:tcW w:w="80" w:type="dxa"/>
            <w:vAlign w:val="bottom"/>
            <w:tcBorders>
              <w:bottom w:val="single" w:sz="8" w:color="6022A6"/>
            </w:tcBorders>
          </w:tcPr>
          <w:p>
            <w:pPr>
              <w:spacing w:after="0"/>
              <w:rPr>
                <w:sz w:val="20"/>
                <w:szCs w:val="20"/>
                <w:color w:val="auto"/>
              </w:rPr>
            </w:pPr>
          </w:p>
        </w:tc>
        <w:tc>
          <w:tcPr>
            <w:tcW w:w="360" w:type="dxa"/>
            <w:vAlign w:val="bottom"/>
            <w:tcBorders>
              <w:bottom w:val="single" w:sz="8" w:color="6022A6"/>
            </w:tcBorders>
          </w:tcPr>
          <w:p>
            <w:pPr>
              <w:spacing w:after="0"/>
              <w:rPr>
                <w:sz w:val="20"/>
                <w:szCs w:val="20"/>
                <w:color w:val="auto"/>
              </w:rPr>
            </w:pPr>
          </w:p>
        </w:tc>
        <w:tc>
          <w:tcPr>
            <w:tcW w:w="122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2026</w:t>
            </w:r>
          </w:p>
        </w:tc>
        <w:tc>
          <w:tcPr>
            <w:tcW w:w="360" w:type="dxa"/>
            <w:vAlign w:val="bottom"/>
            <w:tcBorders>
              <w:bottom w:val="single" w:sz="8" w:color="6022A6"/>
            </w:tcBorders>
          </w:tcPr>
          <w:p>
            <w:pPr>
              <w:spacing w:after="0"/>
              <w:rPr>
                <w:sz w:val="20"/>
                <w:szCs w:val="20"/>
                <w:color w:val="auto"/>
              </w:rPr>
            </w:pPr>
          </w:p>
        </w:tc>
        <w:tc>
          <w:tcPr>
            <w:tcW w:w="122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2025</w:t>
            </w:r>
          </w:p>
        </w:tc>
      </w:tr>
      <w:tr>
        <w:trPr>
          <w:trHeight w:val="236"/>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3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3,602</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3,375</w:t>
            </w:r>
          </w:p>
        </w:tc>
        <w:tc>
          <w:tcPr>
            <w:tcW w:w="440" w:type="dxa"/>
            <w:vAlign w:val="bottom"/>
            <w:tcBorders>
              <w:bottom w:val="single" w:sz="8" w:color="E4E4E4"/>
            </w:tcBorders>
            <w:gridSpan w:val="2"/>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10,364</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9,755</w:t>
            </w:r>
          </w:p>
        </w:tc>
      </w:tr>
      <w:tr>
        <w:trPr>
          <w:trHeight w:val="257"/>
        </w:trPr>
        <w:tc>
          <w:tcPr>
            <w:tcW w:w="486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1,911</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1,769</w:t>
            </w:r>
          </w:p>
        </w:tc>
        <w:tc>
          <w:tcPr>
            <w:tcW w:w="8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5,575</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5,172</w:t>
            </w:r>
          </w:p>
        </w:tc>
      </w:tr>
      <w:tr>
        <w:trPr>
          <w:trHeight w:val="255"/>
        </w:trPr>
        <w:tc>
          <w:tcPr>
            <w:tcW w:w="486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5,513</w:t>
            </w:r>
          </w:p>
        </w:tc>
        <w:tc>
          <w:tcPr>
            <w:tcW w:w="36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360" w:type="dxa"/>
            <w:vAlign w:val="bottom"/>
            <w:tcBorders>
              <w:top w:val="single" w:sz="8" w:color="auto"/>
              <w:bottom w:val="single" w:sz="8" w:color="E4E4E4"/>
            </w:tcBorders>
            <w:shd w:val="clear" w:color="auto" w:fill="E4E4E4"/>
          </w:tcPr>
          <w:p>
            <w:pPr>
              <w:spacing w:after="0"/>
              <w:rPr>
                <w:sz w:val="21"/>
                <w:szCs w:val="21"/>
                <w:color w:val="auto"/>
              </w:rPr>
            </w:pPr>
          </w:p>
        </w:tc>
        <w:tc>
          <w:tcPr>
            <w:tcW w:w="12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15,939</w:t>
            </w:r>
          </w:p>
        </w:tc>
        <w:tc>
          <w:tcPr>
            <w:tcW w:w="360" w:type="dxa"/>
            <w:vAlign w:val="bottom"/>
            <w:tcBorders>
              <w:top w:val="single" w:sz="8" w:color="auto"/>
              <w:bottom w:val="single" w:sz="8" w:color="E4E4E4"/>
            </w:tcBorders>
            <w:shd w:val="clear" w:color="auto" w:fill="E4E4E4"/>
          </w:tcPr>
          <w:p>
            <w:pPr>
              <w:spacing w:after="0"/>
              <w:rPr>
                <w:sz w:val="21"/>
                <w:szCs w:val="21"/>
                <w:color w:val="auto"/>
              </w:rPr>
            </w:pPr>
          </w:p>
        </w:tc>
        <w:tc>
          <w:tcPr>
            <w:tcW w:w="12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r>
      <w:tr>
        <w:trPr>
          <w:trHeight w:val="221"/>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2,373</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6,873</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6,392</w:t>
            </w:r>
          </w:p>
        </w:tc>
      </w:tr>
      <w:tr>
        <w:trPr>
          <w:trHeight w:val="29"/>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3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916</w:t>
            </w:r>
          </w:p>
        </w:tc>
        <w:tc>
          <w:tcPr>
            <w:tcW w:w="3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884</w:t>
            </w:r>
          </w:p>
        </w:tc>
        <w:tc>
          <w:tcPr>
            <w:tcW w:w="80" w:type="dxa"/>
            <w:vAlign w:val="bottom"/>
            <w:tcBorders>
              <w:bottom w:val="single" w:sz="8" w:color="auto"/>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2,685</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2,549</w:t>
            </w:r>
          </w:p>
        </w:tc>
      </w:tr>
      <w:tr>
        <w:trPr>
          <w:trHeight w:val="229"/>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2,224</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1,990</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6,381</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5,987</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1,100</w:t>
            </w:r>
          </w:p>
        </w:tc>
        <w:tc>
          <w:tcPr>
            <w:tcW w:w="3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1,045</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3,334</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3,114</w:t>
            </w:r>
          </w:p>
        </w:tc>
      </w:tr>
      <w:tr>
        <w:trPr>
          <w:trHeight w:val="257"/>
        </w:trPr>
        <w:tc>
          <w:tcPr>
            <w:tcW w:w="48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988</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55"/>
        </w:trPr>
        <w:tc>
          <w:tcPr>
            <w:tcW w:w="486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1,419</w:t>
            </w:r>
          </w:p>
        </w:tc>
        <w:tc>
          <w:tcPr>
            <w:tcW w:w="36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1,337</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360" w:type="dxa"/>
            <w:vAlign w:val="bottom"/>
            <w:tcBorders>
              <w:top w:val="single" w:sz="8" w:color="auto"/>
              <w:bottom w:val="single" w:sz="8" w:color="E4E4E4"/>
            </w:tcBorders>
            <w:shd w:val="clear" w:color="auto" w:fill="E4E4E4"/>
          </w:tcPr>
          <w:p>
            <w:pPr>
              <w:spacing w:after="0"/>
              <w:rPr>
                <w:sz w:val="21"/>
                <w:szCs w:val="21"/>
                <w:color w:val="auto"/>
              </w:rPr>
            </w:pPr>
          </w:p>
        </w:tc>
        <w:tc>
          <w:tcPr>
            <w:tcW w:w="12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4,322</w:t>
            </w:r>
          </w:p>
        </w:tc>
        <w:tc>
          <w:tcPr>
            <w:tcW w:w="360" w:type="dxa"/>
            <w:vAlign w:val="bottom"/>
            <w:tcBorders>
              <w:top w:val="single" w:sz="8" w:color="auto"/>
              <w:bottom w:val="single" w:sz="8" w:color="E4E4E4"/>
            </w:tcBorders>
            <w:shd w:val="clear" w:color="auto" w:fill="E4E4E4"/>
          </w:tcPr>
          <w:p>
            <w:pPr>
              <w:spacing w:after="0"/>
              <w:rPr>
                <w:sz w:val="21"/>
                <w:szCs w:val="21"/>
                <w:color w:val="auto"/>
              </w:rPr>
            </w:pPr>
          </w:p>
        </w:tc>
        <w:tc>
          <w:tcPr>
            <w:tcW w:w="12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4,051</w:t>
            </w:r>
          </w:p>
        </w:tc>
      </w:tr>
      <w:tr>
        <w:trPr>
          <w:trHeight w:val="229"/>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805</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653</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2,058</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1,936</w:t>
            </w:r>
          </w:p>
        </w:tc>
      </w:tr>
      <w:tr>
        <w:trPr>
          <w:trHeight w:val="21"/>
        </w:trPr>
        <w:tc>
          <w:tcPr>
            <w:tcW w:w="4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3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335</w:t>
            </w:r>
          </w:p>
        </w:tc>
      </w:tr>
      <w:tr>
        <w:trPr>
          <w:trHeight w:val="228"/>
        </w:trPr>
        <w:tc>
          <w:tcPr>
            <w:tcW w:w="486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9"/>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3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auto"/>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r>
      <w:tr>
        <w:trPr>
          <w:trHeight w:val="229"/>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752</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1,950</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r>
      <w:tr>
        <w:trPr>
          <w:trHeight w:val="21"/>
        </w:trPr>
        <w:tc>
          <w:tcPr>
            <w:tcW w:w="4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3"/>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w:t>
            </w:r>
          </w:p>
        </w:tc>
        <w:tc>
          <w:tcPr>
            <w:tcW w:w="3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80" w:type="dxa"/>
            <w:vAlign w:val="bottom"/>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(342)</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r>
      <w:tr>
        <w:trPr>
          <w:trHeight w:val="223"/>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623</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464</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1,608</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5"/>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8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615</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440" w:type="dxa"/>
            <w:vAlign w:val="bottom"/>
            <w:tcBorders>
              <w:top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1,564</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4860" w:type="dxa"/>
            <w:vAlign w:val="bottom"/>
            <w:shd w:val="clear" w:color="auto" w:fill="E4E4E4"/>
          </w:tcPr>
          <w:p>
            <w:pPr>
              <w:spacing w:after="0"/>
              <w:rPr>
                <w:sz w:val="21"/>
                <w:szCs w:val="21"/>
                <w:color w:val="auto"/>
              </w:rPr>
            </w:pPr>
          </w:p>
        </w:tc>
        <w:tc>
          <w:tcPr>
            <w:tcW w:w="38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2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20" w:type="dxa"/>
            <w:vAlign w:val="bottom"/>
            <w:shd w:val="clear" w:color="auto" w:fill="E4E4E4"/>
          </w:tcPr>
          <w:p>
            <w:pPr>
              <w:spacing w:after="0"/>
              <w:rPr>
                <w:sz w:val="21"/>
                <w:szCs w:val="2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GE HealthCare: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48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0.98</w:t>
            </w:r>
          </w:p>
        </w:tc>
        <w:tc>
          <w:tcPr>
            <w:tcW w:w="80" w:type="dxa"/>
            <w:vAlign w:val="bottom"/>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3.45</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w:t>
            </w:r>
          </w:p>
        </w:tc>
      </w:tr>
      <w:tr>
        <w:trPr>
          <w:trHeight w:val="228"/>
        </w:trPr>
        <w:tc>
          <w:tcPr>
            <w:tcW w:w="4860" w:type="dxa"/>
            <w:vAlign w:val="bottom"/>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9"/>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8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38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2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20" w:type="dxa"/>
            <w:vAlign w:val="bottom"/>
            <w:shd w:val="clear" w:color="auto" w:fill="E4E4E4"/>
          </w:tcPr>
          <w:p>
            <w:pPr>
              <w:spacing w:after="0"/>
              <w:rPr>
                <w:sz w:val="21"/>
                <w:szCs w:val="21"/>
                <w:color w:val="auto"/>
              </w:rPr>
            </w:pPr>
          </w:p>
        </w:tc>
      </w:tr>
      <w:tr>
        <w:trPr>
          <w:trHeight w:val="228"/>
        </w:trPr>
        <w:tc>
          <w:tcPr>
            <w:tcW w:w="4860" w:type="dxa"/>
            <w:vAlign w:val="bottom"/>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9"/>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8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453</w:t>
            </w:r>
          </w:p>
        </w:tc>
        <w:tc>
          <w:tcPr>
            <w:tcW w:w="3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457</w:t>
            </w:r>
          </w:p>
        </w:tc>
        <w:tc>
          <w:tcPr>
            <w:tcW w:w="80" w:type="dxa"/>
            <w:vAlign w:val="bottom"/>
            <w:tcBorders>
              <w:bottom w:val="single" w:sz="8" w:color="auto"/>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458</w:t>
            </w:r>
          </w:p>
        </w:tc>
      </w:tr>
      <w:tr>
        <w:trPr>
          <w:trHeight w:val="20"/>
        </w:trPr>
        <w:tc>
          <w:tcPr>
            <w:tcW w:w="4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7" w:name="page8"/>
    <w:bookmarkEnd w:id="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240" w:type="dxa"/>
            <w:vAlign w:val="bottom"/>
            <w:tcBorders>
              <w:bottom w:val="single" w:sz="8" w:color="454545"/>
            </w:tcBorders>
          </w:tcPr>
          <w:p>
            <w:pPr>
              <w:spacing w:after="0" w:line="20" w:lineRule="exact"/>
              <w:rPr>
                <w:sz w:val="1"/>
                <w:szCs w:val="1"/>
                <w:color w:val="auto"/>
              </w:rPr>
            </w:pPr>
          </w:p>
        </w:tc>
        <w:tc>
          <w:tcPr>
            <w:tcW w:w="19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9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454545"/>
              </w:rPr>
              <w:t>September 30, 2026</w:t>
            </w:r>
          </w:p>
        </w:tc>
        <w:tc>
          <w:tcPr>
            <w:tcW w:w="300" w:type="dxa"/>
            <w:vAlign w:val="bottom"/>
          </w:tcPr>
          <w:p>
            <w:pPr>
              <w:spacing w:after="0"/>
              <w:rPr>
                <w:sz w:val="19"/>
                <w:szCs w:val="19"/>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454545"/>
              </w:rPr>
              <w:t>December 31, 2025</w:t>
            </w:r>
          </w:p>
        </w:tc>
        <w:tc>
          <w:tcPr>
            <w:tcW w:w="0" w:type="dxa"/>
            <w:vAlign w:val="bottom"/>
          </w:tcPr>
          <w:p>
            <w:pPr>
              <w:spacing w:after="0"/>
              <w:rPr>
                <w:sz w:val="1"/>
                <w:szCs w:val="1"/>
                <w:color w:val="auto"/>
              </w:rPr>
            </w:pPr>
          </w:p>
        </w:tc>
      </w:tr>
      <w:tr>
        <w:trPr>
          <w:trHeight w:val="21"/>
        </w:trPr>
        <w:tc>
          <w:tcPr>
            <w:tcW w:w="6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9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2,854</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4,512</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Receivables – net of allowances of $101 and $103</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3,925</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3,955</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E4E4E4"/>
            </w:tcBorders>
            <w:shd w:val="clear" w:color="auto" w:fill="E4E4E4"/>
          </w:tcPr>
          <w:p>
            <w:pPr>
              <w:spacing w:after="0"/>
              <w:rPr>
                <w:sz w:val="20"/>
                <w:szCs w:val="20"/>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2,628</w:t>
            </w:r>
          </w:p>
        </w:tc>
        <w:tc>
          <w:tcPr>
            <w:tcW w:w="300" w:type="dxa"/>
            <w:vAlign w:val="bottom"/>
            <w:tcBorders>
              <w:bottom w:val="single" w:sz="8" w:color="E4E4E4"/>
            </w:tcBorders>
            <w:shd w:val="clear" w:color="auto" w:fill="E4E4E4"/>
          </w:tcPr>
          <w:p>
            <w:pPr>
              <w:spacing w:after="0"/>
              <w:rPr>
                <w:sz w:val="20"/>
                <w:szCs w:val="20"/>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27"/>
        </w:trPr>
        <w:tc>
          <w:tcPr>
            <w:tcW w:w="686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1,365</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p>
        </w:tc>
        <w:tc>
          <w:tcPr>
            <w:tcW w:w="240" w:type="dxa"/>
            <w:vAlign w:val="bottom"/>
            <w:tcBorders>
              <w:bottom w:val="single" w:sz="8" w:color="E4E4E4"/>
            </w:tcBorders>
            <w:shd w:val="clear" w:color="auto" w:fill="E4E4E4"/>
          </w:tcPr>
          <w:p>
            <w:pPr>
              <w:spacing w:after="0"/>
              <w:rPr>
                <w:sz w:val="22"/>
                <w:szCs w:val="22"/>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723</w:t>
            </w:r>
          </w:p>
        </w:tc>
        <w:tc>
          <w:tcPr>
            <w:tcW w:w="300" w:type="dxa"/>
            <w:vAlign w:val="bottom"/>
            <w:tcBorders>
              <w:bottom w:val="single" w:sz="8" w:color="E4E4E4"/>
            </w:tcBorders>
            <w:shd w:val="clear" w:color="auto" w:fill="E4E4E4"/>
          </w:tcPr>
          <w:p>
            <w:pPr>
              <w:spacing w:after="0"/>
              <w:rPr>
                <w:sz w:val="22"/>
                <w:szCs w:val="22"/>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29"/>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11,495</w:t>
            </w: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12,501</w:t>
            </w:r>
          </w:p>
        </w:tc>
        <w:tc>
          <w:tcPr>
            <w:tcW w:w="0" w:type="dxa"/>
            <w:vAlign w:val="bottom"/>
          </w:tcPr>
          <w:p>
            <w:pPr>
              <w:spacing w:after="0"/>
              <w:rPr>
                <w:sz w:val="1"/>
                <w:szCs w:val="1"/>
                <w:color w:val="auto"/>
              </w:rPr>
            </w:pPr>
          </w:p>
        </w:tc>
      </w:tr>
      <w:tr>
        <w:trPr>
          <w:trHeight w:val="21"/>
        </w:trPr>
        <w:tc>
          <w:tcPr>
            <w:tcW w:w="6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 – net</w:t>
            </w:r>
          </w:p>
        </w:tc>
        <w:tc>
          <w:tcPr>
            <w:tcW w:w="240" w:type="dxa"/>
            <w:vAlign w:val="bottom"/>
            <w:tcBorders>
              <w:bottom w:val="single" w:sz="8" w:color="E4E4E4"/>
            </w:tcBorders>
            <w:shd w:val="clear" w:color="auto" w:fill="E4E4E4"/>
          </w:tcPr>
          <w:p>
            <w:pPr>
              <w:spacing w:after="0"/>
              <w:rPr>
                <w:sz w:val="20"/>
                <w:szCs w:val="20"/>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3,219</w:t>
            </w:r>
          </w:p>
        </w:tc>
        <w:tc>
          <w:tcPr>
            <w:tcW w:w="300" w:type="dxa"/>
            <w:vAlign w:val="bottom"/>
            <w:tcBorders>
              <w:bottom w:val="single" w:sz="8" w:color="E4E4E4"/>
            </w:tcBorders>
            <w:shd w:val="clear" w:color="auto" w:fill="E4E4E4"/>
          </w:tcPr>
          <w:p>
            <w:pPr>
              <w:spacing w:after="0"/>
              <w:rPr>
                <w:sz w:val="20"/>
                <w:szCs w:val="20"/>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3,092</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15,140</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13,489</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 – net</w:t>
            </w:r>
          </w:p>
        </w:tc>
        <w:tc>
          <w:tcPr>
            <w:tcW w:w="240" w:type="dxa"/>
            <w:vAlign w:val="bottom"/>
            <w:tcBorders>
              <w:bottom w:val="single" w:sz="8" w:color="E4E4E4"/>
            </w:tcBorders>
            <w:shd w:val="clear" w:color="auto" w:fill="E4E4E4"/>
          </w:tcPr>
          <w:p>
            <w:pPr>
              <w:spacing w:after="0"/>
              <w:rPr>
                <w:sz w:val="20"/>
                <w:szCs w:val="20"/>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1,812</w:t>
            </w:r>
          </w:p>
        </w:tc>
        <w:tc>
          <w:tcPr>
            <w:tcW w:w="300" w:type="dxa"/>
            <w:vAlign w:val="bottom"/>
            <w:tcBorders>
              <w:bottom w:val="single" w:sz="8" w:color="E4E4E4"/>
            </w:tcBorders>
            <w:shd w:val="clear" w:color="auto" w:fill="E4E4E4"/>
          </w:tcPr>
          <w:p>
            <w:pPr>
              <w:spacing w:after="0"/>
              <w:rPr>
                <w:sz w:val="20"/>
                <w:szCs w:val="20"/>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27"/>
        </w:trPr>
        <w:tc>
          <w:tcPr>
            <w:tcW w:w="68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4,423</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240" w:type="dxa"/>
            <w:vAlign w:val="bottom"/>
            <w:tcBorders>
              <w:bottom w:val="single" w:sz="8" w:color="E4E4E4"/>
            </w:tcBorders>
            <w:shd w:val="clear" w:color="auto" w:fill="E4E4E4"/>
          </w:tcPr>
          <w:p>
            <w:pPr>
              <w:spacing w:after="0"/>
              <w:rPr>
                <w:sz w:val="22"/>
                <w:szCs w:val="22"/>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2,283</w:t>
            </w:r>
          </w:p>
        </w:tc>
        <w:tc>
          <w:tcPr>
            <w:tcW w:w="300" w:type="dxa"/>
            <w:vAlign w:val="bottom"/>
            <w:tcBorders>
              <w:bottom w:val="single" w:sz="8" w:color="E4E4E4"/>
            </w:tcBorders>
            <w:shd w:val="clear" w:color="auto" w:fill="E4E4E4"/>
          </w:tcPr>
          <w:p>
            <w:pPr>
              <w:spacing w:after="0"/>
              <w:rPr>
                <w:sz w:val="22"/>
                <w:szCs w:val="22"/>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229"/>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38,371</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c>
          <w:tcPr>
            <w:tcW w:w="0" w:type="dxa"/>
            <w:vAlign w:val="bottom"/>
          </w:tcPr>
          <w:p>
            <w:pPr>
              <w:spacing w:after="0"/>
              <w:rPr>
                <w:sz w:val="1"/>
                <w:szCs w:val="1"/>
                <w:color w:val="auto"/>
              </w:rPr>
            </w:pPr>
          </w:p>
        </w:tc>
      </w:tr>
      <w:tr>
        <w:trPr>
          <w:trHeight w:val="21"/>
        </w:trPr>
        <w:tc>
          <w:tcPr>
            <w:tcW w:w="6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 borrowings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3,320</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40" w:type="dxa"/>
            <w:vAlign w:val="bottom"/>
            <w:tcBorders>
              <w:bottom w:val="single" w:sz="8" w:color="E4E4E4"/>
            </w:tcBorders>
            <w:shd w:val="clear" w:color="auto" w:fill="E4E4E4"/>
          </w:tcPr>
          <w:p>
            <w:pPr>
              <w:spacing w:after="0"/>
              <w:rPr>
                <w:sz w:val="20"/>
                <w:szCs w:val="20"/>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2,251</w:t>
            </w:r>
          </w:p>
        </w:tc>
        <w:tc>
          <w:tcPr>
            <w:tcW w:w="300" w:type="dxa"/>
            <w:vAlign w:val="bottom"/>
            <w:tcBorders>
              <w:bottom w:val="single" w:sz="8" w:color="E4E4E4"/>
            </w:tcBorders>
            <w:shd w:val="clear" w:color="auto" w:fill="E4E4E4"/>
          </w:tcPr>
          <w:p>
            <w:pPr>
              <w:spacing w:after="0"/>
              <w:rPr>
                <w:sz w:val="20"/>
                <w:szCs w:val="20"/>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1,626</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240" w:type="dxa"/>
            <w:vAlign w:val="bottom"/>
            <w:tcBorders>
              <w:bottom w:val="single" w:sz="8" w:color="E4E4E4"/>
            </w:tcBorders>
            <w:shd w:val="clear" w:color="auto" w:fill="E4E4E4"/>
          </w:tcPr>
          <w:p>
            <w:pPr>
              <w:spacing w:after="0"/>
              <w:rPr>
                <w:sz w:val="22"/>
                <w:szCs w:val="22"/>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1,615</w:t>
            </w:r>
          </w:p>
        </w:tc>
        <w:tc>
          <w:tcPr>
            <w:tcW w:w="300" w:type="dxa"/>
            <w:vAlign w:val="bottom"/>
            <w:tcBorders>
              <w:bottom w:val="single" w:sz="8" w:color="E4E4E4"/>
            </w:tcBorders>
            <w:shd w:val="clear" w:color="auto" w:fill="E4E4E4"/>
          </w:tcPr>
          <w:p>
            <w:pPr>
              <w:spacing w:after="0"/>
              <w:rPr>
                <w:sz w:val="22"/>
                <w:szCs w:val="22"/>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29"/>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8,815</w:t>
            </w: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9,105</w:t>
            </w:r>
          </w:p>
        </w:tc>
        <w:tc>
          <w:tcPr>
            <w:tcW w:w="0" w:type="dxa"/>
            <w:vAlign w:val="bottom"/>
          </w:tcPr>
          <w:p>
            <w:pPr>
              <w:spacing w:after="0"/>
              <w:rPr>
                <w:sz w:val="1"/>
                <w:szCs w:val="1"/>
                <w:color w:val="auto"/>
              </w:rPr>
            </w:pPr>
          </w:p>
        </w:tc>
      </w:tr>
      <w:tr>
        <w:trPr>
          <w:trHeight w:val="21"/>
        </w:trPr>
        <w:tc>
          <w:tcPr>
            <w:tcW w:w="6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240" w:type="dxa"/>
            <w:vAlign w:val="bottom"/>
            <w:tcBorders>
              <w:bottom w:val="single" w:sz="8" w:color="E4E4E4"/>
            </w:tcBorders>
            <w:shd w:val="clear" w:color="auto" w:fill="E4E4E4"/>
          </w:tcPr>
          <w:p>
            <w:pPr>
              <w:spacing w:after="0"/>
              <w:rPr>
                <w:sz w:val="20"/>
                <w:szCs w:val="20"/>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9,970</w:t>
            </w:r>
          </w:p>
        </w:tc>
        <w:tc>
          <w:tcPr>
            <w:tcW w:w="300" w:type="dxa"/>
            <w:vAlign w:val="bottom"/>
            <w:tcBorders>
              <w:bottom w:val="single" w:sz="8" w:color="E4E4E4"/>
            </w:tcBorders>
            <w:shd w:val="clear" w:color="auto" w:fill="E4E4E4"/>
          </w:tcPr>
          <w:p>
            <w:pPr>
              <w:spacing w:after="0"/>
              <w:rPr>
                <w:sz w:val="20"/>
                <w:szCs w:val="20"/>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9,495</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5,107</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E4E4E4"/>
            </w:tcBorders>
            <w:shd w:val="clear" w:color="auto" w:fill="E4E4E4"/>
          </w:tcPr>
          <w:p>
            <w:pPr>
              <w:spacing w:after="0"/>
              <w:rPr>
                <w:sz w:val="20"/>
                <w:szCs w:val="20"/>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w:t>
            </w:r>
          </w:p>
        </w:tc>
        <w:tc>
          <w:tcPr>
            <w:tcW w:w="300" w:type="dxa"/>
            <w:vAlign w:val="bottom"/>
            <w:tcBorders>
              <w:bottom w:val="single" w:sz="8" w:color="E4E4E4"/>
            </w:tcBorders>
            <w:shd w:val="clear" w:color="auto" w:fill="E4E4E4"/>
          </w:tcPr>
          <w:p>
            <w:pPr>
              <w:spacing w:after="0"/>
              <w:rPr>
                <w:sz w:val="20"/>
                <w:szCs w:val="20"/>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2,297</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9"/>
        </w:trPr>
        <w:tc>
          <w:tcPr>
            <w:tcW w:w="6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E4E4E4"/>
            </w:tcBorders>
            <w:shd w:val="clear" w:color="auto" w:fill="E4E4E4"/>
          </w:tcPr>
          <w:p>
            <w:pPr>
              <w:spacing w:after="0"/>
              <w:rPr>
                <w:sz w:val="21"/>
                <w:szCs w:val="21"/>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26,508</w:t>
            </w:r>
          </w:p>
        </w:tc>
        <w:tc>
          <w:tcPr>
            <w:tcW w:w="300" w:type="dxa"/>
            <w:vAlign w:val="bottom"/>
            <w:tcBorders>
              <w:bottom w:val="single" w:sz="8" w:color="E4E4E4"/>
            </w:tcBorders>
            <w:shd w:val="clear" w:color="auto" w:fill="E4E4E4"/>
          </w:tcPr>
          <w:p>
            <w:pPr>
              <w:spacing w:after="0"/>
              <w:rPr>
                <w:sz w:val="21"/>
                <w:szCs w:val="21"/>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26,307</w:t>
            </w:r>
          </w:p>
        </w:tc>
        <w:tc>
          <w:tcPr>
            <w:tcW w:w="0" w:type="dxa"/>
            <w:vAlign w:val="bottom"/>
          </w:tcPr>
          <w:p>
            <w:pPr>
              <w:spacing w:after="0"/>
              <w:rPr>
                <w:sz w:val="1"/>
                <w:szCs w:val="1"/>
                <w:color w:val="auto"/>
              </w:rPr>
            </w:pPr>
          </w:p>
        </w:tc>
      </w:tr>
      <w:tr>
        <w:trPr>
          <w:trHeight w:val="221"/>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40" w:type="dxa"/>
            <w:vAlign w:val="bottom"/>
            <w:tcBorders>
              <w:bottom w:val="single" w:sz="8" w:color="E4E4E4"/>
            </w:tcBorders>
            <w:shd w:val="clear" w:color="auto" w:fill="E4E4E4"/>
          </w:tcPr>
          <w:p>
            <w:pPr>
              <w:spacing w:after="0"/>
              <w:rPr>
                <w:sz w:val="20"/>
                <w:szCs w:val="20"/>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234</w:t>
            </w:r>
          </w:p>
        </w:tc>
        <w:tc>
          <w:tcPr>
            <w:tcW w:w="300" w:type="dxa"/>
            <w:vAlign w:val="bottom"/>
            <w:tcBorders>
              <w:bottom w:val="single" w:sz="8" w:color="E4E4E4"/>
            </w:tcBorders>
            <w:shd w:val="clear" w:color="auto" w:fill="E4E4E4"/>
          </w:tcPr>
          <w:p>
            <w:pPr>
              <w:spacing w:after="0"/>
              <w:rPr>
                <w:sz w:val="20"/>
                <w:szCs w:val="20"/>
                <w:color w:val="auto"/>
              </w:rPr>
            </w:pP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0" w:type="dxa"/>
            <w:vAlign w:val="bottom"/>
          </w:tcPr>
          <w:p>
            <w:pPr>
              <w:spacing w:after="0"/>
              <w:rPr>
                <w:sz w:val="1"/>
                <w:szCs w:val="1"/>
                <w:color w:val="auto"/>
              </w:rPr>
            </w:pPr>
          </w:p>
        </w:tc>
      </w:tr>
      <w:tr>
        <w:trPr>
          <w:trHeight w:val="20"/>
        </w:trPr>
        <w:tc>
          <w:tcPr>
            <w:tcW w:w="6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right="960"/>
        <w:spacing w:after="0" w:line="299" w:lineRule="auto"/>
        <w:rPr>
          <w:sz w:val="20"/>
          <w:szCs w:val="20"/>
          <w:color w:val="auto"/>
        </w:rPr>
      </w:pPr>
      <w:r>
        <w:rPr>
          <w:rFonts w:ascii="Arial" w:cs="Arial" w:eastAsia="Arial" w:hAnsi="Arial"/>
          <w:sz w:val="16"/>
          <w:szCs w:val="16"/>
          <w:color w:val="auto"/>
        </w:rPr>
        <w:t>Common stock, par value $0.01 per share, 1,000,000,000 shares authorized, 459,920,180 shares issued as of September 30, 2026; 458,844,209 shares issued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right="1080"/>
        <w:spacing w:after="0" w:line="299" w:lineRule="auto"/>
        <w:rPr>
          <w:sz w:val="20"/>
          <w:szCs w:val="20"/>
          <w:color w:val="auto"/>
        </w:rPr>
      </w:pPr>
      <w:r>
        <w:rPr>
          <w:rFonts w:ascii="Arial" w:cs="Arial" w:eastAsia="Arial" w:hAnsi="Arial"/>
          <w:sz w:val="16"/>
          <w:szCs w:val="16"/>
          <w:color w:val="auto"/>
        </w:rPr>
        <w:t>Treasury stock, at cost, 7,785,199 shares as of September 30, 2026 and 3,107,626 shares as of December 31, 2025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Retained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other comprehensive income (loss) – net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275" w:lineRule="exact"/>
        <w:rPr>
          <w:sz w:val="20"/>
          <w:szCs w:val="20"/>
          <w:color w:val="auto"/>
        </w:rPr>
      </w:pPr>
    </w:p>
    <w:p>
      <w:pPr>
        <w:ind w:left="120"/>
        <w:spacing w:after="0"/>
        <w:tabs>
          <w:tab w:leader="none" w:pos="2300" w:val="left"/>
        </w:tabs>
        <w:rPr>
          <w:sz w:val="20"/>
          <w:szCs w:val="20"/>
          <w:color w:val="auto"/>
        </w:rPr>
      </w:pPr>
      <w:r>
        <w:rPr>
          <w:rFonts w:ascii="Arial" w:cs="Arial" w:eastAsia="Arial" w:hAnsi="Arial"/>
          <w:sz w:val="16"/>
          <w:szCs w:val="16"/>
          <w:color w:val="auto"/>
        </w:rPr>
        <w:t>(525)</w:t>
      </w:r>
      <w:r>
        <w:rPr>
          <w:sz w:val="20"/>
          <w:szCs w:val="20"/>
          <w:color w:val="auto"/>
        </w:rPr>
        <w:tab/>
      </w:r>
      <w:r>
        <w:rPr>
          <w:rFonts w:ascii="Arial" w:cs="Arial" w:eastAsia="Arial" w:hAnsi="Arial"/>
          <w:sz w:val="16"/>
          <w:szCs w:val="16"/>
          <w:color w:val="auto"/>
        </w:rPr>
        <w:t>(225)</w:t>
      </w:r>
    </w:p>
    <w:p>
      <w:pPr>
        <w:spacing w:after="0" w:line="181"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16"/>
          <w:szCs w:val="16"/>
          <w:color w:val="auto"/>
        </w:rPr>
        <w:t>6,797</w:t>
      </w:r>
      <w:r>
        <w:rPr>
          <w:sz w:val="20"/>
          <w:szCs w:val="20"/>
          <w:color w:val="auto"/>
        </w:rPr>
        <w:tab/>
      </w:r>
      <w:r>
        <w:rPr>
          <w:rFonts w:ascii="Arial" w:cs="Arial" w:eastAsia="Arial" w:hAnsi="Arial"/>
          <w:sz w:val="16"/>
          <w:szCs w:val="16"/>
          <w:color w:val="auto"/>
        </w:rPr>
        <w:t>6,707</w:t>
      </w:r>
    </w:p>
    <w:p>
      <w:pPr>
        <w:spacing w:after="0" w:line="73"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16"/>
          <w:szCs w:val="16"/>
          <w:color w:val="auto"/>
        </w:rPr>
        <w:t>6,795</w:t>
      </w:r>
      <w:r>
        <w:rPr>
          <w:sz w:val="20"/>
          <w:szCs w:val="20"/>
          <w:color w:val="auto"/>
        </w:rPr>
        <w:tab/>
      </w:r>
      <w:r>
        <w:rPr>
          <w:rFonts w:ascii="Arial" w:cs="Arial" w:eastAsia="Arial" w:hAnsi="Arial"/>
          <w:sz w:val="16"/>
          <w:szCs w:val="16"/>
          <w:color w:val="auto"/>
        </w:rPr>
        <w:t>5,281</w:t>
      </w:r>
    </w:p>
    <w:p>
      <w:pPr>
        <w:spacing w:after="0" w:line="73"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(1,459)</w:t>
      </w:r>
      <w:r>
        <w:rPr>
          <w:sz w:val="20"/>
          <w:szCs w:val="20"/>
          <w:color w:val="auto"/>
        </w:rPr>
        <w:tab/>
      </w:r>
      <w:r>
        <w:rPr>
          <w:rFonts w:ascii="Arial" w:cs="Arial" w:eastAsia="Arial" w:hAnsi="Arial"/>
          <w:sz w:val="16"/>
          <w:szCs w:val="16"/>
          <w:color w:val="auto"/>
        </w:rPr>
        <w:t>(1,388)</w:t>
      </w:r>
    </w:p>
    <w:p>
      <w:pPr>
        <w:spacing w:after="0" w:line="40" w:lineRule="exact"/>
        <w:rPr>
          <w:sz w:val="20"/>
          <w:szCs w:val="20"/>
          <w:color w:val="auto"/>
        </w:rPr>
      </w:pPr>
    </w:p>
    <w:p>
      <w:pPr>
        <w:sectPr>
          <w:pgSz w:w="11900" w:h="16838" w:orient="portrait"/>
          <w:cols w:equalWidth="0" w:num="2">
            <w:col w:w="7800" w:space="720"/>
            <w:col w:w="2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92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1820" w:type="dxa"/>
            <w:vAlign w:val="bottom"/>
            <w:tcBorders>
              <w:top w:val="single" w:sz="8" w:color="auto"/>
              <w:bottom w:val="single" w:sz="8" w:color="E4E4E4"/>
            </w:tcBorders>
            <w:shd w:val="clear" w:color="auto" w:fill="E4E4E4"/>
          </w:tcPr>
          <w:p>
            <w:pPr>
              <w:spacing w:after="0"/>
              <w:rPr>
                <w:sz w:val="21"/>
                <w:szCs w:val="21"/>
                <w:color w:val="auto"/>
              </w:rPr>
            </w:pPr>
          </w:p>
        </w:tc>
        <w:tc>
          <w:tcPr>
            <w:tcW w:w="13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11,614</w:t>
            </w:r>
          </w:p>
        </w:tc>
        <w:tc>
          <w:tcPr>
            <w:tcW w:w="880" w:type="dxa"/>
            <w:vAlign w:val="bottom"/>
            <w:tcBorders>
              <w:top w:val="single" w:sz="8" w:color="auto"/>
              <w:bottom w:val="single" w:sz="8" w:color="E4E4E4"/>
            </w:tcBorders>
            <w:shd w:val="clear" w:color="auto" w:fill="E4E4E4"/>
          </w:tcPr>
          <w:p>
            <w:pPr>
              <w:spacing w:after="0"/>
              <w:rPr>
                <w:sz w:val="21"/>
                <w:szCs w:val="21"/>
                <w:color w:val="auto"/>
              </w:rPr>
            </w:pPr>
          </w:p>
        </w:tc>
        <w:tc>
          <w:tcPr>
            <w:tcW w:w="13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10,379</w:t>
            </w:r>
          </w:p>
        </w:tc>
      </w:tr>
      <w:tr>
        <w:trPr>
          <w:trHeight w:val="228"/>
        </w:trPr>
        <w:tc>
          <w:tcPr>
            <w:tcW w:w="59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8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5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59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182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11,630</w:t>
            </w:r>
          </w:p>
        </w:tc>
        <w:tc>
          <w:tcPr>
            <w:tcW w:w="88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10,390</w:t>
            </w:r>
          </w:p>
        </w:tc>
      </w:tr>
      <w:tr>
        <w:trPr>
          <w:trHeight w:val="229"/>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182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38,371</w:t>
            </w:r>
          </w:p>
        </w:tc>
        <w:tc>
          <w:tcPr>
            <w:tcW w:w="88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r>
      <w:tr>
        <w:trPr>
          <w:trHeight w:val="21"/>
        </w:trPr>
        <w:tc>
          <w:tcPr>
            <w:tcW w:w="5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6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50"/>
        </w:trPr>
        <w:tc>
          <w:tcPr>
            <w:tcW w:w="76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60" w:type="dxa"/>
            <w:vAlign w:val="bottom"/>
            <w:tcBorders>
              <w:bottom w:val="single" w:sz="8" w:color="6022A6"/>
            </w:tcBorders>
          </w:tcPr>
          <w:p>
            <w:pPr>
              <w:spacing w:after="0"/>
              <w:rPr>
                <w:sz w:val="21"/>
                <w:szCs w:val="21"/>
                <w:color w:val="auto"/>
              </w:rPr>
            </w:pPr>
          </w:p>
        </w:tc>
        <w:tc>
          <w:tcPr>
            <w:tcW w:w="162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2026</w:t>
            </w:r>
          </w:p>
        </w:tc>
        <w:tc>
          <w:tcPr>
            <w:tcW w:w="42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2025</w:t>
            </w:r>
          </w:p>
        </w:tc>
      </w:tr>
      <w:tr>
        <w:trPr>
          <w:trHeight w:val="230"/>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1,608</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1,552</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235</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r>
      <w:tr>
        <w:trPr>
          <w:trHeight w:val="227"/>
        </w:trPr>
        <w:tc>
          <w:tcPr>
            <w:tcW w:w="76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241</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Gain on remeasurement of Nihon Medi-Physics equity method investment</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r>
      <w:tr>
        <w:trPr>
          <w:trHeight w:val="228"/>
        </w:trPr>
        <w:tc>
          <w:tcPr>
            <w:tcW w:w="7680" w:type="dxa"/>
            <w:vAlign w:val="bottom"/>
          </w:tcPr>
          <w:p>
            <w:pPr>
              <w:ind w:left="140"/>
              <w:spacing w:after="0"/>
              <w:rPr>
                <w:sz w:val="20"/>
                <w:szCs w:val="20"/>
                <w:color w:val="auto"/>
              </w:rPr>
            </w:pPr>
            <w:r>
              <w:rPr>
                <w:rFonts w:ascii="Arial" w:cs="Arial" w:eastAsia="Arial" w:hAnsi="Arial"/>
                <w:sz w:val="16"/>
                <w:szCs w:val="16"/>
                <w:color w:val="auto"/>
              </w:rPr>
              <w:t>Net periodic postretirement benefit plan (income) expense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(140)</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Postretirement plan contributions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(260)</w:t>
            </w:r>
          </w:p>
        </w:tc>
      </w:tr>
      <w:tr>
        <w:trPr>
          <w:trHeight w:val="227"/>
        </w:trPr>
        <w:tc>
          <w:tcPr>
            <w:tcW w:w="768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116</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6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342</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r>
      <w:tr>
        <w:trPr>
          <w:trHeight w:val="228"/>
        </w:trPr>
        <w:tc>
          <w:tcPr>
            <w:tcW w:w="7680" w:type="dxa"/>
            <w:vAlign w:val="bottom"/>
          </w:tcPr>
          <w:p>
            <w:pPr>
              <w:ind w:left="140"/>
              <w:spacing w:after="0"/>
              <w:rPr>
                <w:sz w:val="20"/>
                <w:szCs w:val="20"/>
                <w:color w:val="auto"/>
              </w:rPr>
            </w:pPr>
            <w:r>
              <w:rPr>
                <w:rFonts w:ascii="Arial" w:cs="Arial" w:eastAsia="Arial" w:hAnsi="Arial"/>
                <w:sz w:val="16"/>
                <w:szCs w:val="16"/>
                <w:color w:val="auto"/>
              </w:rPr>
              <w:t>Cash paid during the year for income taxes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(301)</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160" w:type="dxa"/>
            <w:vAlign w:val="bottom"/>
            <w:shd w:val="clear" w:color="auto" w:fill="E4E4E4"/>
          </w:tcPr>
          <w:p>
            <w:pPr>
              <w:spacing w:after="0"/>
              <w:rPr>
                <w:sz w:val="20"/>
                <w:szCs w:val="20"/>
                <w:color w:val="auto"/>
              </w:rPr>
            </w:pPr>
          </w:p>
        </w:tc>
        <w:tc>
          <w:tcPr>
            <w:tcW w:w="1620" w:type="dxa"/>
            <w:vAlign w:val="bottom"/>
            <w:shd w:val="clear" w:color="auto" w:fill="E4E4E4"/>
          </w:tcPr>
          <w:p>
            <w:pPr>
              <w:spacing w:after="0"/>
              <w:rPr>
                <w:sz w:val="20"/>
                <w:szCs w:val="20"/>
                <w:color w:val="auto"/>
              </w:rPr>
            </w:pPr>
          </w:p>
        </w:tc>
        <w:tc>
          <w:tcPr>
            <w:tcW w:w="420" w:type="dxa"/>
            <w:vAlign w:val="bottom"/>
            <w:shd w:val="clear" w:color="auto" w:fill="E4E4E4"/>
          </w:tcPr>
          <w:p>
            <w:pPr>
              <w:spacing w:after="0"/>
              <w:rPr>
                <w:sz w:val="20"/>
                <w:szCs w:val="20"/>
                <w:color w:val="auto"/>
              </w:rPr>
            </w:pPr>
          </w:p>
        </w:tc>
        <w:tc>
          <w:tcPr>
            <w:tcW w:w="1360" w:type="dxa"/>
            <w:vAlign w:val="bottom"/>
            <w:shd w:val="clear" w:color="auto" w:fill="E4E4E4"/>
          </w:tcPr>
          <w:p>
            <w:pPr>
              <w:spacing w:after="0"/>
              <w:rPr>
                <w:sz w:val="20"/>
                <w:szCs w:val="20"/>
                <w:color w:val="auto"/>
              </w:rPr>
            </w:pPr>
          </w:p>
        </w:tc>
      </w:tr>
      <w:tr>
        <w:trPr>
          <w:trHeight w:val="227"/>
        </w:trPr>
        <w:tc>
          <w:tcPr>
            <w:tcW w:w="768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6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(430)</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w:t>
            </w:r>
          </w:p>
        </w:tc>
      </w:tr>
      <w:tr>
        <w:trPr>
          <w:trHeight w:val="228"/>
        </w:trPr>
        <w:tc>
          <w:tcPr>
            <w:tcW w:w="7680" w:type="dxa"/>
            <w:vAlign w:val="bottom"/>
          </w:tcPr>
          <w:p>
            <w:pPr>
              <w:ind w:left="240"/>
              <w:spacing w:after="0"/>
              <w:rPr>
                <w:sz w:val="20"/>
                <w:szCs w:val="20"/>
                <w:color w:val="auto"/>
              </w:rPr>
            </w:pPr>
            <w:r>
              <w:rPr>
                <w:rFonts w:ascii="Arial" w:cs="Arial" w:eastAsia="Arial" w:hAnsi="Arial"/>
                <w:sz w:val="16"/>
                <w:szCs w:val="16"/>
                <w:color w:val="auto"/>
              </w:rPr>
              <w:t>Contract and other deferred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(265)</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w:t>
            </w:r>
          </w:p>
        </w:tc>
      </w:tr>
      <w:tr>
        <w:trPr>
          <w:trHeight w:val="228"/>
        </w:trPr>
        <w:tc>
          <w:tcPr>
            <w:tcW w:w="768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130</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7"/>
        </w:trPr>
        <w:tc>
          <w:tcPr>
            <w:tcW w:w="7680" w:type="dxa"/>
            <w:vAlign w:val="bottom"/>
          </w:tcPr>
          <w:p>
            <w:pPr>
              <w:ind w:left="140"/>
              <w:spacing w:after="0"/>
              <w:rPr>
                <w:sz w:val="20"/>
                <w:szCs w:val="20"/>
                <w:color w:val="auto"/>
              </w:rPr>
            </w:pPr>
            <w:r>
              <w:rPr>
                <w:rFonts w:ascii="Arial" w:cs="Arial" w:eastAsia="Arial" w:hAnsi="Arial"/>
                <w:sz w:val="16"/>
                <w:szCs w:val="16"/>
                <w:color w:val="auto"/>
              </w:rPr>
              <w:t>All other operating activities –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9"/>
        </w:trPr>
        <w:tc>
          <w:tcPr>
            <w:tcW w:w="7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w:t>
            </w:r>
          </w:p>
        </w:tc>
        <w:tc>
          <w:tcPr>
            <w:tcW w:w="16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1,365</w:t>
            </w:r>
          </w:p>
        </w:tc>
        <w:tc>
          <w:tcPr>
            <w:tcW w:w="4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937</w:t>
            </w:r>
          </w:p>
        </w:tc>
      </w:tr>
      <w:tr>
        <w:trPr>
          <w:trHeight w:val="229"/>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1"/>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6"/>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(392)</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(348)</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(2,293)</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investments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All other investing activities –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9"/>
        </w:trPr>
        <w:tc>
          <w:tcPr>
            <w:tcW w:w="7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w:t>
            </w:r>
          </w:p>
        </w:tc>
        <w:tc>
          <w:tcPr>
            <w:tcW w:w="16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(2,726)</w:t>
            </w:r>
          </w:p>
        </w:tc>
        <w:tc>
          <w:tcPr>
            <w:tcW w:w="4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(778)</w:t>
            </w:r>
          </w:p>
        </w:tc>
      </w:tr>
      <w:tr>
        <w:trPr>
          <w:trHeight w:val="229"/>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1"/>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6"/>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1,151</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(1,013)</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(265)</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All other financing activities –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9"/>
        </w:trPr>
        <w:tc>
          <w:tcPr>
            <w:tcW w:w="7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w:t>
            </w:r>
          </w:p>
        </w:tc>
        <w:tc>
          <w:tcPr>
            <w:tcW w:w="16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(255)</w:t>
            </w:r>
          </w:p>
        </w:tc>
        <w:tc>
          <w:tcPr>
            <w:tcW w:w="4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910</w:t>
            </w:r>
          </w:p>
        </w:tc>
      </w:tr>
      <w:tr>
        <w:trPr>
          <w:trHeight w:val="221"/>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9"/>
        </w:trPr>
        <w:tc>
          <w:tcPr>
            <w:tcW w:w="7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1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(1,658)</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1,137</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4,515</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2,893</w:t>
            </w:r>
          </w:p>
        </w:tc>
      </w:tr>
      <w:tr>
        <w:trPr>
          <w:trHeight w:val="29"/>
        </w:trPr>
        <w:tc>
          <w:tcPr>
            <w:tcW w:w="7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2,857</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4,030</w:t>
            </w:r>
          </w:p>
        </w:tc>
      </w:tr>
      <w:tr>
        <w:trPr>
          <w:trHeight w:val="196"/>
        </w:trPr>
        <w:tc>
          <w:tcPr>
            <w:tcW w:w="7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56"/>
        </w:trPr>
        <w:tc>
          <w:tcPr>
            <w:tcW w:w="76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160" w:type="dxa"/>
            <w:vAlign w:val="bottom"/>
            <w:shd w:val="clear" w:color="auto" w:fill="E4E4E4"/>
          </w:tcPr>
          <w:p>
            <w:pPr>
              <w:spacing w:after="0"/>
              <w:rPr>
                <w:sz w:val="22"/>
                <w:szCs w:val="22"/>
                <w:color w:val="auto"/>
              </w:rPr>
            </w:pPr>
          </w:p>
        </w:tc>
        <w:tc>
          <w:tcPr>
            <w:tcW w:w="1620" w:type="dxa"/>
            <w:vAlign w:val="bottom"/>
            <w:shd w:val="clear" w:color="auto" w:fill="E4E4E4"/>
          </w:tcPr>
          <w:p>
            <w:pPr>
              <w:spacing w:after="0"/>
              <w:rPr>
                <w:sz w:val="22"/>
                <w:szCs w:val="22"/>
                <w:color w:val="auto"/>
              </w:rPr>
            </w:pPr>
          </w:p>
        </w:tc>
        <w:tc>
          <w:tcPr>
            <w:tcW w:w="420" w:type="dxa"/>
            <w:vAlign w:val="bottom"/>
            <w:shd w:val="clear" w:color="auto" w:fill="E4E4E4"/>
          </w:tcPr>
          <w:p>
            <w:pPr>
              <w:spacing w:after="0"/>
              <w:rPr>
                <w:sz w:val="22"/>
                <w:szCs w:val="22"/>
                <w:color w:val="auto"/>
              </w:rPr>
            </w:pPr>
          </w:p>
        </w:tc>
        <w:tc>
          <w:tcPr>
            <w:tcW w:w="1360" w:type="dxa"/>
            <w:vAlign w:val="bottom"/>
            <w:shd w:val="clear" w:color="auto" w:fill="E4E4E4"/>
          </w:tcPr>
          <w:p>
            <w:pPr>
              <w:spacing w:after="0"/>
              <w:rPr>
                <w:sz w:val="22"/>
                <w:szCs w:val="22"/>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(364)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9"/>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76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160" w:type="dxa"/>
            <w:vAlign w:val="bottom"/>
            <w:shd w:val="clear" w:color="auto" w:fill="E4E4E4"/>
          </w:tcPr>
          <w:p>
            <w:pPr>
              <w:spacing w:after="0"/>
              <w:rPr>
                <w:sz w:val="22"/>
                <w:szCs w:val="22"/>
                <w:color w:val="auto"/>
              </w:rPr>
            </w:pPr>
          </w:p>
        </w:tc>
        <w:tc>
          <w:tcPr>
            <w:tcW w:w="1620" w:type="dxa"/>
            <w:vAlign w:val="bottom"/>
            <w:shd w:val="clear" w:color="auto" w:fill="E4E4E4"/>
          </w:tcPr>
          <w:p>
            <w:pPr>
              <w:spacing w:after="0"/>
              <w:rPr>
                <w:sz w:val="22"/>
                <w:szCs w:val="22"/>
                <w:color w:val="auto"/>
              </w:rPr>
            </w:pPr>
          </w:p>
        </w:tc>
        <w:tc>
          <w:tcPr>
            <w:tcW w:w="420" w:type="dxa"/>
            <w:vAlign w:val="bottom"/>
            <w:shd w:val="clear" w:color="auto" w:fill="E4E4E4"/>
          </w:tcPr>
          <w:p>
            <w:pPr>
              <w:spacing w:after="0"/>
              <w:rPr>
                <w:sz w:val="22"/>
                <w:szCs w:val="22"/>
                <w:color w:val="auto"/>
              </w:rPr>
            </w:pPr>
          </w:p>
        </w:tc>
        <w:tc>
          <w:tcPr>
            <w:tcW w:w="1360" w:type="dxa"/>
            <w:vAlign w:val="bottom"/>
            <w:shd w:val="clear" w:color="auto" w:fill="E4E4E4"/>
          </w:tcPr>
          <w:p>
            <w:pPr>
              <w:spacing w:after="0"/>
              <w:rPr>
                <w:sz w:val="22"/>
                <w:szCs w:val="22"/>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9"/>
        </w:trPr>
        <w:tc>
          <w:tcPr>
            <w:tcW w:w="7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6022A6"/>
        </w:rPr>
        <w:t>Non-GAAP financial measures</w:t>
      </w:r>
    </w:p>
    <w:p>
      <w:pPr>
        <w:spacing w:after="0" w:line="2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non-GAAP financial measures presented in this press release are supplemental measures of GE HealthCare’s performance and its liquidity that the Company believes will help investors understand its financial condition, cash flows, and operating results, and assess its future prospects. When read in conjunction with the Company’s U.S. GAAP results, these non-GAAP financial measures provide a baseline for analyzing trends in GE HealthCare’s underlying businesses and can be used by management as one basis for making financial, operational, and planning decisions. Descriptions of the reported non-GAAP measures are included below.</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reports Organic revenue and Organic revenue growth rate to provide management and investors with additional understanding and visibility into the underlying revenue trends of the Company’s established, ongoing operations, as well as provide insights into overall demand for its products and services. To calculate these measures, the Company excludes the effect of acquisitions, dispositions, and foreign currency rate fluctuations.</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reports EBIT, Adjusted EBIT, Adjusted EBIT margin, Adjusted net income, and Adjusted earnings per share to provide management and investors with an additional understanding of its business by highlighting the results from ongoing operations and the underlying profitability factors, on a normalized basis. To calculate these measures the Company excludes, and reflects in the detailed reconciliations below, the following adjustments as applicable: Interest and other financial charges – net, Net (income) loss attributable to noncontrolling interests, Non-operating benefit (income) costs, Benefit (provision) for income taxes and certain tax related adjustments, and certain non-recurring and/or non-cash items. GE HealthCare may from time to time consider excluding other non-recurring items to enhance comparability between periods. Adjusted EBIT margin is calculated by taking Adjusted EBIT divided by Total revenues for the same period.</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reports Adjusted tax expense and Adjusted ETR to provide management and investors with a better understanding of the normalized tax rate applicable to the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The Company may from time to time consider excluding other non-recurring tax items to enhance comparability between periods. Adjusted ETR is Adjusted tax expense divided by income before income taxes less the pre-tax income adjustments referenced above.</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reports Free cash flow and Free cash flow conversion to provide management and investors with an important measure of the ability to generate cash on a normalized basis and provide insight into the Company’s flexibility to allocate capital. Free cash flow is Cash from (used for) operating activities </w:t>
      </w:r>
      <w:r>
        <w:rPr>
          <w:rFonts w:ascii="Arial" w:cs="Arial" w:eastAsia="Arial" w:hAnsi="Arial"/>
          <w:sz w:val="16"/>
          <w:szCs w:val="16"/>
          <w:color w:val="231F20"/>
        </w:rPr>
        <w:t>–</w:t>
      </w:r>
      <w:r>
        <w:rPr>
          <w:rFonts w:ascii="Arial" w:cs="Arial" w:eastAsia="Arial" w:hAnsi="Arial"/>
          <w:sz w:val="18"/>
          <w:szCs w:val="18"/>
          <w:color w:val="auto"/>
        </w:rPr>
        <w:t xml:space="preserve">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 Free cash flow conversion is calculated by taking Free cash flow divided by Adjusted net income.</w:t>
      </w:r>
    </w:p>
    <w:p>
      <w:pPr>
        <w:spacing w:after="0" w:line="20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ectPr>
          <w:pgSz w:w="11900" w:h="16838" w:orient="portrait"/>
          <w:cols w:equalWidth="0" w:num="1">
            <w:col w:w="11180"/>
          </w:cols>
          <w:pgMar w:left="320" w:top="1417"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6022A6"/>
        </w:rPr>
        <w:t>Non-GAAP financial reconciliations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Organic Revenue*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440" w:type="dxa"/>
            <w:vAlign w:val="bottom"/>
            <w:gridSpan w:val="6"/>
          </w:tcPr>
          <w:p>
            <w:pPr>
              <w:ind w:left="40"/>
              <w:spacing w:after="0"/>
              <w:rPr>
                <w:sz w:val="20"/>
                <w:szCs w:val="20"/>
                <w:color w:val="auto"/>
              </w:rPr>
            </w:pPr>
            <w:r>
              <w:rPr>
                <w:rFonts w:ascii="Arial" w:cs="Arial" w:eastAsia="Arial" w:hAnsi="Arial"/>
                <w:sz w:val="16"/>
                <w:szCs w:val="16"/>
                <w:b w:val="1"/>
                <w:bCs w:val="1"/>
                <w:color w:val="454545"/>
              </w:rPr>
              <w:t>For the three months ended September 30</w:t>
            </w:r>
          </w:p>
        </w:tc>
        <w:tc>
          <w:tcPr>
            <w:tcW w:w="3220" w:type="dxa"/>
            <w:vAlign w:val="bottom"/>
            <w:gridSpan w:val="5"/>
          </w:tcPr>
          <w:p>
            <w:pPr>
              <w:ind w:left="2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5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r>
      <w:tr>
        <w:trPr>
          <w:trHeight w:val="250"/>
        </w:trPr>
        <w:tc>
          <w:tcPr>
            <w:tcW w:w="45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 in millions)</w:t>
            </w:r>
          </w:p>
        </w:tc>
        <w:tc>
          <w:tcPr>
            <w:tcW w:w="260" w:type="dxa"/>
            <w:vAlign w:val="bottom"/>
            <w:tcBorders>
              <w:bottom w:val="single" w:sz="8" w:color="6022A6"/>
            </w:tcBorders>
          </w:tcPr>
          <w:p>
            <w:pPr>
              <w:spacing w:after="0"/>
              <w:rPr>
                <w:sz w:val="21"/>
                <w:szCs w:val="21"/>
                <w:color w:val="auto"/>
              </w:rPr>
            </w:pPr>
          </w:p>
        </w:tc>
        <w:tc>
          <w:tcPr>
            <w:tcW w:w="840" w:type="dxa"/>
            <w:vAlign w:val="bottom"/>
            <w:tcBorders>
              <w:bottom w:val="single" w:sz="8" w:color="6022A6"/>
            </w:tcBorders>
          </w:tcPr>
          <w:p>
            <w:pPr>
              <w:jc w:val="right"/>
              <w:ind w:right="279"/>
              <w:spacing w:after="0"/>
              <w:rPr>
                <w:sz w:val="20"/>
                <w:szCs w:val="20"/>
                <w:color w:val="auto"/>
              </w:rPr>
            </w:pPr>
            <w:r>
              <w:rPr>
                <w:rFonts w:ascii="Arial" w:cs="Arial" w:eastAsia="Arial" w:hAnsi="Arial"/>
                <w:sz w:val="16"/>
                <w:szCs w:val="16"/>
                <w:b w:val="1"/>
                <w:bCs w:val="1"/>
                <w:color w:val="454545"/>
              </w:rPr>
              <w:t>2026</w:t>
            </w:r>
          </w:p>
        </w:tc>
        <w:tc>
          <w:tcPr>
            <w:tcW w:w="260" w:type="dxa"/>
            <w:vAlign w:val="bottom"/>
            <w:tcBorders>
              <w:bottom w:val="single" w:sz="8" w:color="6022A6"/>
            </w:tcBorders>
          </w:tcPr>
          <w:p>
            <w:pPr>
              <w:spacing w:after="0"/>
              <w:rPr>
                <w:sz w:val="21"/>
                <w:szCs w:val="21"/>
                <w:color w:val="auto"/>
              </w:rPr>
            </w:pPr>
          </w:p>
        </w:tc>
        <w:tc>
          <w:tcPr>
            <w:tcW w:w="860" w:type="dxa"/>
            <w:vAlign w:val="bottom"/>
            <w:tcBorders>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1220" w:type="dxa"/>
            <w:vAlign w:val="bottom"/>
            <w:tcBorders>
              <w:bottom w:val="single" w:sz="8" w:color="6022A6"/>
            </w:tcBorders>
            <w:gridSpan w:val="2"/>
          </w:tcPr>
          <w:p>
            <w:pPr>
              <w:ind w:left="180"/>
              <w:spacing w:after="0"/>
              <w:rPr>
                <w:sz w:val="20"/>
                <w:szCs w:val="20"/>
                <w:color w:val="auto"/>
              </w:rPr>
            </w:pPr>
            <w:r>
              <w:rPr>
                <w:rFonts w:ascii="Arial" w:cs="Arial" w:eastAsia="Arial" w:hAnsi="Arial"/>
                <w:sz w:val="16"/>
                <w:szCs w:val="16"/>
                <w:b w:val="1"/>
                <w:bCs w:val="1"/>
                <w:color w:val="454545"/>
              </w:rPr>
              <w:t>% change</w:t>
            </w:r>
          </w:p>
        </w:tc>
        <w:tc>
          <w:tcPr>
            <w:tcW w:w="240" w:type="dxa"/>
            <w:vAlign w:val="bottom"/>
            <w:tcBorders>
              <w:bottom w:val="single" w:sz="8" w:color="6022A6"/>
            </w:tcBorders>
          </w:tcPr>
          <w:p>
            <w:pPr>
              <w:spacing w:after="0"/>
              <w:rPr>
                <w:sz w:val="21"/>
                <w:szCs w:val="21"/>
                <w:color w:val="auto"/>
              </w:rPr>
            </w:pPr>
          </w:p>
        </w:tc>
        <w:tc>
          <w:tcPr>
            <w:tcW w:w="8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2026</w:t>
            </w:r>
          </w:p>
        </w:tc>
        <w:tc>
          <w:tcPr>
            <w:tcW w:w="260" w:type="dxa"/>
            <w:vAlign w:val="bottom"/>
            <w:tcBorders>
              <w:bottom w:val="single" w:sz="8" w:color="6022A6"/>
            </w:tcBorders>
          </w:tcPr>
          <w:p>
            <w:pPr>
              <w:spacing w:after="0"/>
              <w:rPr>
                <w:sz w:val="21"/>
                <w:szCs w:val="21"/>
                <w:color w:val="auto"/>
              </w:rPr>
            </w:pPr>
          </w:p>
        </w:tc>
        <w:tc>
          <w:tcPr>
            <w:tcW w:w="840" w:type="dxa"/>
            <w:vAlign w:val="bottom"/>
            <w:tcBorders>
              <w:bottom w:val="single" w:sz="8" w:color="6022A6"/>
            </w:tcBorders>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1060" w:type="dxa"/>
            <w:vAlign w:val="bottom"/>
            <w:tcBorders>
              <w:bottom w:val="single" w:sz="8" w:color="6022A6"/>
            </w:tcBorders>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30"/>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AIS revenues</w:t>
            </w:r>
          </w:p>
        </w:tc>
        <w:tc>
          <w:tcPr>
            <w:tcW w:w="2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3,873</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3,649</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w:t>
            </w:r>
          </w:p>
        </w:tc>
        <w:tc>
          <w:tcPr>
            <w:tcW w:w="1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11,284</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10,522</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r>
      <w:tr>
        <w:trPr>
          <w:trHeight w:val="256"/>
        </w:trPr>
        <w:tc>
          <w:tcPr>
            <w:tcW w:w="4580" w:type="dxa"/>
            <w:vAlign w:val="bottom"/>
          </w:tcPr>
          <w:p>
            <w:pPr>
              <w:ind w:left="2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r>
      <w:tr>
        <w:trPr>
          <w:trHeight w:val="257"/>
        </w:trPr>
        <w:tc>
          <w:tcPr>
            <w:tcW w:w="45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40" w:type="dxa"/>
            <w:vAlign w:val="bottom"/>
            <w:shd w:val="clear" w:color="auto" w:fill="E4E4E4"/>
          </w:tcPr>
          <w:p>
            <w:pPr>
              <w:spacing w:after="0"/>
              <w:rPr>
                <w:sz w:val="22"/>
                <w:szCs w:val="22"/>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r>
      <w:tr>
        <w:trPr>
          <w:trHeight w:val="263"/>
        </w:trPr>
        <w:tc>
          <w:tcPr>
            <w:tcW w:w="4580" w:type="dxa"/>
            <w:vAlign w:val="bottom"/>
          </w:tcPr>
          <w:p>
            <w:pPr>
              <w:ind w:left="2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6022A6"/>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22"/>
                <w:szCs w:val="22"/>
                <w:color w:val="auto"/>
              </w:rPr>
            </w:pPr>
          </w:p>
        </w:tc>
      </w:tr>
      <w:tr>
        <w:trPr>
          <w:trHeight w:val="248"/>
        </w:trPr>
        <w:tc>
          <w:tcPr>
            <w:tcW w:w="45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AIS Organic revenue*</w:t>
            </w:r>
          </w:p>
        </w:tc>
        <w:tc>
          <w:tcPr>
            <w:tcW w:w="260" w:type="dxa"/>
            <w:vAlign w:val="bottom"/>
            <w:tcBorders>
              <w:top w:val="single" w:sz="8" w:color="auto"/>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3,814</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3,649</w:t>
            </w:r>
          </w:p>
        </w:tc>
        <w:tc>
          <w:tcPr>
            <w:tcW w:w="110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tcBorders>
              <w:top w:val="single" w:sz="8" w:color="E4E4E4"/>
              <w:bottom w:val="single" w:sz="8" w:color="E4E4E4"/>
            </w:tcBorders>
            <w:shd w:val="clear" w:color="auto" w:fill="E4E4E4"/>
          </w:tcPr>
          <w:p>
            <w:pPr>
              <w:spacing w:after="0"/>
              <w:rPr>
                <w:sz w:val="21"/>
                <w:szCs w:val="21"/>
                <w:color w:val="auto"/>
              </w:rPr>
            </w:pPr>
          </w:p>
        </w:tc>
        <w:tc>
          <w:tcPr>
            <w:tcW w:w="24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10,996</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10,522</w:t>
            </w:r>
          </w:p>
        </w:tc>
        <w:tc>
          <w:tcPr>
            <w:tcW w:w="106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r>
      <w:tr>
        <w:trPr>
          <w:trHeight w:val="229"/>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PDx revenues</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846</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749</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top w:val="single" w:sz="8" w:color="6022A6"/>
            </w:tcBorders>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2,458</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r>
      <w:tr>
        <w:trPr>
          <w:trHeight w:val="21"/>
        </w:trPr>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45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40" w:type="dxa"/>
            <w:vAlign w:val="bottom"/>
            <w:shd w:val="clear" w:color="auto" w:fill="E4E4E4"/>
          </w:tcPr>
          <w:p>
            <w:pPr>
              <w:spacing w:after="0"/>
              <w:rPr>
                <w:sz w:val="22"/>
                <w:szCs w:val="22"/>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060" w:type="dxa"/>
            <w:vAlign w:val="bottom"/>
            <w:shd w:val="clear" w:color="auto" w:fill="E4E4E4"/>
          </w:tcPr>
          <w:p>
            <w:pPr>
              <w:spacing w:after="0"/>
              <w:rPr>
                <w:sz w:val="22"/>
                <w:szCs w:val="22"/>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r>
      <w:tr>
        <w:trPr>
          <w:trHeight w:val="256"/>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6022A6"/>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4E4E4"/>
          </w:tcPr>
          <w:p>
            <w:pPr>
              <w:spacing w:after="0"/>
              <w:rPr>
                <w:sz w:val="22"/>
                <w:szCs w:val="22"/>
                <w:color w:val="auto"/>
              </w:rPr>
            </w:pPr>
          </w:p>
        </w:tc>
      </w:tr>
      <w:tr>
        <w:trPr>
          <w:trHeight w:val="229"/>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PDx Organic revenue*</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852</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749</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12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2,379</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2,109</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12.8%</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PCS revenues</w:t>
            </w:r>
          </w:p>
        </w:tc>
        <w:tc>
          <w:tcPr>
            <w:tcW w:w="2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793</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731</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w:t>
            </w:r>
          </w:p>
        </w:tc>
        <w:tc>
          <w:tcPr>
            <w:tcW w:w="1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2,171</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2,262</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r>
      <w:tr>
        <w:trPr>
          <w:trHeight w:val="257"/>
        </w:trPr>
        <w:tc>
          <w:tcPr>
            <w:tcW w:w="4580" w:type="dxa"/>
            <w:vAlign w:val="bottom"/>
          </w:tcPr>
          <w:p>
            <w:pPr>
              <w:ind w:left="2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r>
      <w:tr>
        <w:trPr>
          <w:trHeight w:val="257"/>
        </w:trPr>
        <w:tc>
          <w:tcPr>
            <w:tcW w:w="45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40" w:type="dxa"/>
            <w:vAlign w:val="bottom"/>
            <w:shd w:val="clear" w:color="auto" w:fill="E4E4E4"/>
          </w:tcPr>
          <w:p>
            <w:pPr>
              <w:spacing w:after="0"/>
              <w:rPr>
                <w:sz w:val="22"/>
                <w:szCs w:val="22"/>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22"/>
                <w:szCs w:val="22"/>
                <w:color w:val="auto"/>
              </w:rPr>
            </w:pPr>
          </w:p>
        </w:tc>
      </w:tr>
      <w:tr>
        <w:trPr>
          <w:trHeight w:val="255"/>
        </w:trPr>
        <w:tc>
          <w:tcPr>
            <w:tcW w:w="45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PCS Organic revenue*</w:t>
            </w:r>
          </w:p>
        </w:tc>
        <w:tc>
          <w:tcPr>
            <w:tcW w:w="260" w:type="dxa"/>
            <w:vAlign w:val="bottom"/>
            <w:tcBorders>
              <w:top w:val="single" w:sz="8" w:color="auto"/>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795</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731</w:t>
            </w:r>
          </w:p>
        </w:tc>
        <w:tc>
          <w:tcPr>
            <w:tcW w:w="110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Borders>
              <w:top w:val="single" w:sz="8" w:color="E4E4E4"/>
              <w:bottom w:val="single" w:sz="8" w:color="E4E4E4"/>
            </w:tcBorders>
            <w:shd w:val="clear" w:color="auto" w:fill="E4E4E4"/>
          </w:tcPr>
          <w:p>
            <w:pPr>
              <w:spacing w:after="0"/>
              <w:rPr>
                <w:sz w:val="21"/>
                <w:szCs w:val="21"/>
                <w:color w:val="auto"/>
              </w:rPr>
            </w:pPr>
          </w:p>
        </w:tc>
        <w:tc>
          <w:tcPr>
            <w:tcW w:w="24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2,159</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2,262</w:t>
            </w:r>
          </w:p>
        </w:tc>
        <w:tc>
          <w:tcPr>
            <w:tcW w:w="106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r>
      <w:tr>
        <w:trPr>
          <w:trHeight w:val="229"/>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revenues</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(89.4)%</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w:t>
            </w:r>
          </w:p>
        </w:tc>
      </w:tr>
      <w:tr>
        <w:trPr>
          <w:trHeight w:val="21"/>
        </w:trPr>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45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40" w:type="dxa"/>
            <w:vAlign w:val="bottom"/>
            <w:shd w:val="clear" w:color="auto" w:fill="E4E4E4"/>
          </w:tcPr>
          <w:p>
            <w:pPr>
              <w:spacing w:after="0"/>
              <w:rPr>
                <w:sz w:val="22"/>
                <w:szCs w:val="22"/>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r>
      <w:tr>
        <w:trPr>
          <w:trHeight w:val="256"/>
        </w:trPr>
        <w:tc>
          <w:tcPr>
            <w:tcW w:w="4580" w:type="dxa"/>
            <w:vAlign w:val="bottom"/>
          </w:tcPr>
          <w:p>
            <w:pPr>
              <w:ind w:left="2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r>
      <w:tr>
        <w:trPr>
          <w:trHeight w:val="257"/>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6022A6"/>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4E4E4"/>
          </w:tcPr>
          <w:p>
            <w:pPr>
              <w:spacing w:after="0"/>
              <w:rPr>
                <w:sz w:val="22"/>
                <w:szCs w:val="22"/>
                <w:color w:val="auto"/>
              </w:rPr>
            </w:pPr>
          </w:p>
        </w:tc>
      </w:tr>
      <w:tr>
        <w:trPr>
          <w:trHeight w:val="229"/>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Organic revenue*</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(89.4)%</w:t>
            </w:r>
          </w:p>
        </w:tc>
        <w:tc>
          <w:tcPr>
            <w:tcW w:w="12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(23.6)%</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5"/>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5,513</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15,939</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w:t>
            </w:r>
          </w:p>
        </w:tc>
      </w:tr>
      <w:tr>
        <w:trPr>
          <w:trHeight w:val="250"/>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6022A6"/>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60" w:type="dxa"/>
            <w:vAlign w:val="bottom"/>
            <w:tcBorders>
              <w:top w:val="single" w:sz="8" w:color="auto"/>
            </w:tcBorders>
          </w:tcPr>
          <w:p>
            <w:pPr>
              <w:spacing w:after="0"/>
              <w:rPr>
                <w:sz w:val="21"/>
                <w:szCs w:val="21"/>
                <w:color w:val="auto"/>
              </w:rPr>
            </w:pPr>
          </w:p>
        </w:tc>
      </w:tr>
      <w:tr>
        <w:trPr>
          <w:trHeight w:val="256"/>
        </w:trPr>
        <w:tc>
          <w:tcPr>
            <w:tcW w:w="45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40" w:type="dxa"/>
            <w:vAlign w:val="bottom"/>
            <w:shd w:val="clear" w:color="auto" w:fill="E4E4E4"/>
          </w:tcPr>
          <w:p>
            <w:pPr>
              <w:spacing w:after="0"/>
              <w:rPr>
                <w:sz w:val="22"/>
                <w:szCs w:val="22"/>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22"/>
                <w:szCs w:val="22"/>
                <w:color w:val="auto"/>
              </w:rPr>
            </w:pPr>
          </w:p>
        </w:tc>
      </w:tr>
      <w:tr>
        <w:trPr>
          <w:trHeight w:val="230"/>
        </w:trPr>
        <w:tc>
          <w:tcPr>
            <w:tcW w:w="45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Organic revenue*</w:t>
            </w:r>
          </w:p>
        </w:tc>
        <w:tc>
          <w:tcPr>
            <w:tcW w:w="260" w:type="dxa"/>
            <w:vAlign w:val="bottom"/>
            <w:tcBorders>
              <w:top w:val="single" w:sz="8" w:color="auto"/>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5,462</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110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6.2%</w:t>
            </w: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24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15,560</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14,926</w:t>
            </w:r>
          </w:p>
        </w:tc>
        <w:tc>
          <w:tcPr>
            <w:tcW w:w="106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r>
      <w:tr>
        <w:trPr>
          <w:trHeight w:val="20"/>
        </w:trPr>
        <w:tc>
          <w:tcPr>
            <w:tcW w:w="4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ind w:left="400" w:right="220" w:hanging="374"/>
        <w:spacing w:after="0" w:line="299"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 excluding the impact of Foreign currency exchange already captured in lines elsewhere.</w:t>
      </w: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 Non-GAAP financial measure.</w:t>
      </w:r>
    </w:p>
    <w:p>
      <w:pPr>
        <w:sectPr>
          <w:pgSz w:w="11900" w:h="16838" w:orient="portrait"/>
          <w:cols w:equalWidth="0" w:num="1">
            <w:col w:w="11240"/>
          </w:cols>
          <w:pgMar w:left="320" w:top="1417" w:right="339" w:bottom="1440" w:gutter="0" w:footer="0" w:header="0"/>
        </w:sectPr>
      </w:pPr>
    </w:p>
    <w:bookmarkStart w:id="11" w:name="page12"/>
    <w:bookmarkEnd w:id="1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62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454545"/>
              </w:rPr>
              <w:t>For the three months ended September 30</w:t>
            </w:r>
          </w:p>
        </w:tc>
        <w:tc>
          <w:tcPr>
            <w:tcW w:w="33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 in millions)</w:t>
            </w:r>
          </w:p>
        </w:tc>
        <w:tc>
          <w:tcPr>
            <w:tcW w:w="26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6022A6"/>
            </w:tcBorders>
            <w:vMerge w:val="continue"/>
          </w:tcPr>
          <w:p>
            <w:pPr>
              <w:spacing w:after="0"/>
              <w:rPr>
                <w:sz w:val="21"/>
                <w:szCs w:val="21"/>
                <w:color w:val="auto"/>
              </w:rPr>
            </w:pPr>
          </w:p>
        </w:tc>
        <w:tc>
          <w:tcPr>
            <w:tcW w:w="260" w:type="dxa"/>
            <w:vAlign w:val="bottom"/>
            <w:tcBorders>
              <w:bottom w:val="single" w:sz="8" w:color="6022A6"/>
            </w:tcBorders>
          </w:tcPr>
          <w:p>
            <w:pPr>
              <w:spacing w:after="0"/>
              <w:rPr>
                <w:sz w:val="21"/>
                <w:szCs w:val="21"/>
                <w:color w:val="auto"/>
              </w:rPr>
            </w:pPr>
          </w:p>
        </w:tc>
        <w:tc>
          <w:tcPr>
            <w:tcW w:w="800" w:type="dxa"/>
            <w:vAlign w:val="bottom"/>
            <w:tcBorders>
              <w:bottom w:val="single" w:sz="8" w:color="6022A6"/>
            </w:tcBorders>
          </w:tcPr>
          <w:p>
            <w:pPr>
              <w:jc w:val="right"/>
              <w:ind w:right="219"/>
              <w:spacing w:after="0"/>
              <w:rPr>
                <w:sz w:val="20"/>
                <w:szCs w:val="20"/>
                <w:color w:val="auto"/>
              </w:rPr>
            </w:pPr>
            <w:r>
              <w:rPr>
                <w:rFonts w:ascii="Arial" w:cs="Arial" w:eastAsia="Arial" w:hAnsi="Arial"/>
                <w:sz w:val="16"/>
                <w:szCs w:val="16"/>
                <w:b w:val="1"/>
                <w:bCs w:val="1"/>
                <w:color w:val="454545"/>
              </w:rPr>
              <w:t>2026</w:t>
            </w:r>
          </w:p>
        </w:tc>
        <w:tc>
          <w:tcPr>
            <w:tcW w:w="340" w:type="dxa"/>
            <w:vAlign w:val="bottom"/>
            <w:tcBorders>
              <w:bottom w:val="single" w:sz="8" w:color="6022A6"/>
            </w:tcBorders>
          </w:tcPr>
          <w:p>
            <w:pPr>
              <w:spacing w:after="0"/>
              <w:rPr>
                <w:sz w:val="21"/>
                <w:szCs w:val="21"/>
                <w:color w:val="auto"/>
              </w:rPr>
            </w:pPr>
          </w:p>
        </w:tc>
        <w:tc>
          <w:tcPr>
            <w:tcW w:w="820" w:type="dxa"/>
            <w:vAlign w:val="bottom"/>
            <w:tcBorders>
              <w:bottom w:val="single" w:sz="8" w:color="6022A6"/>
            </w:tcBorders>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1400" w:type="dxa"/>
            <w:vAlign w:val="bottom"/>
            <w:tcBorders>
              <w:bottom w:val="single" w:sz="8" w:color="6022A6"/>
            </w:tcBorders>
            <w:gridSpan w:val="3"/>
          </w:tcPr>
          <w:p>
            <w:pPr>
              <w:jc w:val="right"/>
              <w:ind w:right="420"/>
              <w:spacing w:after="0"/>
              <w:rPr>
                <w:sz w:val="20"/>
                <w:szCs w:val="20"/>
                <w:color w:val="auto"/>
              </w:rPr>
            </w:pPr>
            <w:r>
              <w:rPr>
                <w:rFonts w:ascii="Arial" w:cs="Arial" w:eastAsia="Arial" w:hAnsi="Arial"/>
                <w:sz w:val="16"/>
                <w:szCs w:val="16"/>
                <w:b w:val="1"/>
                <w:bCs w:val="1"/>
                <w:color w:val="454545"/>
              </w:rPr>
              <w:t>% change</w:t>
            </w:r>
          </w:p>
        </w:tc>
        <w:tc>
          <w:tcPr>
            <w:tcW w:w="940" w:type="dxa"/>
            <w:vAlign w:val="bottom"/>
            <w:tcBorders>
              <w:bottom w:val="single" w:sz="8" w:color="6022A6"/>
            </w:tcBorders>
          </w:tcPr>
          <w:p>
            <w:pPr>
              <w:jc w:val="right"/>
              <w:ind w:right="219"/>
              <w:spacing w:after="0"/>
              <w:rPr>
                <w:sz w:val="20"/>
                <w:szCs w:val="20"/>
                <w:color w:val="auto"/>
              </w:rPr>
            </w:pPr>
            <w:r>
              <w:rPr>
                <w:rFonts w:ascii="Arial" w:cs="Arial" w:eastAsia="Arial" w:hAnsi="Arial"/>
                <w:sz w:val="16"/>
                <w:szCs w:val="16"/>
                <w:b w:val="1"/>
                <w:bCs w:val="1"/>
                <w:color w:val="454545"/>
              </w:rPr>
              <w:t>2026</w:t>
            </w:r>
          </w:p>
        </w:tc>
        <w:tc>
          <w:tcPr>
            <w:tcW w:w="360" w:type="dxa"/>
            <w:vAlign w:val="bottom"/>
            <w:tcBorders>
              <w:bottom w:val="single" w:sz="8" w:color="6022A6"/>
            </w:tcBorders>
          </w:tcPr>
          <w:p>
            <w:pPr>
              <w:spacing w:after="0"/>
              <w:rPr>
                <w:sz w:val="21"/>
                <w:szCs w:val="21"/>
                <w:color w:val="auto"/>
              </w:rPr>
            </w:pPr>
          </w:p>
        </w:tc>
        <w:tc>
          <w:tcPr>
            <w:tcW w:w="880" w:type="dxa"/>
            <w:vAlign w:val="bottom"/>
            <w:tcBorders>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116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35"/>
        </w:trPr>
        <w:tc>
          <w:tcPr>
            <w:tcW w:w="42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60" w:type="dxa"/>
            <w:vAlign w:val="bottom"/>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615</w:t>
            </w:r>
          </w:p>
        </w:tc>
        <w:tc>
          <w:tcPr>
            <w:tcW w:w="3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446</w:t>
            </w:r>
          </w:p>
        </w:tc>
        <w:tc>
          <w:tcPr>
            <w:tcW w:w="1400" w:type="dxa"/>
            <w:vAlign w:val="bottom"/>
            <w:gridSpan w:val="3"/>
            <w:shd w:val="clear" w:color="auto" w:fill="E4E4E4"/>
          </w:tcPr>
          <w:p>
            <w:pPr>
              <w:jc w:val="right"/>
              <w:spacing w:after="0"/>
              <w:rPr>
                <w:sz w:val="20"/>
                <w:szCs w:val="20"/>
                <w:color w:val="auto"/>
              </w:rPr>
            </w:pPr>
            <w:r>
              <w:rPr>
                <w:rFonts w:ascii="Arial" w:cs="Arial" w:eastAsia="Arial" w:hAnsi="Arial"/>
                <w:sz w:val="16"/>
                <w:szCs w:val="16"/>
                <w:b w:val="1"/>
                <w:bCs w:val="1"/>
                <w:color w:val="auto"/>
              </w:rPr>
              <w:t>37.9 %  $</w:t>
            </w:r>
          </w:p>
        </w:tc>
        <w:tc>
          <w:tcPr>
            <w:tcW w:w="9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1,564</w:t>
            </w:r>
          </w:p>
        </w:tc>
        <w:tc>
          <w:tcPr>
            <w:tcW w:w="360" w:type="dxa"/>
            <w:vAlign w:val="bottom"/>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1,495</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4.6 %</w:t>
            </w:r>
          </w:p>
        </w:tc>
        <w:tc>
          <w:tcPr>
            <w:tcW w:w="0" w:type="dxa"/>
            <w:vAlign w:val="bottom"/>
          </w:tcPr>
          <w:p>
            <w:pPr>
              <w:spacing w:after="0"/>
              <w:rPr>
                <w:sz w:val="1"/>
                <w:szCs w:val="1"/>
                <w:color w:val="auto"/>
              </w:rPr>
            </w:pPr>
          </w:p>
        </w:tc>
      </w:tr>
      <w:tr>
        <w:trPr>
          <w:trHeight w:val="21"/>
        </w:trPr>
        <w:tc>
          <w:tcPr>
            <w:tcW w:w="428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340" w:type="dxa"/>
            <w:vAlign w:val="bottom"/>
            <w:shd w:val="clear" w:color="auto" w:fill="E4E4E4"/>
          </w:tcPr>
          <w:p>
            <w:pPr>
              <w:spacing w:after="0" w:line="20" w:lineRule="exact"/>
              <w:rPr>
                <w:sz w:val="1"/>
                <w:szCs w:val="1"/>
                <w:color w:val="auto"/>
              </w:rPr>
            </w:pPr>
          </w:p>
        </w:tc>
        <w:tc>
          <w:tcPr>
            <w:tcW w:w="820" w:type="dxa"/>
            <w:vAlign w:val="bottom"/>
            <w:shd w:val="clear" w:color="auto" w:fill="E4E4E4"/>
          </w:tcPr>
          <w:p>
            <w:pPr>
              <w:spacing w:after="0" w:line="20" w:lineRule="exact"/>
              <w:rPr>
                <w:sz w:val="1"/>
                <w:szCs w:val="1"/>
                <w:color w:val="auto"/>
              </w:rPr>
            </w:pPr>
          </w:p>
        </w:tc>
        <w:tc>
          <w:tcPr>
            <w:tcW w:w="1180" w:type="dxa"/>
            <w:vAlign w:val="bottom"/>
            <w:shd w:val="clear" w:color="auto" w:fill="E4E4E4"/>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940" w:type="dxa"/>
            <w:vAlign w:val="bottom"/>
            <w:shd w:val="clear" w:color="auto" w:fill="E4E4E4"/>
          </w:tcPr>
          <w:p>
            <w:pPr>
              <w:spacing w:after="0" w:line="20" w:lineRule="exact"/>
              <w:rPr>
                <w:sz w:val="1"/>
                <w:szCs w:val="1"/>
                <w:color w:val="auto"/>
              </w:rPr>
            </w:pPr>
          </w:p>
        </w:tc>
        <w:tc>
          <w:tcPr>
            <w:tcW w:w="360" w:type="dxa"/>
            <w:vAlign w:val="bottom"/>
            <w:shd w:val="clear" w:color="auto" w:fill="E4E4E4"/>
          </w:tcPr>
          <w:p>
            <w:pPr>
              <w:spacing w:after="0" w:line="20" w:lineRule="exact"/>
              <w:rPr>
                <w:sz w:val="1"/>
                <w:szCs w:val="1"/>
                <w:color w:val="auto"/>
              </w:rPr>
            </w:pPr>
          </w:p>
        </w:tc>
        <w:tc>
          <w:tcPr>
            <w:tcW w:w="88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6"/>
          <w:szCs w:val="16"/>
          <w:color w:val="auto"/>
        </w:rPr>
        <w:t>Add: Interest and other financial charges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4123055"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23055" cy="17970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 Non-operating benefit (income) costs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412305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23055" cy="291465"/>
                    </a:xfrm>
                    <a:prstGeom prst="rect">
                      <a:avLst/>
                    </a:prstGeom>
                    <a:noFill/>
                  </pic:spPr>
                </pic:pic>
              </a:graphicData>
            </a:graphic>
          </wp:anchor>
        </w:drawing>
      </w:r>
    </w:p>
    <w:p>
      <w:pPr>
        <w:spacing w:after="0" w:line="66" w:lineRule="exact"/>
        <w:rPr>
          <w:sz w:val="20"/>
          <w:szCs w:val="20"/>
          <w:color w:val="auto"/>
        </w:rPr>
      </w:pPr>
    </w:p>
    <w:p>
      <w:pPr>
        <w:ind w:left="20" w:right="380"/>
        <w:spacing w:after="0" w:line="304" w:lineRule="auto"/>
        <w:rPr>
          <w:sz w:val="20"/>
          <w:szCs w:val="20"/>
          <w:color w:val="auto"/>
        </w:rPr>
      </w:pPr>
      <w:r>
        <w:rPr>
          <w:rFonts w:ascii="Arial" w:cs="Arial" w:eastAsia="Arial" w:hAnsi="Arial"/>
          <w:sz w:val="16"/>
          <w:szCs w:val="16"/>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123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jc w:val="right"/>
              <w:ind w:right="319"/>
              <w:spacing w:after="0"/>
              <w:rPr>
                <w:sz w:val="20"/>
                <w:szCs w:val="20"/>
                <w:color w:val="auto"/>
              </w:rPr>
            </w:pPr>
            <w:r>
              <w:rPr>
                <w:rFonts w:ascii="Arial" w:cs="Arial" w:eastAsia="Arial" w:hAnsi="Arial"/>
                <w:sz w:val="16"/>
                <w:szCs w:val="16"/>
                <w:color w:val="auto"/>
              </w:rPr>
              <w:t>122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111</w:t>
            </w:r>
          </w:p>
        </w:tc>
        <w:tc>
          <w:tcPr>
            <w:tcW w:w="2660" w:type="dxa"/>
            <w:vAlign w:val="bottom"/>
          </w:tcPr>
          <w:p>
            <w:pPr>
              <w:jc w:val="right"/>
              <w:ind w:right="359"/>
              <w:spacing w:after="0"/>
              <w:rPr>
                <w:sz w:val="20"/>
                <w:szCs w:val="20"/>
                <w:color w:val="auto"/>
              </w:rPr>
            </w:pPr>
            <w:r>
              <w:rPr>
                <w:rFonts w:ascii="Arial" w:cs="Arial" w:eastAsia="Arial" w:hAnsi="Arial"/>
                <w:sz w:val="16"/>
                <w:szCs w:val="16"/>
                <w:color w:val="auto"/>
              </w:rPr>
              <w:t>332</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335</w:t>
            </w:r>
          </w:p>
        </w:tc>
      </w:tr>
      <w:tr>
        <w:trPr>
          <w:trHeight w:val="29"/>
        </w:trPr>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720" w:type="dxa"/>
            <w:vAlign w:val="bottom"/>
          </w:tcPr>
          <w:p>
            <w:pPr>
              <w:jc w:val="right"/>
              <w:ind w:right="259"/>
              <w:spacing w:after="0"/>
              <w:rPr>
                <w:sz w:val="20"/>
                <w:szCs w:val="20"/>
                <w:color w:val="auto"/>
              </w:rPr>
            </w:pPr>
            <w:r>
              <w:rPr>
                <w:rFonts w:ascii="Arial" w:cs="Arial" w:eastAsia="Arial" w:hAnsi="Arial"/>
                <w:sz w:val="16"/>
                <w:szCs w:val="16"/>
                <w:color w:val="auto"/>
              </w:rPr>
              <w:t>(50)</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2660" w:type="dxa"/>
            <w:vAlign w:val="bottom"/>
            <w:tcBorders>
              <w:bottom w:val="single" w:sz="8" w:color="E4E4E4"/>
            </w:tcBorders>
            <w:shd w:val="clear" w:color="auto" w:fill="E4E4E4"/>
          </w:tcPr>
          <w:p>
            <w:pPr>
              <w:jc w:val="right"/>
              <w:ind w:right="319"/>
              <w:spacing w:after="0"/>
              <w:rPr>
                <w:sz w:val="20"/>
                <w:szCs w:val="20"/>
                <w:color w:val="auto"/>
              </w:rPr>
            </w:pPr>
            <w:r>
              <w:rPr>
                <w:rFonts w:ascii="Arial" w:cs="Arial" w:eastAsia="Arial" w:hAnsi="Arial"/>
                <w:sz w:val="16"/>
                <w:szCs w:val="16"/>
                <w:color w:val="auto"/>
              </w:rPr>
              <w:t>(146)</w:t>
            </w:r>
          </w:p>
        </w:tc>
        <w:tc>
          <w:tcPr>
            <w:tcW w:w="9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(222)</w:t>
            </w:r>
          </w:p>
        </w:tc>
      </w:tr>
      <w:tr>
        <w:trPr>
          <w:trHeight w:val="241"/>
        </w:trPr>
        <w:tc>
          <w:tcPr>
            <w:tcW w:w="720" w:type="dxa"/>
            <w:vAlign w:val="bottom"/>
          </w:tcPr>
          <w:p>
            <w:pPr>
              <w:jc w:val="right"/>
              <w:ind w:right="259"/>
              <w:spacing w:after="0"/>
              <w:rPr>
                <w:sz w:val="20"/>
                <w:szCs w:val="20"/>
                <w:color w:val="auto"/>
              </w:rPr>
            </w:pPr>
            <w:r>
              <w:rPr>
                <w:rFonts w:ascii="Arial" w:cs="Arial" w:eastAsia="Arial" w:hAnsi="Arial"/>
                <w:sz w:val="16"/>
                <w:szCs w:val="16"/>
                <w:color w:val="auto"/>
                <w:w w:val="96"/>
              </w:rPr>
              <w:t>(129)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(179)</w:t>
            </w:r>
          </w:p>
        </w:tc>
        <w:tc>
          <w:tcPr>
            <w:tcW w:w="2660" w:type="dxa"/>
            <w:vAlign w:val="bottom"/>
          </w:tcPr>
          <w:p>
            <w:pPr>
              <w:jc w:val="right"/>
              <w:ind w:right="319"/>
              <w:spacing w:after="0"/>
              <w:rPr>
                <w:sz w:val="20"/>
                <w:szCs w:val="20"/>
                <w:color w:val="auto"/>
              </w:rPr>
            </w:pPr>
            <w:r>
              <w:rPr>
                <w:rFonts w:ascii="Arial" w:cs="Arial" w:eastAsia="Arial" w:hAnsi="Arial"/>
                <w:sz w:val="16"/>
                <w:szCs w:val="16"/>
                <w:color w:val="auto"/>
              </w:rPr>
              <w:t>(342)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(395)</w:t>
            </w:r>
          </w:p>
        </w:tc>
      </w:tr>
      <w:tr>
        <w:trPr>
          <w:trHeight w:val="43"/>
        </w:trPr>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22"/>
        </w:trPr>
        <w:tc>
          <w:tcPr>
            <w:tcW w:w="720" w:type="dxa"/>
            <w:vAlign w:val="bottom"/>
          </w:tcPr>
          <w:p>
            <w:pPr>
              <w:jc w:val="right"/>
              <w:ind w:right="259"/>
              <w:spacing w:after="0"/>
              <w:rPr>
                <w:sz w:val="20"/>
                <w:szCs w:val="20"/>
                <w:color w:val="auto"/>
              </w:rPr>
            </w:pPr>
            <w:r>
              <w:rPr>
                <w:rFonts w:ascii="Arial" w:cs="Arial" w:eastAsia="Arial" w:hAnsi="Arial"/>
                <w:sz w:val="16"/>
                <w:szCs w:val="16"/>
                <w:color w:val="auto"/>
              </w:rPr>
              <w:t>(9)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660" w:type="dxa"/>
            <w:vAlign w:val="bottom"/>
            <w:shd w:val="clear" w:color="auto" w:fill="E4E4E4"/>
          </w:tcPr>
          <w:p>
            <w:pPr>
              <w:jc w:val="right"/>
              <w:ind w:right="319"/>
              <w:spacing w:after="0"/>
              <w:rPr>
                <w:sz w:val="20"/>
                <w:szCs w:val="20"/>
                <w:color w:val="auto"/>
              </w:rPr>
            </w:pPr>
            <w:r>
              <w:rPr>
                <w:rFonts w:ascii="Arial" w:cs="Arial" w:eastAsia="Arial" w:hAnsi="Arial"/>
                <w:sz w:val="16"/>
                <w:szCs w:val="16"/>
                <w:color w:val="auto"/>
              </w:rPr>
              <w:t>(44)</w:t>
            </w:r>
          </w:p>
        </w:tc>
        <w:tc>
          <w:tcPr>
            <w:tcW w:w="94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(57)</w:t>
            </w:r>
          </w:p>
        </w:tc>
      </w:tr>
      <w:tr>
        <w:trPr>
          <w:trHeight w:val="131"/>
        </w:trPr>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60" w:type="dxa"/>
            <w:vAlign w:val="bottom"/>
            <w:tcBorders>
              <w:bottom w:val="single" w:sz="8" w:color="auto"/>
            </w:tcBorders>
            <w:shd w:val="clear" w:color="auto" w:fill="E4E4E4"/>
          </w:tcPr>
          <w:p>
            <w:pPr>
              <w:spacing w:after="0"/>
              <w:rPr>
                <w:sz w:val="11"/>
                <w:szCs w:val="11"/>
                <w:color w:val="auto"/>
              </w:rPr>
            </w:pPr>
          </w:p>
        </w:tc>
        <w:tc>
          <w:tcPr>
            <w:tcW w:w="940" w:type="dxa"/>
            <w:vAlign w:val="bottom"/>
            <w:tcBorders>
              <w:bottom w:val="single" w:sz="8" w:color="auto"/>
            </w:tcBorders>
            <w:shd w:val="clear" w:color="auto" w:fill="E4E4E4"/>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-659130</wp:posOffset>
            </wp:positionV>
            <wp:extent cx="7289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-299720</wp:posOffset>
            </wp:positionV>
            <wp:extent cx="72898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3003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4180" w:space="720"/>
            <w:col w:w="634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2680" w:type="dxa"/>
            <w:vAlign w:val="bottom"/>
          </w:tcPr>
          <w:p>
            <w:pPr>
              <w:spacing w:after="0"/>
              <w:rPr>
                <w:sz w:val="20"/>
                <w:szCs w:val="20"/>
                <w:color w:val="auto"/>
              </w:rPr>
            </w:pPr>
            <w:r>
              <w:rPr>
                <w:rFonts w:ascii="Arial" w:cs="Arial" w:eastAsia="Arial" w:hAnsi="Arial"/>
                <w:sz w:val="16"/>
                <w:szCs w:val="16"/>
                <w:b w:val="1"/>
                <w:bCs w:val="1"/>
                <w:color w:val="auto"/>
              </w:rPr>
              <w:t>EBIT*</w:t>
            </w:r>
          </w:p>
        </w:tc>
        <w:tc>
          <w:tcPr>
            <w:tcW w:w="2920" w:type="dxa"/>
            <w:vAlign w:val="bottom"/>
          </w:tcPr>
          <w:p>
            <w:pPr>
              <w:jc w:val="right"/>
              <w:ind w:right="319"/>
              <w:spacing w:after="0"/>
              <w:rPr>
                <w:sz w:val="20"/>
                <w:szCs w:val="20"/>
                <w:color w:val="auto"/>
              </w:rPr>
            </w:pPr>
            <w:r>
              <w:rPr>
                <w:rFonts w:ascii="Arial" w:cs="Arial" w:eastAsia="Arial" w:hAnsi="Arial"/>
                <w:sz w:val="16"/>
                <w:szCs w:val="16"/>
                <w:b w:val="1"/>
                <w:bCs w:val="1"/>
                <w:color w:val="auto"/>
              </w:rPr>
              <w:t>824</w:t>
            </w: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679</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21.3 %</w:t>
            </w: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2,136</w:t>
            </w: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2,060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 Acquisition and disposition-related charges (benefits)</w:t>
      </w:r>
    </w:p>
    <w:p>
      <w:pPr>
        <w:ind w:left="20"/>
        <w:spacing w:after="0"/>
        <w:rPr>
          <w:sz w:val="20"/>
          <w:szCs w:val="20"/>
          <w:color w:val="auto"/>
        </w:rPr>
      </w:pPr>
      <w:r>
        <w:rPr>
          <w:rFonts w:ascii="Arial" w:cs="Arial" w:eastAsia="Arial" w:hAnsi="Arial"/>
          <w:sz w:val="11"/>
          <w:szCs w:val="11"/>
          <w:color w:val="auto"/>
        </w:rPr>
        <w:t>(2)</w:t>
      </w:r>
    </w:p>
    <w:p>
      <w:pPr>
        <w:spacing w:after="0" w:line="117" w:lineRule="exact"/>
        <w:rPr>
          <w:sz w:val="20"/>
          <w:szCs w:val="20"/>
          <w:color w:val="auto"/>
        </w:rPr>
      </w:pPr>
    </w:p>
    <w:p>
      <w:pPr>
        <w:ind w:left="20" w:right="1060"/>
        <w:spacing w:after="0" w:line="243" w:lineRule="auto"/>
        <w:rPr>
          <w:sz w:val="20"/>
          <w:szCs w:val="20"/>
          <w:color w:val="auto"/>
        </w:rPr>
      </w:pPr>
      <w:r>
        <w:rPr>
          <w:rFonts w:ascii="Arial" w:cs="Arial" w:eastAsia="Arial" w:hAnsi="Arial"/>
          <w:sz w:val="16"/>
          <w:szCs w:val="16"/>
          <w:color w:val="auto"/>
        </w:rPr>
        <w:t>Add: Spin-Off and separation costs and other adjustments</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4123055"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23055" cy="266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412305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23055" cy="265430"/>
                    </a:xfrm>
                    <a:prstGeom prst="rect">
                      <a:avLst/>
                    </a:prstGeom>
                    <a:noFill/>
                  </pic:spPr>
                </pic:pic>
              </a:graphicData>
            </a:graphic>
          </wp:anchor>
        </w:drawing>
      </w:r>
    </w:p>
    <w:p>
      <w:pPr>
        <w:ind w:left="20" w:right="740"/>
        <w:spacing w:after="0" w:line="235" w:lineRule="auto"/>
        <w:rPr>
          <w:sz w:val="20"/>
          <w:szCs w:val="20"/>
          <w:color w:val="auto"/>
        </w:rPr>
      </w:pPr>
      <w:r>
        <w:rPr>
          <w:rFonts w:ascii="Arial" w:cs="Arial" w:eastAsia="Arial" w:hAnsi="Arial"/>
          <w:sz w:val="16"/>
          <w:szCs w:val="16"/>
          <w:color w:val="auto"/>
        </w:rPr>
        <w:t>Add: Amortization of acquisition-related intangible assets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12305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23055" cy="17970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Tariff refunds</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1230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17</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2700" w:type="dxa"/>
            <w:vAlign w:val="bottom"/>
          </w:tcPr>
          <w:p>
            <w:pPr>
              <w:jc w:val="right"/>
              <w:ind w:right="399"/>
              <w:spacing w:after="0"/>
              <w:rPr>
                <w:sz w:val="20"/>
                <w:szCs w:val="20"/>
                <w:color w:val="auto"/>
              </w:rPr>
            </w:pPr>
            <w:r>
              <w:rPr>
                <w:rFonts w:ascii="Arial" w:cs="Arial" w:eastAsia="Arial" w:hAnsi="Arial"/>
                <w:sz w:val="16"/>
                <w:szCs w:val="16"/>
                <w:color w:val="auto"/>
              </w:rPr>
              <w:t>92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71</w:t>
            </w:r>
          </w:p>
        </w:tc>
      </w:tr>
      <w:tr>
        <w:trPr>
          <w:trHeight w:val="338"/>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11</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2700" w:type="dxa"/>
            <w:vAlign w:val="bottom"/>
          </w:tcPr>
          <w:p>
            <w:pPr>
              <w:jc w:val="right"/>
              <w:ind w:right="399"/>
              <w:spacing w:after="0"/>
              <w:rPr>
                <w:sz w:val="20"/>
                <w:szCs w:val="20"/>
                <w:color w:val="auto"/>
              </w:rPr>
            </w:pPr>
            <w:r>
              <w:rPr>
                <w:rFonts w:ascii="Arial" w:cs="Arial" w:eastAsia="Arial" w:hAnsi="Arial"/>
                <w:sz w:val="16"/>
                <w:szCs w:val="16"/>
                <w:color w:val="auto"/>
              </w:rPr>
              <w:t>57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24</w:t>
            </w:r>
          </w:p>
        </w:tc>
      </w:tr>
      <w:tr>
        <w:trPr>
          <w:trHeight w:val="110"/>
        </w:trPr>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08"/>
        </w:trPr>
        <w:tc>
          <w:tcPr>
            <w:tcW w:w="660" w:type="dxa"/>
            <w:vAlign w:val="bottom"/>
          </w:tcPr>
          <w:p>
            <w:pPr>
              <w:jc w:val="right"/>
              <w:ind w:right="399"/>
              <w:spacing w:after="0"/>
              <w:rPr>
                <w:sz w:val="20"/>
                <w:szCs w:val="20"/>
                <w:color w:val="auto"/>
              </w:rPr>
            </w:pPr>
            <w:r>
              <w:rPr>
                <w:rFonts w:ascii="Arial" w:cs="Arial" w:eastAsia="Arial" w:hAnsi="Arial"/>
                <w:sz w:val="16"/>
                <w:szCs w:val="16"/>
                <w:color w:val="auto"/>
              </w:rPr>
              <w:t>4</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2700" w:type="dxa"/>
            <w:vAlign w:val="bottom"/>
            <w:shd w:val="clear" w:color="auto" w:fill="E4E4E4"/>
          </w:tcPr>
          <w:p>
            <w:pPr>
              <w:jc w:val="right"/>
              <w:ind w:right="399"/>
              <w:spacing w:after="0"/>
              <w:rPr>
                <w:sz w:val="20"/>
                <w:szCs w:val="20"/>
                <w:color w:val="auto"/>
              </w:rPr>
            </w:pPr>
            <w:r>
              <w:rPr>
                <w:rFonts w:ascii="Arial" w:cs="Arial" w:eastAsia="Arial" w:hAnsi="Arial"/>
                <w:sz w:val="16"/>
                <w:szCs w:val="16"/>
                <w:color w:val="auto"/>
              </w:rPr>
              <w:t>2</w:t>
            </w:r>
          </w:p>
        </w:tc>
        <w:tc>
          <w:tcPr>
            <w:tcW w:w="90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35</w:t>
            </w:r>
          </w:p>
        </w:tc>
      </w:tr>
      <w:tr>
        <w:trPr>
          <w:trHeight w:val="110"/>
        </w:trPr>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00" w:type="dxa"/>
            <w:vAlign w:val="bottom"/>
            <w:shd w:val="clear" w:color="auto" w:fill="E4E4E4"/>
          </w:tcPr>
          <w:p>
            <w:pPr>
              <w:spacing w:after="0"/>
              <w:rPr>
                <w:sz w:val="9"/>
                <w:szCs w:val="9"/>
                <w:color w:val="auto"/>
              </w:rPr>
            </w:pPr>
          </w:p>
        </w:tc>
        <w:tc>
          <w:tcPr>
            <w:tcW w:w="900" w:type="dxa"/>
            <w:vAlign w:val="bottom"/>
            <w:shd w:val="clear" w:color="auto" w:fill="E4E4E4"/>
          </w:tcPr>
          <w:p>
            <w:pPr>
              <w:spacing w:after="0"/>
              <w:rPr>
                <w:sz w:val="9"/>
                <w:szCs w:val="9"/>
                <w:color w:val="auto"/>
              </w:rPr>
            </w:pPr>
          </w:p>
        </w:tc>
      </w:tr>
      <w:tr>
        <w:trPr>
          <w:trHeight w:val="227"/>
        </w:trPr>
        <w:tc>
          <w:tcPr>
            <w:tcW w:w="660" w:type="dxa"/>
            <w:vAlign w:val="bottom"/>
          </w:tcPr>
          <w:p>
            <w:pPr>
              <w:jc w:val="right"/>
              <w:ind w:right="339"/>
              <w:spacing w:after="0"/>
              <w:rPr>
                <w:sz w:val="20"/>
                <w:szCs w:val="20"/>
                <w:color w:val="auto"/>
              </w:rPr>
            </w:pPr>
            <w:r>
              <w:rPr>
                <w:rFonts w:ascii="Arial" w:cs="Arial" w:eastAsia="Arial" w:hAnsi="Arial"/>
                <w:sz w:val="16"/>
                <w:szCs w:val="16"/>
                <w:color w:val="auto"/>
              </w:rPr>
              <w:t>(2)</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359"/>
              <w:spacing w:after="0"/>
              <w:rPr>
                <w:sz w:val="20"/>
                <w:szCs w:val="20"/>
                <w:color w:val="auto"/>
              </w:rPr>
            </w:pPr>
            <w:r>
              <w:rPr>
                <w:rFonts w:ascii="Arial" w:cs="Arial" w:eastAsia="Arial" w:hAnsi="Arial"/>
                <w:sz w:val="16"/>
                <w:szCs w:val="16"/>
                <w:color w:val="auto"/>
              </w:rPr>
              <w:t>(2)</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w:t>
            </w:r>
          </w:p>
        </w:tc>
      </w:tr>
      <w:tr>
        <w:trPr>
          <w:trHeight w:val="29"/>
        </w:trPr>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8"/>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61</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2700" w:type="dxa"/>
            <w:vAlign w:val="bottom"/>
            <w:shd w:val="clear" w:color="auto" w:fill="E4E4E4"/>
          </w:tcPr>
          <w:p>
            <w:pPr>
              <w:jc w:val="right"/>
              <w:ind w:right="399"/>
              <w:spacing w:after="0"/>
              <w:rPr>
                <w:sz w:val="20"/>
                <w:szCs w:val="20"/>
                <w:color w:val="auto"/>
              </w:rPr>
            </w:pPr>
            <w:r>
              <w:rPr>
                <w:rFonts w:ascii="Arial" w:cs="Arial" w:eastAsia="Arial" w:hAnsi="Arial"/>
                <w:sz w:val="16"/>
                <w:szCs w:val="16"/>
                <w:color w:val="auto"/>
              </w:rPr>
              <w:t>169</w:t>
            </w:r>
          </w:p>
        </w:tc>
        <w:tc>
          <w:tcPr>
            <w:tcW w:w="90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116</w:t>
            </w:r>
          </w:p>
        </w:tc>
      </w:tr>
      <w:tr>
        <w:trPr>
          <w:trHeight w:val="110"/>
        </w:trPr>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00" w:type="dxa"/>
            <w:vAlign w:val="bottom"/>
            <w:shd w:val="clear" w:color="auto" w:fill="E4E4E4"/>
          </w:tcPr>
          <w:p>
            <w:pPr>
              <w:spacing w:after="0"/>
              <w:rPr>
                <w:sz w:val="9"/>
                <w:szCs w:val="9"/>
                <w:color w:val="auto"/>
              </w:rPr>
            </w:pPr>
          </w:p>
        </w:tc>
        <w:tc>
          <w:tcPr>
            <w:tcW w:w="900" w:type="dxa"/>
            <w:vAlign w:val="bottom"/>
            <w:shd w:val="clear" w:color="auto" w:fill="E4E4E4"/>
          </w:tcPr>
          <w:p>
            <w:pPr>
              <w:spacing w:after="0"/>
              <w:rPr>
                <w:sz w:val="9"/>
                <w:szCs w:val="9"/>
                <w:color w:val="auto"/>
              </w:rPr>
            </w:pPr>
          </w:p>
        </w:tc>
      </w:tr>
      <w:tr>
        <w:trPr>
          <w:trHeight w:val="241"/>
        </w:trPr>
        <w:tc>
          <w:tcPr>
            <w:tcW w:w="660" w:type="dxa"/>
            <w:vAlign w:val="bottom"/>
          </w:tcPr>
          <w:p>
            <w:pPr>
              <w:jc w:val="right"/>
              <w:ind w:right="399"/>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700" w:type="dxa"/>
            <w:vAlign w:val="bottom"/>
          </w:tcPr>
          <w:p>
            <w:pPr>
              <w:jc w:val="right"/>
              <w:ind w:right="399"/>
              <w:spacing w:after="0"/>
              <w:rPr>
                <w:sz w:val="20"/>
                <w:szCs w:val="20"/>
                <w:color w:val="auto"/>
              </w:rPr>
            </w:pPr>
            <w:r>
              <w:rPr>
                <w:rFonts w:ascii="Arial" w:cs="Arial" w:eastAsia="Arial" w:hAnsi="Arial"/>
                <w:sz w:val="16"/>
                <w:szCs w:val="16"/>
                <w:color w:val="auto"/>
              </w:rPr>
              <w:t>14</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(96)</w:t>
            </w: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660" w:type="dxa"/>
            <w:vAlign w:val="bottom"/>
          </w:tcPr>
          <w:p>
            <w:pPr>
              <w:jc w:val="right"/>
              <w:ind w:right="399"/>
              <w:spacing w:after="0"/>
              <w:rPr>
                <w:sz w:val="20"/>
                <w:szCs w:val="20"/>
                <w:color w:val="auto"/>
              </w:rPr>
            </w:pPr>
            <w:r>
              <w:rPr>
                <w:rFonts w:ascii="Arial" w:cs="Arial" w:eastAsia="Arial" w:hAnsi="Arial"/>
                <w:sz w:val="16"/>
                <w:szCs w:val="16"/>
                <w:color w:val="auto"/>
              </w:rPr>
              <w:t>9</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color w:val="auto"/>
              </w:rPr>
              <w:t>115</w:t>
            </w:r>
          </w:p>
        </w:tc>
        <w:tc>
          <w:tcPr>
            <w:tcW w:w="90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r>
      <w:tr>
        <w:trPr>
          <w:trHeight w:val="27"/>
        </w:trPr>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-1062355</wp:posOffset>
            </wp:positionV>
            <wp:extent cx="72898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25717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-633730</wp:posOffset>
            </wp:positionV>
            <wp:extent cx="72898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25717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-187960</wp:posOffset>
            </wp:positionV>
            <wp:extent cx="7289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4320" w:space="720"/>
            <w:col w:w="6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04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913</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761</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19.9 %  $</w:t>
            </w: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2,353</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2,205</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6.7 %</w:t>
            </w:r>
          </w:p>
        </w:tc>
      </w:tr>
      <w:tr>
        <w:trPr>
          <w:trHeight w:val="34"/>
        </w:trPr>
        <w:tc>
          <w:tcPr>
            <w:tcW w:w="30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margin</w:t>
            </w:r>
          </w:p>
        </w:tc>
        <w:tc>
          <w:tcPr>
            <w:tcW w:w="1620" w:type="dxa"/>
            <w:vAlign w:val="bottom"/>
            <w:tcBorders>
              <w:bottom w:val="single" w:sz="8" w:color="E4E4E4"/>
            </w:tcBorders>
            <w:shd w:val="clear" w:color="auto" w:fill="E4E4E4"/>
          </w:tcPr>
          <w:p>
            <w:pPr>
              <w:spacing w:after="0"/>
              <w:rPr>
                <w:sz w:val="22"/>
                <w:szCs w:val="22"/>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11.1 %</w:t>
            </w:r>
          </w:p>
        </w:tc>
        <w:tc>
          <w:tcPr>
            <w:tcW w:w="3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8.7 %</w:t>
            </w:r>
          </w:p>
        </w:tc>
        <w:tc>
          <w:tcPr>
            <w:tcW w:w="132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b w:val="1"/>
                <w:bCs w:val="1"/>
                <w:color w:val="auto"/>
              </w:rPr>
              <w:t>250 bps</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9.8 %</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10.0 %</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 bps</w:t>
            </w:r>
          </w:p>
        </w:tc>
      </w:tr>
      <w:tr>
        <w:trPr>
          <w:trHeight w:val="249"/>
        </w:trPr>
        <w:tc>
          <w:tcPr>
            <w:tcW w:w="3040" w:type="dxa"/>
            <w:vAlign w:val="bottom"/>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16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16.6 %</w:t>
            </w:r>
          </w:p>
        </w:tc>
        <w:tc>
          <w:tcPr>
            <w:tcW w:w="320" w:type="dxa"/>
            <w:vAlign w:val="bottom"/>
          </w:tcPr>
          <w:p>
            <w:pPr>
              <w:spacing w:after="0"/>
              <w:rPr>
                <w:sz w:val="21"/>
                <w:szCs w:val="21"/>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14.8 %</w:t>
            </w:r>
          </w:p>
        </w:tc>
        <w:tc>
          <w:tcPr>
            <w:tcW w:w="1320" w:type="dxa"/>
            <w:vAlign w:val="bottom"/>
          </w:tcPr>
          <w:p>
            <w:pPr>
              <w:ind w:left="280"/>
              <w:spacing w:after="0"/>
              <w:rPr>
                <w:sz w:val="20"/>
                <w:szCs w:val="20"/>
                <w:color w:val="auto"/>
              </w:rPr>
            </w:pPr>
            <w:r>
              <w:rPr>
                <w:rFonts w:ascii="Arial" w:cs="Arial" w:eastAsia="Arial" w:hAnsi="Arial"/>
                <w:sz w:val="16"/>
                <w:szCs w:val="16"/>
                <w:b w:val="1"/>
                <w:bCs w:val="1"/>
                <w:color w:val="auto"/>
              </w:rPr>
              <w:t>180 bps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14.8 %</w:t>
            </w:r>
          </w:p>
        </w:tc>
        <w:tc>
          <w:tcPr>
            <w:tcW w:w="320" w:type="dxa"/>
            <w:vAlign w:val="bottom"/>
          </w:tcPr>
          <w:p>
            <w:pPr>
              <w:spacing w:after="0"/>
              <w:rPr>
                <w:sz w:val="21"/>
                <w:szCs w:val="21"/>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auto"/>
              </w:rPr>
              <w:t>14.8 %</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bps</w:t>
            </w:r>
          </w:p>
        </w:tc>
      </w:tr>
      <w:tr>
        <w:trPr>
          <w:trHeight w:val="28"/>
        </w:trPr>
        <w:tc>
          <w:tcPr>
            <w:tcW w:w="3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ind w:left="440" w:hanging="414"/>
        <w:spacing w:after="0"/>
        <w:tabs>
          <w:tab w:leader="none" w:pos="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72" w:lineRule="exact"/>
        <w:rPr>
          <w:rFonts w:ascii="Arial" w:cs="Arial" w:eastAsia="Arial" w:hAnsi="Arial"/>
          <w:sz w:val="16"/>
          <w:szCs w:val="16"/>
          <w:color w:val="auto"/>
        </w:rPr>
      </w:pPr>
    </w:p>
    <w:p>
      <w:pPr>
        <w:ind w:left="440" w:right="540" w:hanging="414"/>
        <w:spacing w:after="0" w:line="299" w:lineRule="auto"/>
        <w:tabs>
          <w:tab w:leader="none" w:pos="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ind w:left="440" w:right="660" w:hanging="414"/>
        <w:spacing w:after="0" w:line="299" w:lineRule="auto"/>
        <w:tabs>
          <w:tab w:leader="none" w:pos="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Costs and other adjustments related to the Spin-Off and separation from GE, including system implementations, audit and advisory fees, legal entity separation, Founders Grant equity awards, separation agreements with GE, and other one-time costs.</w:t>
      </w:r>
    </w:p>
    <w:p>
      <w:pPr>
        <w:ind w:left="440" w:hanging="414"/>
        <w:spacing w:after="0"/>
        <w:tabs>
          <w:tab w:leader="none" w:pos="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360" w:hanging="414"/>
        <w:spacing w:after="0" w:line="299" w:lineRule="auto"/>
        <w:tabs>
          <w:tab w:leader="none" w:pos="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spacing w:after="0" w:line="14" w:lineRule="exact"/>
        <w:rPr>
          <w:rFonts w:ascii="Arial" w:cs="Arial" w:eastAsia="Arial" w:hAnsi="Arial"/>
          <w:sz w:val="16"/>
          <w:szCs w:val="16"/>
          <w:color w:val="auto"/>
        </w:rPr>
      </w:pPr>
    </w:p>
    <w:p>
      <w:pPr>
        <w:ind w:left="440" w:hanging="414"/>
        <w:spacing w:after="0"/>
        <w:tabs>
          <w:tab w:leader="none" w:pos="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Consists of the pre-tax impact of refunds pertaining to IEEPA tariffs incurred in the year ended December 31, 2025.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Non-GAAP financial measure.</w:t>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22"/>
                <w:szCs w:val="22"/>
                <w:color w:val="auto"/>
              </w:rPr>
            </w:pPr>
          </w:p>
        </w:tc>
        <w:tc>
          <w:tcPr>
            <w:tcW w:w="376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454545"/>
              </w:rPr>
              <w:t>For the three months ended September 30</w:t>
            </w:r>
          </w:p>
        </w:tc>
        <w:tc>
          <w:tcPr>
            <w:tcW w:w="35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 in millions)</w:t>
            </w:r>
          </w:p>
        </w:tc>
        <w:tc>
          <w:tcPr>
            <w:tcW w:w="1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6022A6"/>
            </w:tcBorders>
            <w:vMerge w:val="continue"/>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2026</w:t>
            </w:r>
          </w:p>
        </w:tc>
        <w:tc>
          <w:tcPr>
            <w:tcW w:w="30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2025</w:t>
            </w:r>
          </w:p>
        </w:tc>
        <w:tc>
          <w:tcPr>
            <w:tcW w:w="1480" w:type="dxa"/>
            <w:vAlign w:val="bottom"/>
            <w:tcBorders>
              <w:bottom w:val="single" w:sz="8" w:color="6022A6"/>
            </w:tcBorders>
            <w:gridSpan w:val="3"/>
          </w:tcPr>
          <w:p>
            <w:pPr>
              <w:jc w:val="right"/>
              <w:ind w:right="540"/>
              <w:spacing w:after="0"/>
              <w:rPr>
                <w:sz w:val="20"/>
                <w:szCs w:val="20"/>
                <w:color w:val="auto"/>
              </w:rPr>
            </w:pPr>
            <w:r>
              <w:rPr>
                <w:rFonts w:ascii="Arial" w:cs="Arial" w:eastAsia="Arial" w:hAnsi="Arial"/>
                <w:sz w:val="16"/>
                <w:szCs w:val="16"/>
                <w:b w:val="1"/>
                <w:bCs w:val="1"/>
                <w:color w:val="454545"/>
              </w:rPr>
              <w:t>% change</w:t>
            </w:r>
          </w:p>
        </w:tc>
        <w:tc>
          <w:tcPr>
            <w:tcW w:w="98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2026</w:t>
            </w:r>
          </w:p>
        </w:tc>
        <w:tc>
          <w:tcPr>
            <w:tcW w:w="30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120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35"/>
        </w:trPr>
        <w:tc>
          <w:tcPr>
            <w:tcW w:w="38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615</w:t>
            </w:r>
          </w:p>
        </w:tc>
        <w:tc>
          <w:tcPr>
            <w:tcW w:w="300" w:type="dxa"/>
            <w:vAlign w:val="bottom"/>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446</w:t>
            </w:r>
          </w:p>
        </w:tc>
        <w:tc>
          <w:tcPr>
            <w:tcW w:w="1480" w:type="dxa"/>
            <w:vAlign w:val="bottom"/>
            <w:gridSpan w:val="3"/>
            <w:shd w:val="clear" w:color="auto" w:fill="E4E4E4"/>
          </w:tcPr>
          <w:p>
            <w:pPr>
              <w:jc w:val="right"/>
              <w:ind w:right="60"/>
              <w:spacing w:after="0"/>
              <w:rPr>
                <w:sz w:val="20"/>
                <w:szCs w:val="20"/>
                <w:color w:val="auto"/>
              </w:rPr>
            </w:pPr>
            <w:r>
              <w:rPr>
                <w:rFonts w:ascii="Arial" w:cs="Arial" w:eastAsia="Arial" w:hAnsi="Arial"/>
                <w:sz w:val="16"/>
                <w:szCs w:val="16"/>
                <w:b w:val="1"/>
                <w:bCs w:val="1"/>
                <w:color w:val="auto"/>
              </w:rPr>
              <w:t>37.9 %  $</w:t>
            </w: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1,564</w:t>
            </w:r>
          </w:p>
        </w:tc>
        <w:tc>
          <w:tcPr>
            <w:tcW w:w="300" w:type="dxa"/>
            <w:vAlign w:val="bottom"/>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1,495</w:t>
            </w:r>
          </w:p>
        </w:tc>
        <w:tc>
          <w:tcPr>
            <w:tcW w:w="1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4.6 %</w:t>
            </w:r>
          </w:p>
        </w:tc>
        <w:tc>
          <w:tcPr>
            <w:tcW w:w="0" w:type="dxa"/>
            <w:vAlign w:val="bottom"/>
          </w:tcPr>
          <w:p>
            <w:pPr>
              <w:spacing w:after="0"/>
              <w:rPr>
                <w:sz w:val="1"/>
                <w:szCs w:val="1"/>
                <w:color w:val="auto"/>
              </w:rPr>
            </w:pPr>
          </w:p>
        </w:tc>
      </w:tr>
      <w:tr>
        <w:trPr>
          <w:trHeight w:val="21"/>
        </w:trPr>
        <w:tc>
          <w:tcPr>
            <w:tcW w:w="382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98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1220" w:type="dxa"/>
            <w:vAlign w:val="bottom"/>
            <w:shd w:val="clear" w:color="auto" w:fill="E4E4E4"/>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98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2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6"/>
          <w:szCs w:val="16"/>
          <w:color w:val="auto"/>
        </w:rPr>
        <w:t>Add: Non-operating benefit (income)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90906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09060" cy="1885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p>
      <w:pPr>
        <w:spacing w:after="0" w:line="56" w:lineRule="exact"/>
        <w:rPr>
          <w:sz w:val="20"/>
          <w:szCs w:val="20"/>
          <w:color w:val="auto"/>
        </w:rPr>
      </w:pPr>
    </w:p>
    <w:p>
      <w:pPr>
        <w:ind w:left="60" w:right="440"/>
        <w:spacing w:after="0" w:line="275" w:lineRule="auto"/>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90906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09060" cy="308610"/>
                    </a:xfrm>
                    <a:prstGeom prst="rect">
                      <a:avLst/>
                    </a:prstGeom>
                    <a:noFill/>
                  </pic:spPr>
                </pic:pic>
              </a:graphicData>
            </a:graphic>
          </wp:anchor>
        </w:drawing>
      </w:r>
    </w:p>
    <w:p>
      <w:pPr>
        <w:ind w:left="60" w:right="660"/>
        <w:spacing w:after="0" w:line="274" w:lineRule="auto"/>
        <w:rPr>
          <w:sz w:val="20"/>
          <w:szCs w:val="20"/>
          <w:color w:val="auto"/>
        </w:rPr>
      </w:pPr>
      <w:r>
        <w:rPr>
          <w:rFonts w:ascii="Arial" w:cs="Arial" w:eastAsia="Arial" w:hAnsi="Arial"/>
          <w:sz w:val="16"/>
          <w:szCs w:val="16"/>
          <w:color w:val="auto"/>
        </w:rPr>
        <w:t>Add: Spin-Off and separation costs and other adjustments</w:t>
      </w:r>
      <w:r>
        <w:rPr>
          <w:rFonts w:ascii="Arial" w:cs="Arial" w:eastAsia="Arial" w:hAnsi="Arial"/>
          <w:sz w:val="21"/>
          <w:szCs w:val="21"/>
          <w:color w:val="auto"/>
          <w:vertAlign w:val="superscript"/>
        </w:rPr>
        <w:t>(3)</w:t>
      </w:r>
    </w:p>
    <w:p>
      <w:pPr>
        <w:ind w:left="60" w:right="1080"/>
        <w:spacing w:after="0" w:line="274" w:lineRule="auto"/>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90906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09060" cy="308610"/>
                    </a:xfrm>
                    <a:prstGeom prst="rect">
                      <a:avLst/>
                    </a:prstGeom>
                    <a:noFill/>
                  </pic:spPr>
                </pic:pic>
              </a:graphicData>
            </a:graphic>
          </wp:anchor>
        </w:drawing>
      </w:r>
    </w:p>
    <w:p>
      <w:pPr>
        <w:ind w:left="60" w:right="360"/>
        <w:spacing w:after="0" w:line="301" w:lineRule="auto"/>
        <w:rPr>
          <w:sz w:val="20"/>
          <w:szCs w:val="20"/>
          <w:color w:val="auto"/>
        </w:rPr>
      </w:pPr>
      <w:r>
        <w:rPr>
          <w:rFonts w:ascii="Arial" w:cs="Arial" w:eastAsia="Arial" w:hAnsi="Arial"/>
          <w:sz w:val="16"/>
          <w:szCs w:val="16"/>
          <w:color w:val="auto"/>
        </w:rPr>
        <w:t>Add: Amortization of acquisition-related intangible assets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90906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09060" cy="179705"/>
                    </a:xfrm>
                    <a:prstGeom prst="rect">
                      <a:avLst/>
                    </a:prstGeom>
                    <a:noFill/>
                  </pic:spPr>
                </pic:pic>
              </a:graphicData>
            </a:graphic>
          </wp:anchor>
        </w:drawing>
      </w:r>
    </w:p>
    <w:p>
      <w:pPr>
        <w:spacing w:after="0" w:line="49"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Tariff refunds</w:t>
      </w:r>
      <w:r>
        <w:rPr>
          <w:rFonts w:ascii="Arial" w:cs="Arial" w:eastAsia="Arial" w:hAnsi="Arial"/>
          <w:sz w:val="21"/>
          <w:szCs w:val="21"/>
          <w:color w:val="auto"/>
          <w:vertAlign w:val="superscript"/>
        </w:rPr>
        <w:t>(6)</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90906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09060" cy="188595"/>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91"/>
              </w:rPr>
              <w:t>(50)</w:t>
            </w: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2960" w:type="dxa"/>
            <w:vAlign w:val="bottom"/>
          </w:tcPr>
          <w:p>
            <w:pPr>
              <w:jc w:val="right"/>
              <w:ind w:right="319"/>
              <w:spacing w:after="0"/>
              <w:rPr>
                <w:sz w:val="20"/>
                <w:szCs w:val="20"/>
                <w:color w:val="auto"/>
              </w:rPr>
            </w:pPr>
            <w:r>
              <w:rPr>
                <w:rFonts w:ascii="Arial" w:cs="Arial" w:eastAsia="Arial" w:hAnsi="Arial"/>
                <w:sz w:val="16"/>
                <w:szCs w:val="16"/>
                <w:color w:val="auto"/>
              </w:rPr>
              <w:t>(146)</w:t>
            </w:r>
          </w:p>
        </w:tc>
        <w:tc>
          <w:tcPr>
            <w:tcW w:w="8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9"/>
        </w:trPr>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720" w:type="dxa"/>
            <w:vAlign w:val="bottom"/>
          </w:tcPr>
          <w:p>
            <w:pPr>
              <w:jc w:val="right"/>
              <w:ind w:right="399"/>
              <w:spacing w:after="0"/>
              <w:rPr>
                <w:sz w:val="20"/>
                <w:szCs w:val="20"/>
                <w:color w:val="auto"/>
              </w:rPr>
            </w:pPr>
            <w:r>
              <w:rPr>
                <w:rFonts w:ascii="Arial" w:cs="Arial" w:eastAsia="Arial" w:hAnsi="Arial"/>
                <w:sz w:val="16"/>
                <w:szCs w:val="16"/>
                <w:color w:val="auto"/>
              </w:rPr>
              <w:t>17</w:t>
            </w: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29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92</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w:t>
            </w:r>
          </w:p>
        </w:tc>
      </w:tr>
      <w:tr>
        <w:trPr>
          <w:trHeight w:val="335"/>
        </w:trPr>
        <w:tc>
          <w:tcPr>
            <w:tcW w:w="720" w:type="dxa"/>
            <w:vAlign w:val="bottom"/>
          </w:tcPr>
          <w:p>
            <w:pPr>
              <w:jc w:val="right"/>
              <w:ind w:right="399"/>
              <w:spacing w:after="0"/>
              <w:rPr>
                <w:sz w:val="20"/>
                <w:szCs w:val="20"/>
                <w:color w:val="auto"/>
              </w:rPr>
            </w:pPr>
            <w:r>
              <w:rPr>
                <w:rFonts w:ascii="Arial" w:cs="Arial" w:eastAsia="Arial" w:hAnsi="Arial"/>
                <w:sz w:val="16"/>
                <w:szCs w:val="16"/>
                <w:color w:val="auto"/>
              </w:rPr>
              <w:t>11</w:t>
            </w: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2960" w:type="dxa"/>
            <w:vAlign w:val="bottom"/>
          </w:tcPr>
          <w:p>
            <w:pPr>
              <w:jc w:val="right"/>
              <w:ind w:right="359"/>
              <w:spacing w:after="0"/>
              <w:rPr>
                <w:sz w:val="20"/>
                <w:szCs w:val="20"/>
                <w:color w:val="auto"/>
              </w:rPr>
            </w:pPr>
            <w:r>
              <w:rPr>
                <w:rFonts w:ascii="Arial" w:cs="Arial" w:eastAsia="Arial" w:hAnsi="Arial"/>
                <w:sz w:val="16"/>
                <w:szCs w:val="16"/>
                <w:color w:val="auto"/>
              </w:rPr>
              <w:t>57</w:t>
            </w: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51"/>
        </w:trPr>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35"/>
        </w:trPr>
        <w:tc>
          <w:tcPr>
            <w:tcW w:w="720" w:type="dxa"/>
            <w:vAlign w:val="bottom"/>
          </w:tcPr>
          <w:p>
            <w:pPr>
              <w:jc w:val="right"/>
              <w:ind w:right="399"/>
              <w:spacing w:after="0"/>
              <w:rPr>
                <w:sz w:val="20"/>
                <w:szCs w:val="20"/>
                <w:color w:val="auto"/>
              </w:rPr>
            </w:pPr>
            <w:r>
              <w:rPr>
                <w:rFonts w:ascii="Arial" w:cs="Arial" w:eastAsia="Arial" w:hAnsi="Arial"/>
                <w:sz w:val="16"/>
                <w:szCs w:val="16"/>
                <w:color w:val="auto"/>
              </w:rPr>
              <w:t>4</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2960" w:type="dxa"/>
            <w:vAlign w:val="bottom"/>
            <w:shd w:val="clear" w:color="auto" w:fill="E4E4E4"/>
          </w:tcPr>
          <w:p>
            <w:pPr>
              <w:jc w:val="right"/>
              <w:ind w:right="359"/>
              <w:spacing w:after="0"/>
              <w:rPr>
                <w:sz w:val="20"/>
                <w:szCs w:val="20"/>
                <w:color w:val="auto"/>
              </w:rPr>
            </w:pPr>
            <w:r>
              <w:rPr>
                <w:rFonts w:ascii="Arial" w:cs="Arial" w:eastAsia="Arial" w:hAnsi="Arial"/>
                <w:sz w:val="16"/>
                <w:szCs w:val="16"/>
                <w:color w:val="auto"/>
              </w:rPr>
              <w:t>2</w:t>
            </w: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w:t>
            </w:r>
          </w:p>
        </w:tc>
      </w:tr>
      <w:tr>
        <w:trPr>
          <w:trHeight w:val="151"/>
        </w:trPr>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60" w:type="dxa"/>
            <w:vAlign w:val="bottom"/>
            <w:shd w:val="clear" w:color="auto" w:fill="E4E4E4"/>
          </w:tcPr>
          <w:p>
            <w:pPr>
              <w:spacing w:after="0"/>
              <w:rPr>
                <w:sz w:val="13"/>
                <w:szCs w:val="13"/>
                <w:color w:val="auto"/>
              </w:rPr>
            </w:pPr>
          </w:p>
        </w:tc>
        <w:tc>
          <w:tcPr>
            <w:tcW w:w="820" w:type="dxa"/>
            <w:vAlign w:val="bottom"/>
            <w:shd w:val="clear" w:color="auto" w:fill="E4E4E4"/>
          </w:tcPr>
          <w:p>
            <w:pPr>
              <w:spacing w:after="0"/>
              <w:rPr>
                <w:sz w:val="13"/>
                <w:szCs w:val="13"/>
                <w:color w:val="auto"/>
              </w:rPr>
            </w:pPr>
          </w:p>
        </w:tc>
      </w:tr>
      <w:tr>
        <w:trPr>
          <w:trHeight w:val="335"/>
        </w:trPr>
        <w:tc>
          <w:tcPr>
            <w:tcW w:w="720" w:type="dxa"/>
            <w:vAlign w:val="bottom"/>
          </w:tcPr>
          <w:p>
            <w:pPr>
              <w:jc w:val="right"/>
              <w:ind w:right="359"/>
              <w:spacing w:after="0"/>
              <w:rPr>
                <w:sz w:val="20"/>
                <w:szCs w:val="20"/>
                <w:color w:val="auto"/>
              </w:rPr>
            </w:pPr>
            <w:r>
              <w:rPr>
                <w:rFonts w:ascii="Arial" w:cs="Arial" w:eastAsia="Arial" w:hAnsi="Arial"/>
                <w:sz w:val="16"/>
                <w:szCs w:val="16"/>
                <w:color w:val="auto"/>
              </w:rPr>
              <w:t>(2)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51"/>
        </w:trPr>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35"/>
        </w:trPr>
        <w:tc>
          <w:tcPr>
            <w:tcW w:w="720" w:type="dxa"/>
            <w:vAlign w:val="bottom"/>
          </w:tcPr>
          <w:p>
            <w:pPr>
              <w:jc w:val="right"/>
              <w:ind w:right="399"/>
              <w:spacing w:after="0"/>
              <w:rPr>
                <w:sz w:val="20"/>
                <w:szCs w:val="20"/>
                <w:color w:val="auto"/>
              </w:rPr>
            </w:pPr>
            <w:r>
              <w:rPr>
                <w:rFonts w:ascii="Arial" w:cs="Arial" w:eastAsia="Arial" w:hAnsi="Arial"/>
                <w:sz w:val="16"/>
                <w:szCs w:val="16"/>
                <w:color w:val="auto"/>
              </w:rPr>
              <w:t>61</w:t>
            </w: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2960" w:type="dxa"/>
            <w:vAlign w:val="bottom"/>
            <w:shd w:val="clear" w:color="auto" w:fill="E4E4E4"/>
          </w:tcPr>
          <w:p>
            <w:pPr>
              <w:jc w:val="right"/>
              <w:ind w:right="359"/>
              <w:spacing w:after="0"/>
              <w:rPr>
                <w:sz w:val="20"/>
                <w:szCs w:val="20"/>
                <w:color w:val="auto"/>
              </w:rPr>
            </w:pPr>
            <w:r>
              <w:rPr>
                <w:rFonts w:ascii="Arial" w:cs="Arial" w:eastAsia="Arial" w:hAnsi="Arial"/>
                <w:sz w:val="16"/>
                <w:szCs w:val="16"/>
                <w:color w:val="auto"/>
              </w:rPr>
              <w:t>169</w:t>
            </w: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116</w:t>
            </w:r>
          </w:p>
        </w:tc>
      </w:tr>
      <w:tr>
        <w:trPr>
          <w:trHeight w:val="151"/>
        </w:trPr>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60" w:type="dxa"/>
            <w:vAlign w:val="bottom"/>
            <w:shd w:val="clear" w:color="auto" w:fill="E4E4E4"/>
          </w:tcPr>
          <w:p>
            <w:pPr>
              <w:spacing w:after="0"/>
              <w:rPr>
                <w:sz w:val="13"/>
                <w:szCs w:val="13"/>
                <w:color w:val="auto"/>
              </w:rPr>
            </w:pPr>
          </w:p>
        </w:tc>
        <w:tc>
          <w:tcPr>
            <w:tcW w:w="820" w:type="dxa"/>
            <w:vAlign w:val="bottom"/>
            <w:shd w:val="clear" w:color="auto" w:fill="E4E4E4"/>
          </w:tcPr>
          <w:p>
            <w:pPr>
              <w:spacing w:after="0"/>
              <w:rPr>
                <w:sz w:val="13"/>
                <w:szCs w:val="13"/>
                <w:color w:val="auto"/>
              </w:rPr>
            </w:pPr>
          </w:p>
        </w:tc>
      </w:tr>
      <w:tr>
        <w:trPr>
          <w:trHeight w:val="241"/>
        </w:trPr>
        <w:tc>
          <w:tcPr>
            <w:tcW w:w="720" w:type="dxa"/>
            <w:vAlign w:val="bottom"/>
          </w:tcPr>
          <w:p>
            <w:pPr>
              <w:jc w:val="right"/>
              <w:ind w:right="399"/>
              <w:spacing w:after="0"/>
              <w:rPr>
                <w:sz w:val="20"/>
                <w:szCs w:val="20"/>
                <w:color w:val="auto"/>
              </w:rPr>
            </w:pPr>
            <w:r>
              <w:rPr>
                <w:rFonts w:ascii="Arial" w:cs="Arial" w:eastAsia="Arial" w:hAnsi="Arial"/>
                <w:sz w:val="16"/>
                <w:szCs w:val="16"/>
                <w:color w:val="auto"/>
              </w:rPr>
              <w:t>6</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2960" w:type="dxa"/>
            <w:vAlign w:val="bottom"/>
          </w:tcPr>
          <w:p>
            <w:pPr>
              <w:jc w:val="right"/>
              <w:ind w:right="359"/>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56"/>
        </w:trPr>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63"/>
        </w:trPr>
        <w:tc>
          <w:tcPr>
            <w:tcW w:w="720" w:type="dxa"/>
            <w:vAlign w:val="bottom"/>
          </w:tcPr>
          <w:p>
            <w:pPr>
              <w:jc w:val="right"/>
              <w:ind w:right="399"/>
              <w:spacing w:after="0"/>
              <w:rPr>
                <w:sz w:val="20"/>
                <w:szCs w:val="20"/>
                <w:color w:val="auto"/>
              </w:rPr>
            </w:pPr>
            <w:r>
              <w:rPr>
                <w:rFonts w:ascii="Arial" w:cs="Arial" w:eastAsia="Arial" w:hAnsi="Arial"/>
                <w:sz w:val="16"/>
                <w:szCs w:val="16"/>
                <w:color w:val="auto"/>
              </w:rPr>
              <w:t>9</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115</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720" w:type="dxa"/>
            <w:vAlign w:val="bottom"/>
          </w:tcPr>
          <w:p>
            <w:pPr>
              <w:jc w:val="right"/>
              <w:ind w:right="359"/>
              <w:spacing w:after="0"/>
              <w:rPr>
                <w:sz w:val="20"/>
                <w:szCs w:val="20"/>
                <w:color w:val="auto"/>
              </w:rPr>
            </w:pPr>
            <w:r>
              <w:rPr>
                <w:rFonts w:ascii="Arial" w:cs="Arial" w:eastAsia="Arial" w:hAnsi="Arial"/>
                <w:sz w:val="16"/>
                <w:szCs w:val="16"/>
                <w:color w:val="auto"/>
              </w:rPr>
              <w:t>(7)</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960" w:type="dxa"/>
            <w:vAlign w:val="bottom"/>
          </w:tcPr>
          <w:p>
            <w:pPr>
              <w:jc w:val="right"/>
              <w:ind w:right="319"/>
              <w:spacing w:after="0"/>
              <w:rPr>
                <w:sz w:val="20"/>
                <w:szCs w:val="20"/>
                <w:color w:val="auto"/>
              </w:rPr>
            </w:pPr>
            <w:r>
              <w:rPr>
                <w:rFonts w:ascii="Arial" w:cs="Arial" w:eastAsia="Arial" w:hAnsi="Arial"/>
                <w:sz w:val="16"/>
                <w:szCs w:val="16"/>
                <w:color w:val="auto"/>
              </w:rPr>
              <w:t>(16)</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3"/>
        </w:trPr>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1"/>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91"/>
              </w:rPr>
              <w:t>(37)</w:t>
            </w: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c>
          <w:tcPr>
            <w:tcW w:w="2960" w:type="dxa"/>
            <w:vAlign w:val="bottom"/>
            <w:shd w:val="clear" w:color="auto" w:fill="E4E4E4"/>
          </w:tcPr>
          <w:p>
            <w:pPr>
              <w:jc w:val="right"/>
              <w:ind w:right="319"/>
              <w:spacing w:after="0"/>
              <w:rPr>
                <w:sz w:val="20"/>
                <w:szCs w:val="20"/>
                <w:color w:val="auto"/>
              </w:rPr>
            </w:pPr>
            <w:r>
              <w:rPr>
                <w:rFonts w:ascii="Arial" w:cs="Arial" w:eastAsia="Arial" w:hAnsi="Arial"/>
                <w:sz w:val="16"/>
                <w:szCs w:val="16"/>
                <w:color w:val="auto"/>
              </w:rPr>
              <w:t>(45)</w:t>
            </w: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56"/>
        </w:trPr>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960" w:type="dxa"/>
            <w:vAlign w:val="bottom"/>
            <w:shd w:val="clear" w:color="auto" w:fill="E4E4E4"/>
          </w:tcPr>
          <w:p>
            <w:pPr>
              <w:spacing w:after="0"/>
              <w:rPr>
                <w:sz w:val="4"/>
                <w:szCs w:val="4"/>
                <w:color w:val="auto"/>
              </w:rPr>
            </w:pPr>
          </w:p>
        </w:tc>
        <w:tc>
          <w:tcPr>
            <w:tcW w:w="820" w:type="dxa"/>
            <w:vAlign w:val="bottom"/>
            <w:shd w:val="clear" w:color="auto" w:fill="E4E4E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-2159635</wp:posOffset>
            </wp:positionV>
            <wp:extent cx="83121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1215" cy="17970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-1662430</wp:posOffset>
            </wp:positionV>
            <wp:extent cx="831215"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1215" cy="3003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-1045210</wp:posOffset>
            </wp:positionV>
            <wp:extent cx="831215"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215" cy="3003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-548005</wp:posOffset>
            </wp:positionV>
            <wp:extent cx="8312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21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-187960</wp:posOffset>
            </wp:positionV>
            <wp:extent cx="71323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3960" w:space="720"/>
            <w:col w:w="6560"/>
          </w:cols>
          <w:pgMar w:left="320" w:top="1440" w:right="339" w:bottom="1440" w:gutter="0" w:footer="0" w:header="0"/>
          <w:type w:val="continuous"/>
        </w:sectPr>
      </w:pPr>
    </w:p>
    <w:p>
      <w:pPr>
        <w:ind w:left="20"/>
        <w:spacing w:after="0"/>
        <w:tabs>
          <w:tab w:leader="none" w:pos="3820" w:val="left"/>
          <w:tab w:leader="none" w:pos="4620" w:val="left"/>
          <w:tab w:leader="none" w:pos="5800" w:val="left"/>
          <w:tab w:leader="none" w:pos="6940" w:val="left"/>
          <w:tab w:leader="none" w:pos="8240" w:val="left"/>
          <w:tab w:leader="none" w:pos="9440" w:val="left"/>
          <w:tab w:leader="none" w:pos="10780" w:val="left"/>
        </w:tabs>
        <w:rPr>
          <w:sz w:val="20"/>
          <w:szCs w:val="20"/>
          <w:color w:val="auto"/>
        </w:rPr>
      </w:pPr>
      <w:r>
        <w:rPr>
          <w:rFonts w:ascii="Arial" w:cs="Arial" w:eastAsia="Arial" w:hAnsi="Arial"/>
          <w:sz w:val="16"/>
          <w:szCs w:val="16"/>
          <w:b w:val="1"/>
          <w:bCs w:val="1"/>
          <w:color w:val="auto"/>
        </w:rPr>
        <w:t>Adjusted net income*</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608 $</w:t>
      </w:r>
      <w:r>
        <w:rPr>
          <w:sz w:val="20"/>
          <w:szCs w:val="20"/>
          <w:color w:val="auto"/>
        </w:rPr>
        <w:tab/>
      </w:r>
      <w:r>
        <w:rPr>
          <w:rFonts w:ascii="Arial" w:cs="Arial" w:eastAsia="Arial" w:hAnsi="Arial"/>
          <w:sz w:val="16"/>
          <w:szCs w:val="16"/>
          <w:b w:val="1"/>
          <w:bCs w:val="1"/>
          <w:color w:val="auto"/>
        </w:rPr>
        <w:t>490</w:t>
      </w:r>
      <w:r>
        <w:rPr>
          <w:sz w:val="20"/>
          <w:szCs w:val="20"/>
          <w:color w:val="auto"/>
        </w:rPr>
        <w:tab/>
      </w:r>
      <w:r>
        <w:rPr>
          <w:rFonts w:ascii="Arial" w:cs="Arial" w:eastAsia="Arial" w:hAnsi="Arial"/>
          <w:sz w:val="16"/>
          <w:szCs w:val="16"/>
          <w:b w:val="1"/>
          <w:bCs w:val="1"/>
          <w:color w:val="auto"/>
        </w:rPr>
        <w:t>24.0 %  $</w:t>
      </w:r>
      <w:r>
        <w:rPr>
          <w:sz w:val="20"/>
          <w:szCs w:val="20"/>
          <w:color w:val="auto"/>
        </w:rPr>
        <w:tab/>
      </w:r>
      <w:r>
        <w:rPr>
          <w:rFonts w:ascii="Arial" w:cs="Arial" w:eastAsia="Arial" w:hAnsi="Arial"/>
          <w:sz w:val="16"/>
          <w:szCs w:val="16"/>
          <w:b w:val="1"/>
          <w:bCs w:val="1"/>
          <w:color w:val="auto"/>
        </w:rPr>
        <w:t>1,575 $</w:t>
      </w:r>
      <w:r>
        <w:rPr>
          <w:sz w:val="20"/>
          <w:szCs w:val="20"/>
          <w:color w:val="auto"/>
        </w:rPr>
        <w:tab/>
      </w:r>
      <w:r>
        <w:rPr>
          <w:rFonts w:ascii="Arial" w:cs="Arial" w:eastAsia="Arial" w:hAnsi="Arial"/>
          <w:sz w:val="16"/>
          <w:szCs w:val="16"/>
          <w:b w:val="1"/>
          <w:bCs w:val="1"/>
          <w:color w:val="auto"/>
        </w:rPr>
        <w:t>1,441</w:t>
      </w:r>
      <w:r>
        <w:rPr>
          <w:sz w:val="20"/>
          <w:szCs w:val="20"/>
          <w:color w:val="auto"/>
        </w:rPr>
        <w:tab/>
      </w:r>
      <w:r>
        <w:rPr>
          <w:rFonts w:ascii="Arial" w:cs="Arial" w:eastAsia="Arial" w:hAnsi="Arial"/>
          <w:sz w:val="16"/>
          <w:szCs w:val="16"/>
          <w:b w:val="1"/>
          <w:bCs w:val="1"/>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440" w:hanging="414"/>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72" w:lineRule="exact"/>
        <w:rPr>
          <w:rFonts w:ascii="Arial" w:cs="Arial" w:eastAsia="Arial" w:hAnsi="Arial"/>
          <w:sz w:val="16"/>
          <w:szCs w:val="16"/>
          <w:color w:val="auto"/>
        </w:rPr>
      </w:pPr>
    </w:p>
    <w:p>
      <w:pPr>
        <w:ind w:left="440" w:right="540" w:hanging="414"/>
        <w:spacing w:after="0" w:line="299"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ind w:left="440" w:right="440" w:hanging="414"/>
        <w:spacing w:after="0" w:line="277"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and other adjustments related to the Spin-Off and separation from GE, including system implementations, audit and advisory fees, legal entity separation, Founders Grant equity awards, separation agreements with GE, and other one-time costs. For the nine months ended September 30, 2025, an adjustment is included to eliminate the associated impact on Net (income) loss attributable to noncontrolling interests for applicable costs that impact earnings attributable to noncontrolling interests.</w:t>
      </w:r>
    </w:p>
    <w:p>
      <w:pPr>
        <w:spacing w:after="0" w:line="14" w:lineRule="exact"/>
        <w:rPr>
          <w:rFonts w:ascii="Arial" w:cs="Arial" w:eastAsia="Arial" w:hAnsi="Arial"/>
          <w:sz w:val="16"/>
          <w:szCs w:val="16"/>
          <w:color w:val="auto"/>
        </w:rPr>
      </w:pPr>
    </w:p>
    <w:p>
      <w:pPr>
        <w:ind w:left="440" w:hanging="414"/>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360" w:hanging="414"/>
        <w:spacing w:after="0" w:line="290"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ind w:left="440" w:right="580" w:hanging="414"/>
        <w:spacing w:after="0" w:line="257"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the pre-tax impact of refunds pertaining to IEEPA tariffs incurred in the year ended December 31, 2025. The associated tax effect is presented on the Tax effect of reconciling items line. The net of tax impact of tariff refunds is $7 million and $88 million for the three and nine months ended September 30, 2026, respectively.</w:t>
      </w:r>
    </w:p>
    <w:p>
      <w:pPr>
        <w:spacing w:after="0" w:line="16" w:lineRule="exact"/>
        <w:rPr>
          <w:rFonts w:ascii="Arial" w:cs="Arial" w:eastAsia="Arial" w:hAnsi="Arial"/>
          <w:sz w:val="16"/>
          <w:szCs w:val="16"/>
          <w:color w:val="auto"/>
        </w:rPr>
      </w:pPr>
    </w:p>
    <w:p>
      <w:pPr>
        <w:ind w:left="440" w:right="340" w:hanging="414"/>
        <w:spacing w:after="0" w:line="281"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1" w:lineRule="exact"/>
        <w:rPr>
          <w:rFonts w:ascii="Arial" w:cs="Arial" w:eastAsia="Arial" w:hAnsi="Arial"/>
          <w:sz w:val="16"/>
          <w:szCs w:val="16"/>
          <w:color w:val="auto"/>
        </w:rPr>
      </w:pPr>
    </w:p>
    <w:p>
      <w:pPr>
        <w:ind w:left="440" w:right="340" w:hanging="414"/>
        <w:spacing w:after="0" w:line="253"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foreign income tax reserve releases and discrete tax impacts resulting from the Spin-Off and separation from GE. Additionally, includes the impact of a foreign tax audit settlement for the three and nine months ended September 30, 2026; impacts from tax law changes for the three and nine months ended September 30, 2025; and tax impacts of the NMP acquisition for the nine months ended September 30, 2025.</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Non-GAAP financial measure.</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70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454545"/>
              </w:rPr>
              <w:t>For the three months ended September 30</w:t>
            </w:r>
          </w:p>
        </w:tc>
        <w:tc>
          <w:tcPr>
            <w:tcW w:w="180" w:type="dxa"/>
            <w:vAlign w:val="bottom"/>
          </w:tcPr>
          <w:p>
            <w:pPr>
              <w:spacing w:after="0"/>
              <w:rPr>
                <w:sz w:val="22"/>
                <w:szCs w:val="22"/>
                <w:color w:val="auto"/>
              </w:rPr>
            </w:pPr>
          </w:p>
        </w:tc>
        <w:tc>
          <w:tcPr>
            <w:tcW w:w="346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dollars, except shares outstanding presented</w:t>
            </w:r>
          </w:p>
        </w:tc>
        <w:tc>
          <w:tcPr>
            <w:tcW w:w="8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2026</w:t>
            </w:r>
          </w:p>
        </w:tc>
        <w:tc>
          <w:tcPr>
            <w:tcW w:w="680" w:type="dxa"/>
            <w:vAlign w:val="bottom"/>
          </w:tcPr>
          <w:p>
            <w:pPr>
              <w:spacing w:after="0"/>
              <w:rPr>
                <w:sz w:val="17"/>
                <w:szCs w:val="17"/>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454545"/>
              </w:rPr>
              <w:t>2025</w:t>
            </w:r>
          </w:p>
        </w:tc>
        <w:tc>
          <w:tcPr>
            <w:tcW w:w="200" w:type="dxa"/>
            <w:vAlign w:val="bottom"/>
          </w:tcPr>
          <w:p>
            <w:pPr>
              <w:spacing w:after="0"/>
              <w:rPr>
                <w:sz w:val="17"/>
                <w:szCs w:val="17"/>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454545"/>
              </w:rPr>
              <w:t>$ change</w:t>
            </w:r>
          </w:p>
        </w:tc>
        <w:tc>
          <w:tcPr>
            <w:tcW w:w="180" w:type="dxa"/>
            <w:vAlign w:val="bottom"/>
          </w:tcPr>
          <w:p>
            <w:pPr>
              <w:spacing w:after="0"/>
              <w:rPr>
                <w:sz w:val="17"/>
                <w:szCs w:val="17"/>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454545"/>
              </w:rPr>
              <w:t>2026</w:t>
            </w:r>
          </w:p>
        </w:tc>
        <w:tc>
          <w:tcPr>
            <w:tcW w:w="300" w:type="dxa"/>
            <w:vAlign w:val="bottom"/>
          </w:tcPr>
          <w:p>
            <w:pPr>
              <w:spacing w:after="0"/>
              <w:rPr>
                <w:sz w:val="17"/>
                <w:szCs w:val="17"/>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454545"/>
              </w:rPr>
              <w:t>2025</w:t>
            </w:r>
          </w:p>
        </w:tc>
        <w:tc>
          <w:tcPr>
            <w:tcW w:w="220" w:type="dxa"/>
            <w:vAlign w:val="bottom"/>
          </w:tcPr>
          <w:p>
            <w:pPr>
              <w:spacing w:after="0"/>
              <w:rPr>
                <w:sz w:val="17"/>
                <w:szCs w:val="17"/>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126"/>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8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00" w:type="dxa"/>
            <w:vAlign w:val="bottom"/>
            <w:tcBorders>
              <w:bottom w:val="single" w:sz="8" w:color="6022A6"/>
            </w:tcBorders>
            <w:vMerge w:val="continue"/>
          </w:tcPr>
          <w:p>
            <w:pPr>
              <w:spacing w:after="0"/>
              <w:rPr>
                <w:sz w:val="9"/>
                <w:szCs w:val="9"/>
                <w:color w:val="auto"/>
              </w:rPr>
            </w:pPr>
          </w:p>
        </w:tc>
        <w:tc>
          <w:tcPr>
            <w:tcW w:w="800" w:type="dxa"/>
            <w:vAlign w:val="bottom"/>
            <w:tcBorders>
              <w:bottom w:val="single" w:sz="8" w:color="6022A6"/>
            </w:tcBorders>
          </w:tcPr>
          <w:p>
            <w:pPr>
              <w:spacing w:after="0"/>
              <w:rPr>
                <w:sz w:val="9"/>
                <w:szCs w:val="9"/>
                <w:color w:val="auto"/>
              </w:rPr>
            </w:pPr>
          </w:p>
        </w:tc>
        <w:tc>
          <w:tcPr>
            <w:tcW w:w="680" w:type="dxa"/>
            <w:vAlign w:val="bottom"/>
            <w:tcBorders>
              <w:bottom w:val="single" w:sz="8" w:color="6022A6"/>
            </w:tcBorders>
          </w:tcPr>
          <w:p>
            <w:pPr>
              <w:spacing w:after="0"/>
              <w:rPr>
                <w:sz w:val="9"/>
                <w:szCs w:val="9"/>
                <w:color w:val="auto"/>
              </w:rPr>
            </w:pPr>
          </w:p>
        </w:tc>
        <w:tc>
          <w:tcPr>
            <w:tcW w:w="920" w:type="dxa"/>
            <w:vAlign w:val="bottom"/>
            <w:tcBorders>
              <w:bottom w:val="single" w:sz="8" w:color="6022A6"/>
            </w:tcBorders>
          </w:tcPr>
          <w:p>
            <w:pPr>
              <w:spacing w:after="0"/>
              <w:rPr>
                <w:sz w:val="9"/>
                <w:szCs w:val="9"/>
                <w:color w:val="auto"/>
              </w:rPr>
            </w:pPr>
          </w:p>
        </w:tc>
        <w:tc>
          <w:tcPr>
            <w:tcW w:w="200" w:type="dxa"/>
            <w:vAlign w:val="bottom"/>
            <w:tcBorders>
              <w:bottom w:val="single" w:sz="8" w:color="6022A6"/>
            </w:tcBorders>
          </w:tcPr>
          <w:p>
            <w:pPr>
              <w:spacing w:after="0"/>
              <w:rPr>
                <w:sz w:val="9"/>
                <w:szCs w:val="9"/>
                <w:color w:val="auto"/>
              </w:rPr>
            </w:pPr>
          </w:p>
        </w:tc>
        <w:tc>
          <w:tcPr>
            <w:tcW w:w="1020" w:type="dxa"/>
            <w:vAlign w:val="bottom"/>
            <w:tcBorders>
              <w:bottom w:val="single" w:sz="8" w:color="6022A6"/>
            </w:tcBorders>
          </w:tcPr>
          <w:p>
            <w:pPr>
              <w:spacing w:after="0"/>
              <w:rPr>
                <w:sz w:val="9"/>
                <w:szCs w:val="9"/>
                <w:color w:val="auto"/>
              </w:rPr>
            </w:pPr>
          </w:p>
        </w:tc>
        <w:tc>
          <w:tcPr>
            <w:tcW w:w="80" w:type="dxa"/>
            <w:vAlign w:val="bottom"/>
            <w:tcBorders>
              <w:bottom w:val="single" w:sz="8" w:color="6022A6"/>
            </w:tcBorders>
          </w:tcPr>
          <w:p>
            <w:pPr>
              <w:spacing w:after="0"/>
              <w:rPr>
                <w:sz w:val="9"/>
                <w:szCs w:val="9"/>
                <w:color w:val="auto"/>
              </w:rPr>
            </w:pPr>
          </w:p>
        </w:tc>
        <w:tc>
          <w:tcPr>
            <w:tcW w:w="180" w:type="dxa"/>
            <w:vAlign w:val="bottom"/>
            <w:tcBorders>
              <w:bottom w:val="single" w:sz="8" w:color="6022A6"/>
            </w:tcBorders>
          </w:tcPr>
          <w:p>
            <w:pPr>
              <w:spacing w:after="0"/>
              <w:rPr>
                <w:sz w:val="9"/>
                <w:szCs w:val="9"/>
                <w:color w:val="auto"/>
              </w:rPr>
            </w:pPr>
          </w:p>
        </w:tc>
        <w:tc>
          <w:tcPr>
            <w:tcW w:w="1000" w:type="dxa"/>
            <w:vAlign w:val="bottom"/>
            <w:tcBorders>
              <w:bottom w:val="single" w:sz="8" w:color="6022A6"/>
            </w:tcBorders>
          </w:tcPr>
          <w:p>
            <w:pPr>
              <w:spacing w:after="0"/>
              <w:rPr>
                <w:sz w:val="9"/>
                <w:szCs w:val="9"/>
                <w:color w:val="auto"/>
              </w:rPr>
            </w:pPr>
          </w:p>
        </w:tc>
        <w:tc>
          <w:tcPr>
            <w:tcW w:w="300" w:type="dxa"/>
            <w:vAlign w:val="bottom"/>
            <w:tcBorders>
              <w:bottom w:val="single" w:sz="8" w:color="6022A6"/>
            </w:tcBorders>
          </w:tcPr>
          <w:p>
            <w:pPr>
              <w:spacing w:after="0"/>
              <w:rPr>
                <w:sz w:val="9"/>
                <w:szCs w:val="9"/>
                <w:color w:val="auto"/>
              </w:rPr>
            </w:pPr>
          </w:p>
        </w:tc>
        <w:tc>
          <w:tcPr>
            <w:tcW w:w="920" w:type="dxa"/>
            <w:vAlign w:val="bottom"/>
            <w:tcBorders>
              <w:bottom w:val="single" w:sz="8" w:color="6022A6"/>
            </w:tcBorders>
          </w:tcPr>
          <w:p>
            <w:pPr>
              <w:spacing w:after="0"/>
              <w:rPr>
                <w:sz w:val="9"/>
                <w:szCs w:val="9"/>
                <w:color w:val="auto"/>
              </w:rPr>
            </w:pPr>
          </w:p>
        </w:tc>
        <w:tc>
          <w:tcPr>
            <w:tcW w:w="220" w:type="dxa"/>
            <w:vAlign w:val="bottom"/>
            <w:tcBorders>
              <w:bottom w:val="single" w:sz="8" w:color="6022A6"/>
            </w:tcBorders>
          </w:tcPr>
          <w:p>
            <w:pPr>
              <w:spacing w:after="0"/>
              <w:rPr>
                <w:sz w:val="9"/>
                <w:szCs w:val="9"/>
                <w:color w:val="auto"/>
              </w:rPr>
            </w:pPr>
          </w:p>
        </w:tc>
        <w:tc>
          <w:tcPr>
            <w:tcW w:w="1020" w:type="dxa"/>
            <w:vAlign w:val="bottom"/>
            <w:tcBorders>
              <w:bottom w:val="single" w:sz="8" w:color="6022A6"/>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800" w:type="dxa"/>
            <w:vAlign w:val="bottom"/>
            <w:shd w:val="clear" w:color="auto" w:fill="E4E4E4"/>
          </w:tcPr>
          <w:p>
            <w:pPr>
              <w:jc w:val="right"/>
              <w:ind w:right="579"/>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1.36 $</w:t>
            </w: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0.98</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0.38</w:t>
            </w:r>
          </w:p>
        </w:tc>
        <w:tc>
          <w:tcPr>
            <w:tcW w:w="80" w:type="dxa"/>
            <w:vAlign w:val="bottom"/>
            <w:shd w:val="clear" w:color="auto" w:fill="E4E4E4"/>
          </w:tcPr>
          <w:p>
            <w:pPr>
              <w:spacing w:after="0"/>
              <w:rPr>
                <w:sz w:val="20"/>
                <w:szCs w:val="20"/>
                <w:color w:val="auto"/>
              </w:rPr>
            </w:pP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3.44</w:t>
            </w:r>
          </w:p>
        </w:tc>
        <w:tc>
          <w:tcPr>
            <w:tcW w:w="300" w:type="dxa"/>
            <w:vAlign w:val="bottom"/>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3.26</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0.18</w:t>
            </w:r>
          </w:p>
        </w:tc>
        <w:tc>
          <w:tcPr>
            <w:tcW w:w="0" w:type="dxa"/>
            <w:vAlign w:val="bottom"/>
          </w:tcPr>
          <w:p>
            <w:pPr>
              <w:spacing w:after="0"/>
              <w:rPr>
                <w:sz w:val="1"/>
                <w:szCs w:val="1"/>
                <w:color w:val="auto"/>
              </w:rPr>
            </w:pPr>
          </w:p>
        </w:tc>
      </w:tr>
      <w:tr>
        <w:trPr>
          <w:trHeight w:val="21"/>
        </w:trPr>
        <w:tc>
          <w:tcPr>
            <w:tcW w:w="390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92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92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60"/>
        <w:spacing w:after="0"/>
        <w:rPr>
          <w:sz w:val="20"/>
          <w:szCs w:val="20"/>
          <w:color w:val="auto"/>
        </w:rPr>
      </w:pPr>
      <w:r>
        <w:rPr>
          <w:rFonts w:ascii="Arial" w:cs="Arial" w:eastAsia="Arial" w:hAnsi="Arial"/>
          <w:sz w:val="16"/>
          <w:szCs w:val="16"/>
          <w:color w:val="auto"/>
        </w:rPr>
        <w:t>Add: Non-operating benefit (income)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00304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0304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p>
      <w:pPr>
        <w:spacing w:after="0" w:line="56" w:lineRule="exact"/>
        <w:rPr>
          <w:sz w:val="20"/>
          <w:szCs w:val="20"/>
          <w:color w:val="auto"/>
        </w:rPr>
      </w:pPr>
    </w:p>
    <w:p>
      <w:pPr>
        <w:ind w:left="60" w:right="420"/>
        <w:spacing w:after="0" w:line="275" w:lineRule="auto"/>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00304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03040" cy="308610"/>
                    </a:xfrm>
                    <a:prstGeom prst="rect">
                      <a:avLst/>
                    </a:prstGeom>
                    <a:noFill/>
                  </pic:spPr>
                </pic:pic>
              </a:graphicData>
            </a:graphic>
          </wp:anchor>
        </w:drawing>
      </w:r>
    </w:p>
    <w:p>
      <w:pPr>
        <w:ind w:left="60" w:right="640"/>
        <w:spacing w:after="0" w:line="274" w:lineRule="auto"/>
        <w:rPr>
          <w:sz w:val="20"/>
          <w:szCs w:val="20"/>
          <w:color w:val="auto"/>
        </w:rPr>
      </w:pPr>
      <w:r>
        <w:rPr>
          <w:rFonts w:ascii="Arial" w:cs="Arial" w:eastAsia="Arial" w:hAnsi="Arial"/>
          <w:sz w:val="16"/>
          <w:szCs w:val="16"/>
          <w:color w:val="auto"/>
        </w:rPr>
        <w:t>Add: Spin-Off and separation costs and other adjustments</w:t>
      </w:r>
      <w:r>
        <w:rPr>
          <w:rFonts w:ascii="Arial" w:cs="Arial" w:eastAsia="Arial" w:hAnsi="Arial"/>
          <w:sz w:val="21"/>
          <w:szCs w:val="21"/>
          <w:color w:val="auto"/>
          <w:vertAlign w:val="superscript"/>
        </w:rPr>
        <w:t>(3)</w:t>
      </w:r>
    </w:p>
    <w:p>
      <w:pPr>
        <w:ind w:left="60" w:right="1060"/>
        <w:spacing w:after="0" w:line="274" w:lineRule="auto"/>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00304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03040" cy="308610"/>
                    </a:xfrm>
                    <a:prstGeom prst="rect">
                      <a:avLst/>
                    </a:prstGeom>
                    <a:noFill/>
                  </pic:spPr>
                </pic:pic>
              </a:graphicData>
            </a:graphic>
          </wp:anchor>
        </w:drawing>
      </w:r>
    </w:p>
    <w:p>
      <w:pPr>
        <w:ind w:left="60" w:right="340"/>
        <w:spacing w:after="0" w:line="301" w:lineRule="auto"/>
        <w:rPr>
          <w:sz w:val="20"/>
          <w:szCs w:val="20"/>
          <w:color w:val="auto"/>
        </w:rPr>
      </w:pPr>
      <w:r>
        <w:rPr>
          <w:rFonts w:ascii="Arial" w:cs="Arial" w:eastAsia="Arial" w:hAnsi="Arial"/>
          <w:sz w:val="16"/>
          <w:szCs w:val="16"/>
          <w:color w:val="auto"/>
        </w:rPr>
        <w:t>Add: Amortization of acquisition-related intangible assets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400304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03040" cy="16319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Tariff refunds</w:t>
      </w:r>
      <w:r>
        <w:rPr>
          <w:rFonts w:ascii="Arial" w:cs="Arial" w:eastAsia="Arial" w:hAnsi="Arial"/>
          <w:sz w:val="21"/>
          <w:szCs w:val="21"/>
          <w:color w:val="auto"/>
          <w:vertAlign w:val="superscript"/>
        </w:rPr>
        <w:t>(6)</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00304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03040" cy="1885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03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jc w:val="center"/>
              <w:ind w:right="299"/>
              <w:spacing w:after="0"/>
              <w:rPr>
                <w:sz w:val="20"/>
                <w:szCs w:val="20"/>
                <w:color w:val="auto"/>
              </w:rPr>
            </w:pPr>
            <w:r>
              <w:rPr>
                <w:rFonts w:ascii="Arial" w:cs="Arial" w:eastAsia="Arial" w:hAnsi="Arial"/>
                <w:sz w:val="16"/>
                <w:szCs w:val="16"/>
                <w:color w:val="auto"/>
                <w:w w:val="95"/>
              </w:rPr>
              <w:t>(0.11)</w:t>
            </w:r>
          </w:p>
        </w:tc>
        <w:tc>
          <w:tcPr>
            <w:tcW w:w="840" w:type="dxa"/>
            <w:vAlign w:val="bottom"/>
          </w:tcPr>
          <w:p>
            <w:pPr>
              <w:jc w:val="right"/>
              <w:spacing w:after="0"/>
              <w:rPr>
                <w:sz w:val="20"/>
                <w:szCs w:val="20"/>
                <w:color w:val="auto"/>
              </w:rPr>
            </w:pPr>
            <w:r>
              <w:rPr>
                <w:rFonts w:ascii="Arial" w:cs="Arial" w:eastAsia="Arial" w:hAnsi="Arial"/>
                <w:sz w:val="16"/>
                <w:szCs w:val="16"/>
                <w:color w:val="auto"/>
              </w:rPr>
              <w:t>(0.16)</w:t>
            </w:r>
          </w:p>
        </w:tc>
        <w:tc>
          <w:tcPr>
            <w:tcW w:w="2860" w:type="dxa"/>
            <w:vAlign w:val="bottom"/>
            <w:gridSpan w:val="2"/>
          </w:tcPr>
          <w:p>
            <w:pPr>
              <w:jc w:val="center"/>
              <w:ind w:left="1559"/>
              <w:spacing w:after="0"/>
              <w:rPr>
                <w:sz w:val="20"/>
                <w:szCs w:val="20"/>
                <w:color w:val="auto"/>
              </w:rPr>
            </w:pPr>
            <w:r>
              <w:rPr>
                <w:rFonts w:ascii="Arial" w:cs="Arial" w:eastAsia="Arial" w:hAnsi="Arial"/>
                <w:sz w:val="16"/>
                <w:szCs w:val="16"/>
                <w:color w:val="auto"/>
              </w:rPr>
              <w:t>(0.32)</w:t>
            </w:r>
          </w:p>
        </w:tc>
        <w:tc>
          <w:tcPr>
            <w:tcW w:w="840" w:type="dxa"/>
            <w:vAlign w:val="bottom"/>
          </w:tcPr>
          <w:p>
            <w:pPr>
              <w:jc w:val="right"/>
              <w:spacing w:after="0"/>
              <w:rPr>
                <w:sz w:val="20"/>
                <w:szCs w:val="20"/>
                <w:color w:val="auto"/>
              </w:rPr>
            </w:pPr>
            <w:r>
              <w:rPr>
                <w:rFonts w:ascii="Arial" w:cs="Arial" w:eastAsia="Arial" w:hAnsi="Arial"/>
                <w:sz w:val="16"/>
                <w:szCs w:val="16"/>
                <w:color w:val="auto"/>
              </w:rPr>
              <w:t>(0.49)</w:t>
            </w:r>
          </w:p>
        </w:tc>
      </w:tr>
      <w:tr>
        <w:trPr>
          <w:trHeight w:val="56"/>
        </w:trPr>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7"/>
        </w:trPr>
        <w:tc>
          <w:tcPr>
            <w:tcW w:w="820" w:type="dxa"/>
            <w:vAlign w:val="bottom"/>
          </w:tcPr>
          <w:p>
            <w:pPr>
              <w:jc w:val="center"/>
              <w:ind w:right="299"/>
              <w:spacing w:after="0"/>
              <w:rPr>
                <w:sz w:val="20"/>
                <w:szCs w:val="20"/>
                <w:color w:val="auto"/>
              </w:rPr>
            </w:pPr>
            <w:r>
              <w:rPr>
                <w:rFonts w:ascii="Arial" w:cs="Arial" w:eastAsia="Arial" w:hAnsi="Arial"/>
                <w:sz w:val="16"/>
                <w:szCs w:val="16"/>
                <w:color w:val="auto"/>
              </w:rPr>
              <w:t>0.04</w:t>
            </w:r>
          </w:p>
        </w:tc>
        <w:tc>
          <w:tcPr>
            <w:tcW w:w="840" w:type="dxa"/>
            <w:vAlign w:val="bottom"/>
          </w:tcPr>
          <w:p>
            <w:pPr>
              <w:jc w:val="right"/>
              <w:spacing w:after="0"/>
              <w:rPr>
                <w:sz w:val="20"/>
                <w:szCs w:val="20"/>
                <w:color w:val="auto"/>
              </w:rPr>
            </w:pPr>
            <w:r>
              <w:rPr>
                <w:rFonts w:ascii="Arial" w:cs="Arial" w:eastAsia="Arial" w:hAnsi="Arial"/>
                <w:sz w:val="16"/>
                <w:szCs w:val="16"/>
                <w:color w:val="auto"/>
              </w:rPr>
              <w:t>0.07</w:t>
            </w:r>
          </w:p>
        </w:tc>
        <w:tc>
          <w:tcPr>
            <w:tcW w:w="1200" w:type="dxa"/>
            <w:vAlign w:val="bottom"/>
            <w:tcBorders>
              <w:bottom w:val="single" w:sz="8" w:color="E4E4E4"/>
            </w:tcBorders>
            <w:shd w:val="clear" w:color="auto" w:fill="E4E4E4"/>
          </w:tcPr>
          <w:p>
            <w:pPr>
              <w:spacing w:after="0"/>
              <w:rPr>
                <w:sz w:val="24"/>
                <w:szCs w:val="24"/>
                <w:color w:val="auto"/>
              </w:rPr>
            </w:pPr>
          </w:p>
        </w:tc>
        <w:tc>
          <w:tcPr>
            <w:tcW w:w="1660" w:type="dxa"/>
            <w:vAlign w:val="bottom"/>
            <w:tcBorders>
              <w:bottom w:val="single" w:sz="8" w:color="E4E4E4"/>
            </w:tcBorders>
            <w:shd w:val="clear" w:color="auto" w:fill="E4E4E4"/>
          </w:tcPr>
          <w:p>
            <w:pPr>
              <w:jc w:val="center"/>
              <w:ind w:left="379"/>
              <w:spacing w:after="0"/>
              <w:rPr>
                <w:sz w:val="20"/>
                <w:szCs w:val="20"/>
                <w:color w:val="auto"/>
              </w:rPr>
            </w:pPr>
            <w:r>
              <w:rPr>
                <w:rFonts w:ascii="Arial" w:cs="Arial" w:eastAsia="Arial" w:hAnsi="Arial"/>
                <w:sz w:val="16"/>
                <w:szCs w:val="16"/>
                <w:color w:val="auto"/>
              </w:rPr>
              <w:t>0.20</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0.16</w:t>
            </w:r>
          </w:p>
        </w:tc>
      </w:tr>
      <w:tr>
        <w:trPr>
          <w:trHeight w:val="335"/>
        </w:trPr>
        <w:tc>
          <w:tcPr>
            <w:tcW w:w="820" w:type="dxa"/>
            <w:vAlign w:val="bottom"/>
          </w:tcPr>
          <w:p>
            <w:pPr>
              <w:jc w:val="center"/>
              <w:ind w:right="299"/>
              <w:spacing w:after="0"/>
              <w:rPr>
                <w:sz w:val="20"/>
                <w:szCs w:val="20"/>
                <w:color w:val="auto"/>
              </w:rPr>
            </w:pPr>
            <w:r>
              <w:rPr>
                <w:rFonts w:ascii="Arial" w:cs="Arial" w:eastAsia="Arial" w:hAnsi="Arial"/>
                <w:sz w:val="16"/>
                <w:szCs w:val="16"/>
                <w:color w:val="auto"/>
              </w:rPr>
              <w:t>0.03</w:t>
            </w:r>
          </w:p>
        </w:tc>
        <w:tc>
          <w:tcPr>
            <w:tcW w:w="840" w:type="dxa"/>
            <w:vAlign w:val="bottom"/>
          </w:tcPr>
          <w:p>
            <w:pPr>
              <w:jc w:val="right"/>
              <w:spacing w:after="0"/>
              <w:rPr>
                <w:sz w:val="20"/>
                <w:szCs w:val="20"/>
                <w:color w:val="auto"/>
              </w:rPr>
            </w:pPr>
            <w:r>
              <w:rPr>
                <w:rFonts w:ascii="Arial" w:cs="Arial" w:eastAsia="Arial" w:hAnsi="Arial"/>
                <w:sz w:val="16"/>
                <w:szCs w:val="16"/>
                <w:color w:val="auto"/>
              </w:rPr>
              <w:t>0.02</w:t>
            </w:r>
          </w:p>
        </w:tc>
        <w:tc>
          <w:tcPr>
            <w:tcW w:w="2860" w:type="dxa"/>
            <w:vAlign w:val="bottom"/>
            <w:gridSpan w:val="2"/>
          </w:tcPr>
          <w:p>
            <w:pPr>
              <w:jc w:val="center"/>
              <w:ind w:left="1579"/>
              <w:spacing w:after="0"/>
              <w:rPr>
                <w:sz w:val="20"/>
                <w:szCs w:val="20"/>
                <w:color w:val="auto"/>
              </w:rPr>
            </w:pPr>
            <w:r>
              <w:rPr>
                <w:rFonts w:ascii="Arial" w:cs="Arial" w:eastAsia="Arial" w:hAnsi="Arial"/>
                <w:sz w:val="16"/>
                <w:szCs w:val="16"/>
                <w:color w:val="auto"/>
              </w:rPr>
              <w:t>0.13</w:t>
            </w:r>
          </w:p>
        </w:tc>
        <w:tc>
          <w:tcPr>
            <w:tcW w:w="84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151"/>
        </w:trPr>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5"/>
        </w:trPr>
        <w:tc>
          <w:tcPr>
            <w:tcW w:w="820" w:type="dxa"/>
            <w:vAlign w:val="bottom"/>
          </w:tcPr>
          <w:p>
            <w:pPr>
              <w:jc w:val="center"/>
              <w:ind w:right="299"/>
              <w:spacing w:after="0"/>
              <w:rPr>
                <w:sz w:val="20"/>
                <w:szCs w:val="20"/>
                <w:color w:val="auto"/>
              </w:rPr>
            </w:pPr>
            <w:r>
              <w:rPr>
                <w:rFonts w:ascii="Arial" w:cs="Arial" w:eastAsia="Arial" w:hAnsi="Arial"/>
                <w:sz w:val="16"/>
                <w:szCs w:val="16"/>
                <w:color w:val="auto"/>
              </w:rPr>
              <w:t>0.01</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1200" w:type="dxa"/>
            <w:vAlign w:val="bottom"/>
            <w:shd w:val="clear" w:color="auto" w:fill="E4E4E4"/>
          </w:tcPr>
          <w:p>
            <w:pPr>
              <w:spacing w:after="0"/>
              <w:rPr>
                <w:sz w:val="24"/>
                <w:szCs w:val="24"/>
                <w:color w:val="auto"/>
              </w:rPr>
            </w:pPr>
          </w:p>
        </w:tc>
        <w:tc>
          <w:tcPr>
            <w:tcW w:w="1660" w:type="dxa"/>
            <w:vAlign w:val="bottom"/>
            <w:shd w:val="clear" w:color="auto" w:fill="E4E4E4"/>
          </w:tcPr>
          <w:p>
            <w:pPr>
              <w:jc w:val="center"/>
              <w:ind w:left="379"/>
              <w:spacing w:after="0"/>
              <w:rPr>
                <w:sz w:val="20"/>
                <w:szCs w:val="20"/>
                <w:color w:val="auto"/>
              </w:rPr>
            </w:pPr>
            <w:r>
              <w:rPr>
                <w:rFonts w:ascii="Arial" w:cs="Arial" w:eastAsia="Arial" w:hAnsi="Arial"/>
                <w:sz w:val="16"/>
                <w:szCs w:val="16"/>
                <w:color w:val="auto"/>
              </w:rPr>
              <w:t>0.00</w:t>
            </w: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0.09</w:t>
            </w:r>
          </w:p>
        </w:tc>
      </w:tr>
      <w:tr>
        <w:trPr>
          <w:trHeight w:val="151"/>
        </w:trPr>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shd w:val="clear" w:color="auto" w:fill="E4E4E4"/>
          </w:tcPr>
          <w:p>
            <w:pPr>
              <w:spacing w:after="0"/>
              <w:rPr>
                <w:sz w:val="13"/>
                <w:szCs w:val="13"/>
                <w:color w:val="auto"/>
              </w:rPr>
            </w:pPr>
          </w:p>
        </w:tc>
        <w:tc>
          <w:tcPr>
            <w:tcW w:w="1660" w:type="dxa"/>
            <w:vAlign w:val="bottom"/>
            <w:shd w:val="clear" w:color="auto" w:fill="E4E4E4"/>
          </w:tcPr>
          <w:p>
            <w:pPr>
              <w:spacing w:after="0"/>
              <w:rPr>
                <w:sz w:val="13"/>
                <w:szCs w:val="13"/>
                <w:color w:val="auto"/>
              </w:rPr>
            </w:pPr>
          </w:p>
        </w:tc>
        <w:tc>
          <w:tcPr>
            <w:tcW w:w="840" w:type="dxa"/>
            <w:vAlign w:val="bottom"/>
            <w:shd w:val="clear" w:color="auto" w:fill="E4E4E4"/>
          </w:tcPr>
          <w:p>
            <w:pPr>
              <w:spacing w:after="0"/>
              <w:rPr>
                <w:sz w:val="13"/>
                <w:szCs w:val="13"/>
                <w:color w:val="auto"/>
              </w:rPr>
            </w:pPr>
          </w:p>
        </w:tc>
      </w:tr>
      <w:tr>
        <w:trPr>
          <w:trHeight w:val="335"/>
        </w:trPr>
        <w:tc>
          <w:tcPr>
            <w:tcW w:w="820" w:type="dxa"/>
            <w:vAlign w:val="bottom"/>
          </w:tcPr>
          <w:p>
            <w:pPr>
              <w:jc w:val="center"/>
              <w:ind w:right="319"/>
              <w:spacing w:after="0"/>
              <w:rPr>
                <w:sz w:val="20"/>
                <w:szCs w:val="20"/>
                <w:color w:val="auto"/>
              </w:rPr>
            </w:pPr>
            <w:r>
              <w:rPr>
                <w:rFonts w:ascii="Arial" w:cs="Arial" w:eastAsia="Arial" w:hAnsi="Arial"/>
                <w:sz w:val="16"/>
                <w:szCs w:val="16"/>
                <w:color w:val="auto"/>
              </w:rPr>
              <w:t>(0.00)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60" w:type="dxa"/>
            <w:vAlign w:val="bottom"/>
            <w:gridSpan w:val="2"/>
          </w:tcPr>
          <w:p>
            <w:pPr>
              <w:jc w:val="center"/>
              <w:ind w:left="1559"/>
              <w:spacing w:after="0"/>
              <w:rPr>
                <w:sz w:val="20"/>
                <w:szCs w:val="20"/>
                <w:color w:val="auto"/>
              </w:rPr>
            </w:pPr>
            <w:r>
              <w:rPr>
                <w:rFonts w:ascii="Arial" w:cs="Arial" w:eastAsia="Arial" w:hAnsi="Arial"/>
                <w:sz w:val="16"/>
                <w:szCs w:val="16"/>
                <w:color w:val="auto"/>
              </w:rPr>
              <w:t>(0.00)</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151"/>
        </w:trPr>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6"/>
        </w:trPr>
        <w:tc>
          <w:tcPr>
            <w:tcW w:w="820" w:type="dxa"/>
            <w:vAlign w:val="bottom"/>
          </w:tcPr>
          <w:p>
            <w:pPr>
              <w:jc w:val="center"/>
              <w:ind w:right="299"/>
              <w:spacing w:after="0"/>
              <w:rPr>
                <w:sz w:val="20"/>
                <w:szCs w:val="20"/>
                <w:color w:val="auto"/>
              </w:rPr>
            </w:pPr>
            <w:r>
              <w:rPr>
                <w:rFonts w:ascii="Arial" w:cs="Arial" w:eastAsia="Arial" w:hAnsi="Arial"/>
                <w:sz w:val="16"/>
                <w:szCs w:val="16"/>
                <w:color w:val="auto"/>
              </w:rPr>
              <w:t>0.13</w:t>
            </w:r>
          </w:p>
        </w:tc>
        <w:tc>
          <w:tcPr>
            <w:tcW w:w="840" w:type="dxa"/>
            <w:vAlign w:val="bottom"/>
          </w:tcPr>
          <w:p>
            <w:pPr>
              <w:jc w:val="right"/>
              <w:spacing w:after="0"/>
              <w:rPr>
                <w:sz w:val="20"/>
                <w:szCs w:val="20"/>
                <w:color w:val="auto"/>
              </w:rPr>
            </w:pPr>
            <w:r>
              <w:rPr>
                <w:rFonts w:ascii="Arial" w:cs="Arial" w:eastAsia="Arial" w:hAnsi="Arial"/>
                <w:sz w:val="16"/>
                <w:szCs w:val="16"/>
                <w:color w:val="auto"/>
              </w:rPr>
              <w:t>0.09</w:t>
            </w:r>
          </w:p>
        </w:tc>
        <w:tc>
          <w:tcPr>
            <w:tcW w:w="1200" w:type="dxa"/>
            <w:vAlign w:val="bottom"/>
            <w:shd w:val="clear" w:color="auto" w:fill="E4E4E4"/>
          </w:tcPr>
          <w:p>
            <w:pPr>
              <w:spacing w:after="0"/>
              <w:rPr>
                <w:sz w:val="24"/>
                <w:szCs w:val="24"/>
                <w:color w:val="auto"/>
              </w:rPr>
            </w:pPr>
          </w:p>
        </w:tc>
        <w:tc>
          <w:tcPr>
            <w:tcW w:w="1660" w:type="dxa"/>
            <w:vAlign w:val="bottom"/>
            <w:shd w:val="clear" w:color="auto" w:fill="E4E4E4"/>
          </w:tcPr>
          <w:p>
            <w:pPr>
              <w:jc w:val="center"/>
              <w:ind w:left="379"/>
              <w:spacing w:after="0"/>
              <w:rPr>
                <w:sz w:val="20"/>
                <w:szCs w:val="20"/>
                <w:color w:val="auto"/>
              </w:rPr>
            </w:pPr>
            <w:r>
              <w:rPr>
                <w:rFonts w:ascii="Arial" w:cs="Arial" w:eastAsia="Arial" w:hAnsi="Arial"/>
                <w:sz w:val="16"/>
                <w:szCs w:val="16"/>
                <w:color w:val="auto"/>
              </w:rPr>
              <w:t>0.37</w:t>
            </w: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0.25</w:t>
            </w:r>
          </w:p>
        </w:tc>
      </w:tr>
      <w:tr>
        <w:trPr>
          <w:trHeight w:val="151"/>
        </w:trPr>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shd w:val="clear" w:color="auto" w:fill="E4E4E4"/>
          </w:tcPr>
          <w:p>
            <w:pPr>
              <w:spacing w:after="0"/>
              <w:rPr>
                <w:sz w:val="13"/>
                <w:szCs w:val="13"/>
                <w:color w:val="auto"/>
              </w:rPr>
            </w:pPr>
          </w:p>
        </w:tc>
        <w:tc>
          <w:tcPr>
            <w:tcW w:w="1660" w:type="dxa"/>
            <w:vAlign w:val="bottom"/>
            <w:shd w:val="clear" w:color="auto" w:fill="E4E4E4"/>
          </w:tcPr>
          <w:p>
            <w:pPr>
              <w:spacing w:after="0"/>
              <w:rPr>
                <w:sz w:val="13"/>
                <w:szCs w:val="13"/>
                <w:color w:val="auto"/>
              </w:rPr>
            </w:pPr>
          </w:p>
        </w:tc>
        <w:tc>
          <w:tcPr>
            <w:tcW w:w="840" w:type="dxa"/>
            <w:vAlign w:val="bottom"/>
            <w:shd w:val="clear" w:color="auto" w:fill="E4E4E4"/>
          </w:tcPr>
          <w:p>
            <w:pPr>
              <w:spacing w:after="0"/>
              <w:rPr>
                <w:sz w:val="13"/>
                <w:szCs w:val="13"/>
                <w:color w:val="auto"/>
              </w:rPr>
            </w:pPr>
          </w:p>
        </w:tc>
      </w:tr>
      <w:tr>
        <w:trPr>
          <w:trHeight w:val="241"/>
        </w:trPr>
        <w:tc>
          <w:tcPr>
            <w:tcW w:w="820" w:type="dxa"/>
            <w:vAlign w:val="bottom"/>
          </w:tcPr>
          <w:p>
            <w:pPr>
              <w:jc w:val="center"/>
              <w:ind w:right="299"/>
              <w:spacing w:after="0"/>
              <w:rPr>
                <w:sz w:val="20"/>
                <w:szCs w:val="20"/>
                <w:color w:val="auto"/>
              </w:rPr>
            </w:pPr>
            <w:r>
              <w:rPr>
                <w:rFonts w:ascii="Arial" w:cs="Arial" w:eastAsia="Arial" w:hAnsi="Arial"/>
                <w:sz w:val="16"/>
                <w:szCs w:val="16"/>
                <w:color w:val="auto"/>
              </w:rPr>
              <w:t>0.01</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2860" w:type="dxa"/>
            <w:vAlign w:val="bottom"/>
            <w:gridSpan w:val="2"/>
          </w:tcPr>
          <w:p>
            <w:pPr>
              <w:jc w:val="center"/>
              <w:ind w:left="1579"/>
              <w:spacing w:after="0"/>
              <w:rPr>
                <w:sz w:val="20"/>
                <w:szCs w:val="20"/>
                <w:color w:val="auto"/>
              </w:rPr>
            </w:pPr>
            <w:r>
              <w:rPr>
                <w:rFonts w:ascii="Arial" w:cs="Arial" w:eastAsia="Arial" w:hAnsi="Arial"/>
                <w:sz w:val="16"/>
                <w:szCs w:val="16"/>
                <w:color w:val="auto"/>
              </w:rPr>
              <w:t>0.03</w:t>
            </w:r>
          </w:p>
        </w:tc>
        <w:tc>
          <w:tcPr>
            <w:tcW w:w="840" w:type="dxa"/>
            <w:vAlign w:val="bottom"/>
          </w:tcPr>
          <w:p>
            <w:pPr>
              <w:jc w:val="right"/>
              <w:spacing w:after="0"/>
              <w:rPr>
                <w:sz w:val="20"/>
                <w:szCs w:val="20"/>
                <w:color w:val="auto"/>
              </w:rPr>
            </w:pPr>
            <w:r>
              <w:rPr>
                <w:rFonts w:ascii="Arial" w:cs="Arial" w:eastAsia="Arial" w:hAnsi="Arial"/>
                <w:sz w:val="16"/>
                <w:szCs w:val="16"/>
                <w:color w:val="auto"/>
              </w:rPr>
              <w:t>(0.21)</w:t>
            </w:r>
          </w:p>
        </w:tc>
      </w:tr>
      <w:tr>
        <w:trPr>
          <w:trHeight w:val="56"/>
        </w:trPr>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60" w:type="dxa"/>
            <w:vAlign w:val="bottom"/>
            <w:gridSpan w:val="2"/>
          </w:tcPr>
          <w:p>
            <w:pPr>
              <w:spacing w:after="0"/>
              <w:rPr>
                <w:sz w:val="4"/>
                <w:szCs w:val="4"/>
                <w:color w:val="auto"/>
              </w:rPr>
            </w:pPr>
          </w:p>
        </w:tc>
        <w:tc>
          <w:tcPr>
            <w:tcW w:w="840" w:type="dxa"/>
            <w:vAlign w:val="bottom"/>
          </w:tcPr>
          <w:p>
            <w:pPr>
              <w:spacing w:after="0"/>
              <w:rPr>
                <w:sz w:val="4"/>
                <w:szCs w:val="4"/>
                <w:color w:val="auto"/>
              </w:rPr>
            </w:pPr>
          </w:p>
        </w:tc>
      </w:tr>
      <w:tr>
        <w:trPr>
          <w:trHeight w:val="237"/>
        </w:trPr>
        <w:tc>
          <w:tcPr>
            <w:tcW w:w="820" w:type="dxa"/>
            <w:vAlign w:val="bottom"/>
          </w:tcPr>
          <w:p>
            <w:pPr>
              <w:jc w:val="center"/>
              <w:ind w:right="299"/>
              <w:spacing w:after="0"/>
              <w:rPr>
                <w:sz w:val="20"/>
                <w:szCs w:val="20"/>
                <w:color w:val="auto"/>
              </w:rPr>
            </w:pPr>
            <w:r>
              <w:rPr>
                <w:rFonts w:ascii="Arial" w:cs="Arial" w:eastAsia="Arial" w:hAnsi="Arial"/>
                <w:sz w:val="16"/>
                <w:szCs w:val="16"/>
                <w:color w:val="auto"/>
              </w:rPr>
              <w:t>0.02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center"/>
              <w:ind w:left="379"/>
              <w:spacing w:after="0"/>
              <w:rPr>
                <w:sz w:val="20"/>
                <w:szCs w:val="20"/>
                <w:color w:val="auto"/>
              </w:rPr>
            </w:pPr>
            <w:r>
              <w:rPr>
                <w:rFonts w:ascii="Arial" w:cs="Arial" w:eastAsia="Arial" w:hAnsi="Arial"/>
                <w:sz w:val="16"/>
                <w:szCs w:val="16"/>
                <w:color w:val="auto"/>
              </w:rPr>
              <w:t>0.25</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820" w:type="dxa"/>
            <w:vAlign w:val="bottom"/>
          </w:tcPr>
          <w:p>
            <w:pPr>
              <w:jc w:val="center"/>
              <w:ind w:right="319"/>
              <w:spacing w:after="0"/>
              <w:rPr>
                <w:sz w:val="20"/>
                <w:szCs w:val="20"/>
                <w:color w:val="auto"/>
              </w:rPr>
            </w:pPr>
            <w:r>
              <w:rPr>
                <w:rFonts w:ascii="Arial" w:cs="Arial" w:eastAsia="Arial" w:hAnsi="Arial"/>
                <w:sz w:val="16"/>
                <w:szCs w:val="16"/>
                <w:color w:val="auto"/>
              </w:rPr>
              <w:t>(0.02)</w:t>
            </w:r>
          </w:p>
        </w:tc>
        <w:tc>
          <w:tcPr>
            <w:tcW w:w="840" w:type="dxa"/>
            <w:vAlign w:val="bottom"/>
          </w:tcPr>
          <w:p>
            <w:pPr>
              <w:jc w:val="right"/>
              <w:spacing w:after="0"/>
              <w:rPr>
                <w:sz w:val="20"/>
                <w:szCs w:val="20"/>
                <w:color w:val="auto"/>
              </w:rPr>
            </w:pPr>
            <w:r>
              <w:rPr>
                <w:rFonts w:ascii="Arial" w:cs="Arial" w:eastAsia="Arial" w:hAnsi="Arial"/>
                <w:sz w:val="16"/>
                <w:szCs w:val="16"/>
                <w:color w:val="auto"/>
              </w:rPr>
              <w:t>(0.00)</w:t>
            </w:r>
          </w:p>
        </w:tc>
        <w:tc>
          <w:tcPr>
            <w:tcW w:w="2860" w:type="dxa"/>
            <w:vAlign w:val="bottom"/>
            <w:gridSpan w:val="2"/>
          </w:tcPr>
          <w:p>
            <w:pPr>
              <w:jc w:val="center"/>
              <w:ind w:left="1559"/>
              <w:spacing w:after="0"/>
              <w:rPr>
                <w:sz w:val="20"/>
                <w:szCs w:val="20"/>
                <w:color w:val="auto"/>
              </w:rPr>
            </w:pPr>
            <w:r>
              <w:rPr>
                <w:rFonts w:ascii="Arial" w:cs="Arial" w:eastAsia="Arial" w:hAnsi="Arial"/>
                <w:sz w:val="16"/>
                <w:szCs w:val="16"/>
                <w:color w:val="auto"/>
              </w:rPr>
              <w:t>(0.03)</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9"/>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r>
      <w:tr>
        <w:trPr>
          <w:trHeight w:val="263"/>
        </w:trPr>
        <w:tc>
          <w:tcPr>
            <w:tcW w:w="820" w:type="dxa"/>
            <w:vAlign w:val="bottom"/>
          </w:tcPr>
          <w:p>
            <w:pPr>
              <w:jc w:val="center"/>
              <w:ind w:right="319"/>
              <w:spacing w:after="0"/>
              <w:rPr>
                <w:sz w:val="20"/>
                <w:szCs w:val="20"/>
                <w:color w:val="auto"/>
              </w:rPr>
            </w:pPr>
            <w:r>
              <w:rPr>
                <w:rFonts w:ascii="Arial" w:cs="Arial" w:eastAsia="Arial" w:hAnsi="Arial"/>
                <w:sz w:val="16"/>
                <w:szCs w:val="16"/>
                <w:color w:val="auto"/>
              </w:rPr>
              <w:t>(0.08)</w:t>
            </w:r>
          </w:p>
        </w:tc>
        <w:tc>
          <w:tcPr>
            <w:tcW w:w="840" w:type="dxa"/>
            <w:vAlign w:val="bottom"/>
          </w:tcPr>
          <w:p>
            <w:pPr>
              <w:jc w:val="right"/>
              <w:spacing w:after="0"/>
              <w:rPr>
                <w:sz w:val="20"/>
                <w:szCs w:val="20"/>
                <w:color w:val="auto"/>
              </w:rPr>
            </w:pPr>
            <w:r>
              <w:rPr>
                <w:rFonts w:ascii="Arial" w:cs="Arial" w:eastAsia="Arial" w:hAnsi="Arial"/>
                <w:sz w:val="16"/>
                <w:szCs w:val="16"/>
                <w:color w:val="auto"/>
              </w:rPr>
              <w:t>0.09</w:t>
            </w:r>
          </w:p>
        </w:tc>
        <w:tc>
          <w:tcPr>
            <w:tcW w:w="1200" w:type="dxa"/>
            <w:vAlign w:val="bottom"/>
            <w:tcBorders>
              <w:bottom w:val="single" w:sz="8" w:color="E4E4E4"/>
            </w:tcBorders>
            <w:shd w:val="clear" w:color="auto" w:fill="E4E4E4"/>
          </w:tcPr>
          <w:p>
            <w:pPr>
              <w:spacing w:after="0"/>
              <w:rPr>
                <w:sz w:val="22"/>
                <w:szCs w:val="22"/>
                <w:color w:val="auto"/>
              </w:rPr>
            </w:pPr>
          </w:p>
        </w:tc>
        <w:tc>
          <w:tcPr>
            <w:tcW w:w="1660" w:type="dxa"/>
            <w:vAlign w:val="bottom"/>
            <w:tcBorders>
              <w:bottom w:val="single" w:sz="8" w:color="E4E4E4"/>
            </w:tcBorders>
            <w:shd w:val="clear" w:color="auto" w:fill="E4E4E4"/>
          </w:tcPr>
          <w:p>
            <w:pPr>
              <w:jc w:val="center"/>
              <w:ind w:left="359"/>
              <w:spacing w:after="0"/>
              <w:rPr>
                <w:sz w:val="20"/>
                <w:szCs w:val="20"/>
                <w:color w:val="auto"/>
              </w:rPr>
            </w:pPr>
            <w:r>
              <w:rPr>
                <w:rFonts w:ascii="Arial" w:cs="Arial" w:eastAsia="Arial" w:hAnsi="Arial"/>
                <w:sz w:val="16"/>
                <w:szCs w:val="16"/>
                <w:color w:val="auto"/>
              </w:rPr>
              <w:t>(0.10)</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0.05</w:t>
            </w:r>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-2133600</wp:posOffset>
            </wp:positionV>
            <wp:extent cx="77152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17970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-1636395</wp:posOffset>
            </wp:positionV>
            <wp:extent cx="771525"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3003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-1019810</wp:posOffset>
            </wp:positionV>
            <wp:extent cx="771525"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3003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-521970</wp:posOffset>
            </wp:positionV>
            <wp:extent cx="7715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15430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-196215</wp:posOffset>
            </wp:positionV>
            <wp:extent cx="77152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19685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3940" w:space="720"/>
            <w:col w:w="65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6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48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48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0.27</w:t>
            </w:r>
          </w:p>
        </w:tc>
        <w:tc>
          <w:tcPr>
            <w:tcW w:w="5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50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3.15</w:t>
            </w:r>
          </w:p>
        </w:tc>
        <w:tc>
          <w:tcPr>
            <w:tcW w:w="5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0.32</w:t>
            </w:r>
          </w:p>
        </w:tc>
      </w:tr>
      <w:tr>
        <w:trPr>
          <w:trHeight w:val="35"/>
        </w:trPr>
        <w:tc>
          <w:tcPr>
            <w:tcW w:w="3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7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Diluted weighted-average shares outstanding</w:t>
            </w:r>
          </w:p>
        </w:tc>
        <w:tc>
          <w:tcPr>
            <w:tcW w:w="64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453</w:t>
            </w:r>
          </w:p>
        </w:tc>
        <w:tc>
          <w:tcPr>
            <w:tcW w:w="48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48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50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50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99" w:lineRule="auto"/>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ind w:left="440" w:right="200" w:hanging="414"/>
        <w:spacing w:after="0" w:line="277" w:lineRule="auto"/>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Costs and other adjustments related to the Spin-Off and separation from GE, including system implementations, audit and advisory fees, legal entity separation, Founders Grant equity awards, separation agreements with GE, and other one-time costs. For the nine months ended September 30, 2025, an adjustment is included to eliminate the associated impact on Net (income) loss attributable to noncontrolling interests for applicable costs that impact earnings attributable to noncontrolling interests.</w:t>
      </w:r>
    </w:p>
    <w:p>
      <w:pPr>
        <w:spacing w:after="0" w:line="14" w:lineRule="exact"/>
        <w:rPr>
          <w:rFonts w:ascii="Arial" w:cs="Arial" w:eastAsia="Arial" w:hAnsi="Arial"/>
          <w:sz w:val="16"/>
          <w:szCs w:val="16"/>
          <w:color w:val="auto"/>
        </w:rPr>
      </w:pPr>
    </w:p>
    <w:p>
      <w:pPr>
        <w:ind w:left="440" w:hanging="414"/>
        <w:spacing w:after="0"/>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360" w:hanging="414"/>
        <w:spacing w:after="0" w:line="299" w:lineRule="auto"/>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ind w:left="440" w:right="360" w:hanging="414"/>
        <w:spacing w:after="0" w:line="270" w:lineRule="auto"/>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Consists of the pre-tax impact of refunds pertaining to IEEPA tariffs incurred in the year ended December 31, 2025. The associated tax effect is presented on the Tax effect of reconciling items line. The net of tax impact of tariff refunds is $0.02 and $0.19 for the three and nine months ended September 30, 2026, respectively.</w:t>
      </w:r>
    </w:p>
    <w:p>
      <w:pPr>
        <w:ind w:left="440" w:right="320" w:hanging="414"/>
        <w:spacing w:after="0" w:line="286" w:lineRule="auto"/>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180" w:hanging="414"/>
        <w:spacing w:after="0" w:line="265" w:lineRule="auto"/>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foreign income tax reserve releases and discrete tax impacts resulting from the Spin-Off and separation from GE. Additionally, includes the impact of a foreign tax audit settlement for the three and nine months ended September 30, 2026; impacts from tax law changes for the three and nine months ended September 30, 2025; and tax impacts of the NMP acquisition for the nine months ended September 30, 2025.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Non-GAAP financial measure.</w:t>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94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22"/>
                <w:szCs w:val="22"/>
                <w:color w:val="auto"/>
              </w:rPr>
            </w:pPr>
          </w:p>
        </w:tc>
        <w:tc>
          <w:tcPr>
            <w:tcW w:w="34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For the three months ended September 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 in millions)</w:t>
            </w:r>
          </w:p>
        </w:tc>
        <w:tc>
          <w:tcPr>
            <w:tcW w:w="16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6022A6"/>
            </w:tcBorders>
            <w:vMerge w:val="continue"/>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640" w:type="dxa"/>
            <w:vAlign w:val="bottom"/>
            <w:tcBorders>
              <w:bottom w:val="single" w:sz="8" w:color="6022A6"/>
            </w:tcBorders>
          </w:tcPr>
          <w:p>
            <w:pPr>
              <w:jc w:val="right"/>
              <w:ind w:right="619"/>
              <w:spacing w:after="0"/>
              <w:rPr>
                <w:sz w:val="20"/>
                <w:szCs w:val="20"/>
                <w:color w:val="auto"/>
              </w:rPr>
            </w:pPr>
            <w:r>
              <w:rPr>
                <w:rFonts w:ascii="Arial" w:cs="Arial" w:eastAsia="Arial" w:hAnsi="Arial"/>
                <w:sz w:val="16"/>
                <w:szCs w:val="16"/>
                <w:b w:val="1"/>
                <w:bCs w:val="1"/>
                <w:color w:val="454545"/>
              </w:rPr>
              <w:t>2026</w:t>
            </w:r>
          </w:p>
        </w:tc>
        <w:tc>
          <w:tcPr>
            <w:tcW w:w="440" w:type="dxa"/>
            <w:vAlign w:val="bottom"/>
            <w:tcBorders>
              <w:bottom w:val="single" w:sz="8" w:color="6022A6"/>
            </w:tcBorders>
          </w:tcPr>
          <w:p>
            <w:pPr>
              <w:spacing w:after="0"/>
              <w:rPr>
                <w:sz w:val="21"/>
                <w:szCs w:val="21"/>
                <w:color w:val="auto"/>
              </w:rPr>
            </w:pPr>
          </w:p>
        </w:tc>
        <w:tc>
          <w:tcPr>
            <w:tcW w:w="138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2025</w:t>
            </w:r>
          </w:p>
        </w:tc>
        <w:tc>
          <w:tcPr>
            <w:tcW w:w="120" w:type="dxa"/>
            <w:vAlign w:val="bottom"/>
            <w:tcBorders>
              <w:bottom w:val="single" w:sz="8" w:color="6022A6"/>
            </w:tcBorders>
          </w:tcPr>
          <w:p>
            <w:pPr>
              <w:spacing w:after="0"/>
              <w:rPr>
                <w:sz w:val="21"/>
                <w:szCs w:val="21"/>
                <w:color w:val="auto"/>
              </w:rPr>
            </w:pPr>
          </w:p>
        </w:tc>
        <w:tc>
          <w:tcPr>
            <w:tcW w:w="140" w:type="dxa"/>
            <w:vAlign w:val="bottom"/>
            <w:tcBorders>
              <w:bottom w:val="single" w:sz="8" w:color="6022A6"/>
            </w:tcBorders>
          </w:tcPr>
          <w:p>
            <w:pPr>
              <w:spacing w:after="0"/>
              <w:rPr>
                <w:sz w:val="21"/>
                <w:szCs w:val="21"/>
                <w:color w:val="auto"/>
              </w:rPr>
            </w:pPr>
          </w:p>
        </w:tc>
        <w:tc>
          <w:tcPr>
            <w:tcW w:w="1600" w:type="dxa"/>
            <w:vAlign w:val="bottom"/>
            <w:tcBorders>
              <w:bottom w:val="single" w:sz="8" w:color="6022A6"/>
            </w:tcBorders>
          </w:tcPr>
          <w:p>
            <w:pPr>
              <w:jc w:val="right"/>
              <w:ind w:right="599"/>
              <w:spacing w:after="0"/>
              <w:rPr>
                <w:sz w:val="20"/>
                <w:szCs w:val="20"/>
                <w:color w:val="auto"/>
              </w:rPr>
            </w:pPr>
            <w:r>
              <w:rPr>
                <w:rFonts w:ascii="Arial" w:cs="Arial" w:eastAsia="Arial" w:hAnsi="Arial"/>
                <w:sz w:val="16"/>
                <w:szCs w:val="16"/>
                <w:b w:val="1"/>
                <w:bCs w:val="1"/>
                <w:color w:val="454545"/>
              </w:rPr>
              <w:t>2026</w:t>
            </w:r>
          </w:p>
        </w:tc>
        <w:tc>
          <w:tcPr>
            <w:tcW w:w="44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Benefit (provision) for income taxes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w:t>
            </w:r>
          </w:p>
        </w:tc>
        <w:tc>
          <w:tcPr>
            <w:tcW w:w="26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(342)</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(395)</w:t>
            </w:r>
          </w:p>
        </w:tc>
        <w:tc>
          <w:tcPr>
            <w:tcW w:w="0" w:type="dxa"/>
            <w:vAlign w:val="bottom"/>
          </w:tcPr>
          <w:p>
            <w:pPr>
              <w:spacing w:after="0"/>
              <w:rPr>
                <w:sz w:val="1"/>
                <w:szCs w:val="1"/>
                <w:color w:val="auto"/>
              </w:rPr>
            </w:pPr>
          </w:p>
        </w:tc>
      </w:tr>
      <w:tr>
        <w:trPr>
          <w:trHeight w:val="257"/>
        </w:trPr>
        <w:tc>
          <w:tcPr>
            <w:tcW w:w="3940" w:type="dxa"/>
            <w:vAlign w:val="bottom"/>
          </w:tcPr>
          <w:p>
            <w:pPr>
              <w:ind w:left="2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91"/>
        </w:trPr>
        <w:tc>
          <w:tcPr>
            <w:tcW w:w="39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E4E4E4"/>
          </w:tcPr>
          <w:p>
            <w:pPr>
              <w:spacing w:after="0"/>
              <w:rPr>
                <w:sz w:val="24"/>
                <w:szCs w:val="24"/>
                <w:color w:val="auto"/>
              </w:rPr>
            </w:pP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440" w:type="dxa"/>
            <w:vAlign w:val="bottom"/>
            <w:tcBorders>
              <w:bottom w:val="single" w:sz="8" w:color="auto"/>
            </w:tcBorders>
            <w:shd w:val="clear" w:color="auto" w:fill="E4E4E4"/>
          </w:tcPr>
          <w:p>
            <w:pPr>
              <w:spacing w:after="0"/>
              <w:rPr>
                <w:sz w:val="24"/>
                <w:szCs w:val="24"/>
                <w:color w:val="auto"/>
              </w:rPr>
            </w:pP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spacing w:after="0"/>
              <w:rPr>
                <w:sz w:val="24"/>
                <w:szCs w:val="24"/>
                <w:color w:val="auto"/>
              </w:rPr>
            </w:pPr>
          </w:p>
        </w:tc>
        <w:tc>
          <w:tcPr>
            <w:tcW w:w="16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440" w:type="dxa"/>
            <w:vAlign w:val="bottom"/>
            <w:tcBorders>
              <w:bottom w:val="single" w:sz="8" w:color="auto"/>
            </w:tcBorders>
            <w:shd w:val="clear" w:color="auto" w:fill="E4E4E4"/>
          </w:tcPr>
          <w:p>
            <w:pPr>
              <w:spacing w:after="0"/>
              <w:rPr>
                <w:sz w:val="24"/>
                <w:szCs w:val="24"/>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5"/>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(402)</w:t>
            </w: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(377)</w:t>
            </w:r>
          </w:p>
        </w:tc>
        <w:tc>
          <w:tcPr>
            <w:tcW w:w="0" w:type="dxa"/>
            <w:vAlign w:val="bottom"/>
          </w:tcPr>
          <w:p>
            <w:pPr>
              <w:spacing w:after="0"/>
              <w:rPr>
                <w:sz w:val="1"/>
                <w:szCs w:val="1"/>
                <w:color w:val="auto"/>
              </w:rPr>
            </w:pP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6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17.1%</w:t>
            </w:r>
          </w:p>
        </w:tc>
        <w:tc>
          <w:tcPr>
            <w:tcW w:w="44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27.8%</w:t>
            </w:r>
          </w:p>
        </w:tc>
        <w:tc>
          <w:tcPr>
            <w:tcW w:w="1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w:t>
            </w:r>
          </w:p>
        </w:tc>
        <w:tc>
          <w:tcPr>
            <w:tcW w:w="44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effective tax rate*</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0" w:right="320" w:hanging="414"/>
        <w:spacing w:after="0" w:line="286"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180" w:hanging="414"/>
        <w:spacing w:after="0" w:line="265"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foreign income tax reserve releases and discrete tax impacts resulting from the Spin-Off and separation from GE. Additionally, includes the impact of a foreign tax audit settlement for the three and nine months ended September 30, 2026; impacts from tax law changes for the three and nine months ended September 30, 2025; and tax impacts of the NMP acquisition for the nine months ended September 30,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22"/>
                <w:szCs w:val="22"/>
                <w:color w:val="auto"/>
              </w:rPr>
            </w:pPr>
          </w:p>
        </w:tc>
        <w:tc>
          <w:tcPr>
            <w:tcW w:w="3540" w:type="dxa"/>
            <w:vAlign w:val="bottom"/>
            <w:gridSpan w:val="5"/>
          </w:tcPr>
          <w:p>
            <w:pPr>
              <w:ind w:left="40"/>
              <w:spacing w:after="0"/>
              <w:rPr>
                <w:sz w:val="20"/>
                <w:szCs w:val="20"/>
                <w:color w:val="auto"/>
              </w:rPr>
            </w:pPr>
            <w:r>
              <w:rPr>
                <w:rFonts w:ascii="Arial" w:cs="Arial" w:eastAsia="Arial" w:hAnsi="Arial"/>
                <w:sz w:val="16"/>
                <w:szCs w:val="16"/>
                <w:b w:val="1"/>
                <w:bCs w:val="1"/>
                <w:color w:val="454545"/>
              </w:rPr>
              <w:t>For the three months ended September 30</w:t>
            </w:r>
          </w:p>
        </w:tc>
        <w:tc>
          <w:tcPr>
            <w:tcW w:w="180" w:type="dxa"/>
            <w:vAlign w:val="bottom"/>
          </w:tcPr>
          <w:p>
            <w:pPr>
              <w:spacing w:after="0"/>
              <w:rPr>
                <w:sz w:val="22"/>
                <w:szCs w:val="22"/>
                <w:color w:val="auto"/>
              </w:rPr>
            </w:pPr>
          </w:p>
        </w:tc>
        <w:tc>
          <w:tcPr>
            <w:tcW w:w="34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 in millions)</w:t>
            </w:r>
          </w:p>
        </w:tc>
        <w:tc>
          <w:tcPr>
            <w:tcW w:w="16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2026</w:t>
            </w:r>
          </w:p>
        </w:tc>
        <w:tc>
          <w:tcPr>
            <w:tcW w:w="280" w:type="dxa"/>
            <w:vAlign w:val="bottom"/>
          </w:tcPr>
          <w:p>
            <w:pPr>
              <w:spacing w:after="0"/>
              <w:rPr>
                <w:sz w:val="19"/>
                <w:szCs w:val="19"/>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2025</w:t>
            </w: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454545"/>
              </w:rPr>
              <w:t>% change</w:t>
            </w:r>
          </w:p>
        </w:tc>
        <w:tc>
          <w:tcPr>
            <w:tcW w:w="180" w:type="dxa"/>
            <w:vAlign w:val="bottom"/>
          </w:tcPr>
          <w:p>
            <w:pPr>
              <w:spacing w:after="0"/>
              <w:rPr>
                <w:sz w:val="19"/>
                <w:szCs w:val="19"/>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2026</w:t>
            </w:r>
          </w:p>
        </w:tc>
        <w:tc>
          <w:tcPr>
            <w:tcW w:w="300" w:type="dxa"/>
            <w:vAlign w:val="bottom"/>
          </w:tcPr>
          <w:p>
            <w:pPr>
              <w:spacing w:after="0"/>
              <w:rPr>
                <w:sz w:val="19"/>
                <w:szCs w:val="19"/>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2025</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39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907</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593</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52.9%</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1,365</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937</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45.6%</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6"/>
                <w:szCs w:val="16"/>
                <w:color w:val="auto"/>
              </w:rPr>
              <w:t>Add: Additions to PP&amp;E and internal-use software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(110)</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Dispositions of PP&amp;E</w:t>
            </w:r>
          </w:p>
        </w:tc>
        <w:tc>
          <w:tcPr>
            <w:tcW w:w="16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793</w:t>
            </w:r>
          </w:p>
        </w:tc>
        <w:tc>
          <w:tcPr>
            <w:tcW w:w="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483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64.2%</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973</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589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65.2%</w:t>
            </w:r>
          </w:p>
        </w:tc>
        <w:tc>
          <w:tcPr>
            <w:tcW w:w="0" w:type="dxa"/>
            <w:vAlign w:val="bottom"/>
          </w:tcPr>
          <w:p>
            <w:pPr>
              <w:spacing w:after="0"/>
              <w:rPr>
                <w:sz w:val="1"/>
                <w:szCs w:val="1"/>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Non-GAAP financial measures in outlook</w:t>
      </w:r>
    </w:p>
    <w:p>
      <w:pPr>
        <w:spacing w:after="0" w:line="2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 HealthCare calculates forward-looking non-GAAP financial measures, including Organic revenue growth, Adjusted EBIT margin, Adjusted ETR, Adjusted EPS, and Free cash flow based on internal forecasts that omit certain amounts that would be included in U.S. GAAP financial measures. GE HealthCare does not provide reconciliations of these forward-looking non-GAAP financial measures to the respective U.S. GAAP metrics as it is unable to predict with reasonable certainty and without unreasonable effort certain items such as the impact of changes in currency exchange rates, impacts associated with business acquisitions or dispositions, timing and magnitude of restructuring activities, and revaluation of strategic investments, amongst other items. The timing and amounts of these items are uncertain and could have a substantial impact on GE HealthCare’s results in accordance with U.S. GAAP.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Key performance indicators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Management uses the following metrics to provide a leading indicator of current business demand from customers for products and services.</w:t>
      </w:r>
    </w:p>
    <w:p>
      <w:pPr>
        <w:spacing w:after="0" w:line="32"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8"/>
          <w:szCs w:val="18"/>
          <w:color w:val="231F20"/>
        </w:rPr>
      </w:pPr>
      <w:r>
        <w:rPr>
          <w:rFonts w:ascii="Arial" w:cs="Arial" w:eastAsia="Arial" w:hAnsi="Arial"/>
          <w:sz w:val="18"/>
          <w:szCs w:val="18"/>
          <w:color w:val="231F20"/>
        </w:rPr>
        <w:t>Organic orders growth: Rate of change period-over-period of contractual commitments with customers to provide specified goods or</w:t>
      </w:r>
    </w:p>
    <w:p>
      <w:pPr>
        <w:spacing w:after="0" w:line="17" w:lineRule="exact"/>
        <w:rPr>
          <w:rFonts w:ascii="Arial" w:cs="Arial" w:eastAsia="Arial" w:hAnsi="Arial"/>
          <w:sz w:val="18"/>
          <w:szCs w:val="18"/>
          <w:color w:val="231F20"/>
        </w:rPr>
      </w:pPr>
    </w:p>
    <w:p>
      <w:pPr>
        <w:ind w:left="660" w:right="260"/>
        <w:spacing w:after="0" w:line="265" w:lineRule="auto"/>
        <w:rPr>
          <w:rFonts w:ascii="Arial" w:cs="Arial" w:eastAsia="Arial" w:hAnsi="Arial"/>
          <w:sz w:val="18"/>
          <w:szCs w:val="18"/>
          <w:color w:val="231F20"/>
        </w:rPr>
      </w:pPr>
      <w:r>
        <w:rPr>
          <w:rFonts w:ascii="Arial" w:cs="Arial" w:eastAsia="Arial" w:hAnsi="Arial"/>
          <w:sz w:val="17"/>
          <w:szCs w:val="17"/>
          <w:color w:val="231F20"/>
        </w:rPr>
        <w:t>services for an agreed upon price, and excluding the effects of: (1) recent acquisitions and dispositions with less than a full year of comparable orders; and (2) foreign currency exchange rate fluctuations in order to present orders on a constant currency basis.</w:t>
      </w:r>
    </w:p>
    <w:p>
      <w:pPr>
        <w:ind w:left="660" w:hanging="328"/>
        <w:spacing w:after="0"/>
        <w:tabs>
          <w:tab w:leader="none" w:pos="660" w:val="left"/>
        </w:tabs>
        <w:numPr>
          <w:ilvl w:val="1"/>
          <w:numId w:val="13"/>
        </w:numPr>
        <w:rPr>
          <w:rFonts w:ascii="Arial" w:cs="Arial" w:eastAsia="Arial" w:hAnsi="Arial"/>
          <w:sz w:val="18"/>
          <w:szCs w:val="18"/>
          <w:color w:val="231F20"/>
        </w:rPr>
      </w:pPr>
      <w:r>
        <w:rPr>
          <w:rFonts w:ascii="Arial" w:cs="Arial" w:eastAsia="Arial" w:hAnsi="Arial"/>
          <w:sz w:val="18"/>
          <w:szCs w:val="18"/>
          <w:color w:val="231F20"/>
        </w:rPr>
        <w:t>Book-to-bill: Total orders divided by Total revenues within a given financial period (e.g., quarter or FY).</w:t>
      </w:r>
    </w:p>
    <w:p>
      <w:pPr>
        <w:spacing w:after="0" w:line="200" w:lineRule="exact"/>
        <w:rPr>
          <w:rFonts w:ascii="Arial" w:cs="Arial" w:eastAsia="Arial" w:hAnsi="Arial"/>
          <w:sz w:val="18"/>
          <w:szCs w:val="18"/>
          <w:color w:val="231F20"/>
        </w:rPr>
      </w:pPr>
    </w:p>
    <w:p>
      <w:pPr>
        <w:spacing w:after="0" w:line="200" w:lineRule="exact"/>
        <w:rPr>
          <w:rFonts w:ascii="Arial" w:cs="Arial" w:eastAsia="Arial" w:hAnsi="Arial"/>
          <w:sz w:val="18"/>
          <w:szCs w:val="18"/>
          <w:color w:val="231F20"/>
        </w:rPr>
      </w:pPr>
    </w:p>
    <w:p>
      <w:pPr>
        <w:spacing w:after="0" w:line="200" w:lineRule="exact"/>
        <w:rPr>
          <w:rFonts w:ascii="Arial" w:cs="Arial" w:eastAsia="Arial" w:hAnsi="Arial"/>
          <w:sz w:val="18"/>
          <w:szCs w:val="18"/>
          <w:color w:val="231F20"/>
        </w:rPr>
      </w:pPr>
    </w:p>
    <w:p>
      <w:pPr>
        <w:spacing w:after="0" w:line="200" w:lineRule="exact"/>
        <w:rPr>
          <w:rFonts w:ascii="Arial" w:cs="Arial" w:eastAsia="Arial" w:hAnsi="Arial"/>
          <w:sz w:val="18"/>
          <w:szCs w:val="18"/>
          <w:color w:val="231F20"/>
        </w:rPr>
      </w:pPr>
    </w:p>
    <w:p>
      <w:pPr>
        <w:spacing w:after="0" w:line="316" w:lineRule="exact"/>
        <w:rPr>
          <w:rFonts w:ascii="Arial" w:cs="Arial" w:eastAsia="Arial" w:hAnsi="Arial"/>
          <w:sz w:val="18"/>
          <w:szCs w:val="18"/>
          <w:color w:val="231F20"/>
        </w:rPr>
      </w:pPr>
    </w:p>
    <w:p>
      <w:pPr>
        <w:spacing w:after="0"/>
        <w:rPr>
          <w:rFonts w:ascii="Arial" w:cs="Arial" w:eastAsia="Arial" w:hAnsi="Arial"/>
          <w:sz w:val="18"/>
          <w:szCs w:val="18"/>
          <w:color w:val="231F20"/>
        </w:rPr>
      </w:pPr>
      <w:r>
        <w:rPr>
          <w:rFonts w:ascii="Arial" w:cs="Arial" w:eastAsia="Arial" w:hAnsi="Arial"/>
          <w:sz w:val="16"/>
          <w:szCs w:val="16"/>
          <w:color w:val="auto"/>
        </w:rPr>
        <w:t>* Non-GAAP financial measure.</w:t>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6022A6"/>
        </w:rPr>
        <w:t>Conference call and webcast information</w:t>
      </w:r>
    </w:p>
    <w:p>
      <w:pPr>
        <w:spacing w:after="0" w:line="266"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color w:val="auto"/>
        </w:rPr>
        <w:t>GE HealthCare will discuss its results during its live earnings call today, October 28, 2026 at 8:30 am ET/7:30 am CT. The webcast and accompanying slide presentation containing financial information can be accessed by visiting the investor section of the website at https://investor.gehealthcare.com/news-events/events. An archived version of the webcast will be available on the website after the call.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Forward-looking statements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release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the Company’s business and expected financial performance, financial condition, and results of operations, including revenue, revenue growth, profit, taxes, earnings per share, and cash flows, and the Company’s outlook; changes in the Company’s leadership and related impacts; and the Company’s strategy, innovation, and acquisitions and investments. These forward-looking statements involve risks and uncertainties, many of which are beyond the Company’s control. Factors that could cause the Company’s actual results to differ materially from those described in its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in the Middle East, and in other regions; public health crises, epidemics, and pandemics, and their effects on the Company’s business; changes in or elimination of government subsidies, and changes in third-party and government reimbursement processes, rates, and contractual relationships, including related to government shutdowns, and changes in the mix of public and private payers; demand for the Company’s products, services, or solutions and factors that affect that demand; developments in the market in China; the Company’s ability to control increases in healthcare costs and any subsequent effect on demand for the Company’s products, services, or solutions; the Company’s ability to successfully complete strategic transactions; the actions or inactions of third parties with whom the Company partners and the various collaboration, licensing, and other partnerships and alliances the Company has with third parties; the impacts related to the Company’s increasing focus on and investment in cloud, edge computing, artificial intelligence, and software offerings; management of the Company’s supply chain and the Company’s ability to cost-effectively secure the materials it needs to operate its business; disruptions in the Company’s operations; the impact of potential information technology, cybersecurity, or data security breaches; maintenance and protection of the Company’s intellectual property rights, as well as maintenance of successful research and development efforts with respect to commercially successful products and technologies; the Company’s ability to attract and/or retain key talent and qualified employees; increasing attention to sustainability matters; compliance with the various legal, regulatory, tax, privacy, and other laws to which the Company is subject, such as the Foreign Corrupt Practices Act and similar anti-corruption and anti-bribery laws globally, and related changes, claims, inquiries, investigations, or actions; the impact of potential product liability claims or potential litigation, arbitration, or similar proceedings; the Company’s level of indebtedness and the impact of complying with the covenants and other terms of the Company’s debt instruments on its business. Please also see Item 1A, “Risk Factors” of the Company’s Annual Report on Form 10-K for the fiscal year ended December 31, 2025, filed with the U.S. Securities and Exchange Commission and any updates or amendments it makes in future filings. There may be other factors not presently known to the Company or which it currently considers to be immaterial that could cause the Company’s actual results to differ materially from those projected in any forward-looking statements the Company makes. The Company does not undertake any obligation to update or revise its forward-looking statements except as required by applicable law or regulation.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About GE HealthCare Technologies Inc.</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 HealthCare is a leading global healthcare solutions provider of advanced medical technology, pharmaceutical diagnostics, and AI, cloud and software solutions that help clinicians tackle the world’s most complex diseases. Serving patients and providers for 130 years, GE HealthCare is delivering bold innovations designed for the next era of medicine across its Advanced Imaging Solutions, Pharmaceutical Diagnostics, and Patient Care Solutions segments to help clinicians deliver more personalized, precise patient care. We are a $20.6 billion business with approximately 54,000 colleagues working to create a world where healthcare has no limits.</w:t>
      </w:r>
    </w:p>
    <w:p>
      <w:pPr>
        <w:sectPr>
          <w:pgSz w:w="11900" w:h="16838" w:orient="portrait"/>
          <w:cols w:equalWidth="0" w:num="1">
            <w:col w:w="11220"/>
          </w:cols>
          <w:pgMar w:left="320" w:top="141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GE HealthCare is proud to be among 2026 Fortune World’s Most Admired Companies™.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Follow us on LinkedIn, Facebook, Instagram, or visit our website for our latest news and perspectives. </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Investor Relations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Carolynne Borders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+1-631-662-4317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carolynne.borders@gehealthcare.com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6022A6"/>
        </w:rPr>
        <w:t>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Jennifer Fox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+1-414-530-3027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jennifer.r.fox@gehealthcare.com</w:t>
      </w:r>
    </w:p>
    <w:sectPr>
      <w:pgSz w:w="11900" w:h="16838" w:orient="portrait"/>
      <w:cols w:equalWidth="0" w:num="1">
        <w:col w:w="10139"/>
      </w:cols>
      <w:pgMar w:left="32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9"/>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lvl w:ilvl="1">
      <w:lvlJc w:val="left"/>
      <w:lvlText w:val="(%2)"/>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lvl w:ilvl="1">
      <w:lvlJc w:val="left"/>
      <w:lvlText w:val="(%2)"/>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2026-10-28T05:29:36Z</dcterms:created>
  <dcterms:modified xsi:type="dcterms:W3CDTF">2026-10-28T05:29:36Z</dcterms:modified>
</cp:coreProperties>
</file>