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May 7, 2026</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GE HEALTHCARE TECHNOLOGIES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40" w:lineRule="exact"/>
        <w:rPr>
          <w:sz w:val="24"/>
          <w:szCs w:val="24"/>
          <w:color w:val="auto"/>
        </w:rPr>
      </w:pPr>
    </w:p>
    <w:tbl>
      <w:tblPr>
        <w:tblLayout w:type="fixed"/>
        <w:tblInd w:w="860" w:type="dxa"/>
        <w:tblCellMar>
          <w:top w:w="0" w:type="dxa"/>
          <w:left w:w="0" w:type="dxa"/>
          <w:bottom w:w="0" w:type="dxa"/>
          <w:right w:w="0" w:type="dxa"/>
        </w:tblCellMar>
      </w:tblPr>
      <w:tr>
        <w:trPr>
          <w:trHeight w:val="223"/>
        </w:trPr>
        <w:tc>
          <w:tcPr>
            <w:tcW w:w="3820" w:type="dxa"/>
            <w:vAlign w:val="bottom"/>
          </w:tcPr>
          <w:p>
            <w:pPr>
              <w:jc w:val="center"/>
              <w:spacing w:after="0"/>
              <w:rPr>
                <w:sz w:val="20"/>
                <w:szCs w:val="20"/>
                <w:color w:val="auto"/>
              </w:rPr>
            </w:pPr>
            <w:r>
              <w:rPr>
                <w:rFonts w:ascii="Arial" w:cs="Arial" w:eastAsia="Arial" w:hAnsi="Arial"/>
                <w:sz w:val="16"/>
                <w:szCs w:val="16"/>
                <w:b w:val="1"/>
                <w:bCs w:val="1"/>
                <w:color w:val="auto"/>
                <w:w w:val="99"/>
              </w:rPr>
              <w:t>Delaware</w:t>
            </w:r>
          </w:p>
        </w:tc>
        <w:tc>
          <w:tcPr>
            <w:tcW w:w="226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rPr>
              <w:t>001-41528</w:t>
            </w:r>
          </w:p>
        </w:tc>
        <w:tc>
          <w:tcPr>
            <w:tcW w:w="120" w:type="dxa"/>
            <w:vAlign w:val="bottom"/>
          </w:tcPr>
          <w:p>
            <w:pPr>
              <w:spacing w:after="0"/>
              <w:rPr>
                <w:sz w:val="19"/>
                <w:szCs w:val="19"/>
                <w:color w:val="auto"/>
              </w:rPr>
            </w:pPr>
          </w:p>
        </w:tc>
        <w:tc>
          <w:tcPr>
            <w:tcW w:w="3320" w:type="dxa"/>
            <w:vAlign w:val="bottom"/>
          </w:tcPr>
          <w:p>
            <w:pPr>
              <w:jc w:val="right"/>
              <w:ind w:right="1139"/>
              <w:spacing w:after="0"/>
              <w:rPr>
                <w:sz w:val="20"/>
                <w:szCs w:val="20"/>
                <w:color w:val="auto"/>
              </w:rPr>
            </w:pPr>
            <w:r>
              <w:rPr>
                <w:rFonts w:ascii="Arial" w:cs="Arial" w:eastAsia="Arial" w:hAnsi="Arial"/>
                <w:sz w:val="16"/>
                <w:szCs w:val="16"/>
                <w:b w:val="1"/>
                <w:bCs w:val="1"/>
                <w:color w:val="auto"/>
              </w:rPr>
              <w:t>88-2515116</w:t>
            </w:r>
          </w:p>
        </w:tc>
      </w:tr>
      <w:tr>
        <w:trPr>
          <w:trHeight w:val="35"/>
        </w:trPr>
        <w:tc>
          <w:tcPr>
            <w:tcW w:w="3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r>
      <w:tr>
        <w:trPr>
          <w:trHeight w:val="155"/>
        </w:trPr>
        <w:tc>
          <w:tcPr>
            <w:tcW w:w="3820" w:type="dxa"/>
            <w:vAlign w:val="bottom"/>
          </w:tcPr>
          <w:p>
            <w:pPr>
              <w:ind w:left="960"/>
              <w:spacing w:after="0" w:line="155" w:lineRule="exact"/>
              <w:rPr>
                <w:sz w:val="20"/>
                <w:szCs w:val="20"/>
                <w:color w:val="auto"/>
              </w:rPr>
            </w:pPr>
            <w:r>
              <w:rPr>
                <w:rFonts w:ascii="Arial" w:cs="Arial" w:eastAsia="Arial" w:hAnsi="Arial"/>
                <w:sz w:val="16"/>
                <w:szCs w:val="16"/>
                <w:color w:val="auto"/>
              </w:rPr>
              <w:t>(State or other jurisdiction</w:t>
            </w:r>
          </w:p>
        </w:tc>
        <w:tc>
          <w:tcPr>
            <w:tcW w:w="140" w:type="dxa"/>
            <w:vAlign w:val="bottom"/>
          </w:tcPr>
          <w:p>
            <w:pPr>
              <w:spacing w:after="0"/>
              <w:rPr>
                <w:sz w:val="13"/>
                <w:szCs w:val="13"/>
                <w:color w:val="auto"/>
              </w:rPr>
            </w:pPr>
          </w:p>
        </w:tc>
        <w:tc>
          <w:tcPr>
            <w:tcW w:w="2120" w:type="dxa"/>
            <w:vAlign w:val="bottom"/>
          </w:tcPr>
          <w:p>
            <w:pPr>
              <w:jc w:val="center"/>
              <w:spacing w:after="0" w:line="155" w:lineRule="exact"/>
              <w:rPr>
                <w:sz w:val="20"/>
                <w:szCs w:val="20"/>
                <w:color w:val="auto"/>
              </w:rPr>
            </w:pPr>
            <w:r>
              <w:rPr>
                <w:rFonts w:ascii="Arial" w:cs="Arial" w:eastAsia="Arial" w:hAnsi="Arial"/>
                <w:sz w:val="16"/>
                <w:szCs w:val="16"/>
                <w:color w:val="auto"/>
              </w:rPr>
              <w:t>(Commission</w:t>
            </w:r>
          </w:p>
        </w:tc>
        <w:tc>
          <w:tcPr>
            <w:tcW w:w="120" w:type="dxa"/>
            <w:vAlign w:val="bottom"/>
          </w:tcPr>
          <w:p>
            <w:pPr>
              <w:spacing w:after="0"/>
              <w:rPr>
                <w:sz w:val="13"/>
                <w:szCs w:val="13"/>
                <w:color w:val="auto"/>
              </w:rPr>
            </w:pPr>
          </w:p>
        </w:tc>
        <w:tc>
          <w:tcPr>
            <w:tcW w:w="3320" w:type="dxa"/>
            <w:vAlign w:val="bottom"/>
          </w:tcPr>
          <w:p>
            <w:pPr>
              <w:jc w:val="center"/>
              <w:spacing w:after="0" w:line="155" w:lineRule="exact"/>
              <w:rPr>
                <w:sz w:val="20"/>
                <w:szCs w:val="20"/>
                <w:color w:val="auto"/>
              </w:rPr>
            </w:pPr>
            <w:r>
              <w:rPr>
                <w:rFonts w:ascii="Arial" w:cs="Arial" w:eastAsia="Arial" w:hAnsi="Arial"/>
                <w:sz w:val="16"/>
                <w:szCs w:val="16"/>
                <w:color w:val="auto"/>
              </w:rPr>
              <w:t>(IRS Employer</w:t>
            </w:r>
          </w:p>
        </w:tc>
      </w:tr>
      <w:tr>
        <w:trPr>
          <w:trHeight w:val="215"/>
        </w:trPr>
        <w:tc>
          <w:tcPr>
            <w:tcW w:w="382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14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color w:val="auto"/>
              </w:rPr>
              <w:t>File Number)</w:t>
            </w:r>
          </w:p>
        </w:tc>
        <w:tc>
          <w:tcPr>
            <w:tcW w:w="3320" w:type="dxa"/>
            <w:vAlign w:val="bottom"/>
          </w:tcPr>
          <w:p>
            <w:pPr>
              <w:jc w:val="center"/>
              <w:spacing w:after="0"/>
              <w:rPr>
                <w:sz w:val="20"/>
                <w:szCs w:val="20"/>
                <w:color w:val="auto"/>
              </w:rPr>
            </w:pPr>
            <w:r>
              <w:rPr>
                <w:rFonts w:ascii="Arial" w:cs="Arial" w:eastAsia="Arial" w:hAnsi="Arial"/>
                <w:sz w:val="16"/>
                <w:szCs w:val="16"/>
                <w:color w:val="auto"/>
              </w:rPr>
              <w:t>Identification No.)</w:t>
            </w:r>
          </w:p>
        </w:tc>
      </w:tr>
      <w:tr>
        <w:trPr>
          <w:trHeight w:val="514"/>
        </w:trPr>
        <w:tc>
          <w:tcPr>
            <w:tcW w:w="38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500 W. Monroe Street, Chicago,  IL</w:t>
            </w: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Borders>
              <w:bottom w:val="single" w:sz="8" w:color="auto"/>
            </w:tcBorders>
          </w:tcPr>
          <w:p>
            <w:pPr>
              <w:jc w:val="right"/>
              <w:ind w:right="1339"/>
              <w:spacing w:after="0"/>
              <w:rPr>
                <w:sz w:val="20"/>
                <w:szCs w:val="20"/>
                <w:color w:val="auto"/>
              </w:rPr>
            </w:pPr>
            <w:r>
              <w:rPr>
                <w:rFonts w:ascii="Arial" w:cs="Arial" w:eastAsia="Arial" w:hAnsi="Arial"/>
                <w:sz w:val="16"/>
                <w:szCs w:val="16"/>
                <w:b w:val="1"/>
                <w:bCs w:val="1"/>
                <w:color w:val="auto"/>
              </w:rPr>
              <w:t>60661</w:t>
            </w:r>
          </w:p>
        </w:tc>
      </w:tr>
      <w:tr>
        <w:trPr>
          <w:trHeight w:val="208"/>
        </w:trPr>
        <w:tc>
          <w:tcPr>
            <w:tcW w:w="382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u w:val="single" w:color="auto"/>
          <w:color w:val="auto"/>
        </w:rPr>
        <w:t>(833) 735-1139</w:t>
      </w:r>
    </w:p>
    <w:p>
      <w:pPr>
        <w:spacing w:after="0" w:line="262" w:lineRule="exact"/>
        <w:rPr>
          <w:sz w:val="24"/>
          <w:szCs w:val="24"/>
          <w:color w:val="auto"/>
        </w:rPr>
      </w:pPr>
    </w:p>
    <w:p>
      <w:pPr>
        <w:ind w:left="3560"/>
        <w:spacing w:after="0"/>
        <w:rPr>
          <w:sz w:val="20"/>
          <w:szCs w:val="20"/>
          <w:color w:val="auto"/>
        </w:rPr>
      </w:pPr>
      <w:r>
        <w:rPr>
          <w:rFonts w:ascii="Arial" w:cs="Arial" w:eastAsia="Arial" w:hAnsi="Arial"/>
          <w:sz w:val="16"/>
          <w:szCs w:val="16"/>
          <w:color w:val="auto"/>
        </w:rPr>
        <w:t>______________________________________________</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32"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Instructions A.2. below):</w:t>
      </w:r>
    </w:p>
    <w:p>
      <w:pPr>
        <w:spacing w:after="0" w:line="182"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300" w:hanging="274"/>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00" w:hanging="274"/>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00" w:hanging="274"/>
        <w:spacing w:after="0"/>
        <w:tabs>
          <w:tab w:leader="none" w:pos="3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240" w:type="dxa"/>
            <w:vAlign w:val="bottom"/>
            <w:gridSpan w:val="2"/>
          </w:tcPr>
          <w:p>
            <w:pPr>
              <w:jc w:val="center"/>
              <w:ind w:right="120"/>
              <w:spacing w:after="0"/>
              <w:rPr>
                <w:sz w:val="20"/>
                <w:szCs w:val="20"/>
                <w:color w:val="auto"/>
              </w:rPr>
            </w:pPr>
            <w:r>
              <w:rPr>
                <w:rFonts w:ascii="Arial" w:cs="Arial" w:eastAsia="Arial" w:hAnsi="Arial"/>
                <w:sz w:val="16"/>
                <w:szCs w:val="16"/>
                <w:color w:val="auto"/>
              </w:rPr>
              <w:t>Securities registered pursuant to Section 12(b) of the Act:</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432"/>
        </w:trPr>
        <w:tc>
          <w:tcPr>
            <w:tcW w:w="4240" w:type="dxa"/>
            <w:vAlign w:val="bottom"/>
            <w:gridSpan w:val="2"/>
          </w:tcPr>
          <w:p>
            <w:pPr>
              <w:jc w:val="center"/>
              <w:ind w:right="60"/>
              <w:spacing w:after="0"/>
              <w:rPr>
                <w:sz w:val="20"/>
                <w:szCs w:val="20"/>
                <w:color w:val="auto"/>
              </w:rPr>
            </w:pPr>
            <w:r>
              <w:rPr>
                <w:rFonts w:ascii="Arial" w:cs="Arial" w:eastAsia="Arial" w:hAnsi="Arial"/>
                <w:sz w:val="16"/>
                <w:szCs w:val="16"/>
                <w:color w:val="auto"/>
              </w:rPr>
              <w:t>Title of each class</w:t>
            </w:r>
          </w:p>
        </w:tc>
        <w:tc>
          <w:tcPr>
            <w:tcW w:w="28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Trading Symbol(s)</w:t>
            </w:r>
          </w:p>
        </w:tc>
        <w:tc>
          <w:tcPr>
            <w:tcW w:w="418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42"/>
        </w:trPr>
        <w:tc>
          <w:tcPr>
            <w:tcW w:w="4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r>
      <w:tr>
        <w:trPr>
          <w:trHeight w:val="208"/>
        </w:trPr>
        <w:tc>
          <w:tcPr>
            <w:tcW w:w="4160" w:type="dxa"/>
            <w:vAlign w:val="bottom"/>
          </w:tcPr>
          <w:p>
            <w:pPr>
              <w:jc w:val="center"/>
              <w:spacing w:after="0"/>
              <w:rPr>
                <w:sz w:val="20"/>
                <w:szCs w:val="20"/>
                <w:color w:val="auto"/>
              </w:rPr>
            </w:pPr>
            <w:r>
              <w:rPr>
                <w:rFonts w:ascii="Arial" w:cs="Arial" w:eastAsia="Arial" w:hAnsi="Arial"/>
                <w:sz w:val="16"/>
                <w:szCs w:val="16"/>
                <w:color w:val="auto"/>
              </w:rPr>
              <w:t>Common stock, par value $0.01 per share</w:t>
            </w:r>
          </w:p>
        </w:tc>
        <w:tc>
          <w:tcPr>
            <w:tcW w:w="8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w w:val="99"/>
              </w:rPr>
              <w:t>GEHC</w:t>
            </w:r>
          </w:p>
        </w:tc>
        <w:tc>
          <w:tcPr>
            <w:tcW w:w="80" w:type="dxa"/>
            <w:vAlign w:val="bottom"/>
          </w:tcPr>
          <w:p>
            <w:pPr>
              <w:spacing w:after="0"/>
              <w:rPr>
                <w:sz w:val="18"/>
                <w:szCs w:val="18"/>
                <w:color w:val="auto"/>
              </w:rPr>
            </w:pPr>
          </w:p>
        </w:tc>
        <w:tc>
          <w:tcPr>
            <w:tcW w:w="41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271" w:lineRule="exact"/>
        <w:rPr>
          <w:sz w:val="24"/>
          <w:szCs w:val="24"/>
          <w:color w:val="auto"/>
        </w:rPr>
      </w:pPr>
    </w:p>
    <w:p>
      <w:pPr>
        <w:ind w:left="300" w:right="640"/>
        <w:spacing w:after="0" w:line="24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 240.12b-2 of this chapter).</w:t>
      </w:r>
    </w:p>
    <w:p>
      <w:pPr>
        <w:spacing w:after="0" w:line="1" w:lineRule="exact"/>
        <w:rPr>
          <w:sz w:val="24"/>
          <w:szCs w:val="24"/>
          <w:color w:val="auto"/>
        </w:rPr>
      </w:pPr>
    </w:p>
    <w:p>
      <w:pPr>
        <w:jc w:val="right"/>
        <w:ind w:right="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 w:lineRule="exact"/>
        <w:rPr>
          <w:sz w:val="24"/>
          <w:szCs w:val="24"/>
          <w:color w:val="auto"/>
        </w:rPr>
      </w:pPr>
    </w:p>
    <w:tbl>
      <w:tblPr>
        <w:tblLayout w:type="fixed"/>
        <w:tblInd w:w="300" w:type="dxa"/>
        <w:tblCellMar>
          <w:top w:w="0" w:type="dxa"/>
          <w:left w:w="0" w:type="dxa"/>
          <w:bottom w:w="0" w:type="dxa"/>
          <w:right w:w="0" w:type="dxa"/>
        </w:tblCellMar>
      </w:tblPr>
      <w:tr>
        <w:trPr>
          <w:trHeight w:val="184"/>
        </w:trPr>
        <w:tc>
          <w:tcPr>
            <w:tcW w:w="10420" w:type="dxa"/>
            <w:vAlign w:val="bottom"/>
          </w:tcPr>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w:t>
            </w:r>
          </w:p>
        </w:tc>
        <w:tc>
          <w:tcPr>
            <w:tcW w:w="2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10420" w:type="dxa"/>
            <w:vAlign w:val="bottom"/>
          </w:tcPr>
          <w:p>
            <w:pPr>
              <w:spacing w:after="0"/>
              <w:rPr>
                <w:sz w:val="20"/>
                <w:szCs w:val="20"/>
                <w:color w:val="auto"/>
              </w:rPr>
            </w:pPr>
            <w:r>
              <w:rPr>
                <w:rFonts w:ascii="Arial" w:cs="Arial" w:eastAsia="Arial" w:hAnsi="Arial"/>
                <w:sz w:val="16"/>
                <w:szCs w:val="16"/>
                <w:color w:val="auto"/>
              </w:rPr>
              <w:t>any new or revised financial accounting standards pursuant to Section 13(a) of the Exchange Act.</w:t>
            </w:r>
          </w:p>
        </w:tc>
        <w:tc>
          <w:tcPr>
            <w:tcW w:w="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GE HealthCare Technologies Inc. (the "Company," “we,” or “our") held its annual meeting of stockholders on May 7, 2026. Set forth below are the final voting results for each of the matters submitted to a vote of the stockholders. For more information about the proposals set forth below, please see our definitive proxy statement filed with the U.S. Securities and Exchange Commission on March 19, 2026.</w:t>
      </w:r>
    </w:p>
    <w:p>
      <w:pPr>
        <w:spacing w:after="0" w:line="200" w:lineRule="exact"/>
        <w:rPr>
          <w:sz w:val="20"/>
          <w:szCs w:val="20"/>
          <w:color w:val="auto"/>
        </w:rPr>
      </w:pPr>
    </w:p>
    <w:p>
      <w:pPr>
        <w:spacing w:after="0" w:line="252" w:lineRule="exact"/>
        <w:rPr>
          <w:sz w:val="20"/>
          <w:szCs w:val="20"/>
          <w:color w:val="auto"/>
        </w:rPr>
      </w:pPr>
    </w:p>
    <w:p>
      <w:pPr>
        <w:ind w:left="340" w:right="200" w:hanging="332"/>
        <w:spacing w:after="0" w:line="287" w:lineRule="auto"/>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stockholders elected eight directors to each serve a one-year term until our 2027 annual meeting of stockholders or until his or her successor has been elected and qualified, based on the following voting results: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Nominee</w:t>
            </w:r>
          </w:p>
        </w:tc>
        <w:tc>
          <w:tcPr>
            <w:tcW w:w="600" w:type="dxa"/>
            <w:vAlign w:val="bottom"/>
          </w:tcPr>
          <w:p>
            <w:pPr>
              <w:spacing w:after="0"/>
              <w:rPr>
                <w:sz w:val="17"/>
                <w:szCs w:val="17"/>
                <w:color w:val="auto"/>
              </w:rPr>
            </w:pPr>
          </w:p>
        </w:tc>
        <w:tc>
          <w:tcPr>
            <w:tcW w:w="200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6"/>
              </w:rPr>
              <w:t>Votes For</w:t>
            </w:r>
          </w:p>
        </w:tc>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Votes Against</w:t>
            </w:r>
          </w:p>
        </w:tc>
        <w:tc>
          <w:tcPr>
            <w:tcW w:w="194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9"/>
              </w:rPr>
              <w:t>Abstentions</w:t>
            </w:r>
          </w:p>
        </w:tc>
        <w:tc>
          <w:tcPr>
            <w:tcW w:w="1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Broker Non-Votes</w:t>
            </w:r>
          </w:p>
        </w:tc>
      </w:tr>
      <w:tr>
        <w:trPr>
          <w:trHeight w:val="20"/>
        </w:trPr>
        <w:tc>
          <w:tcPr>
            <w:tcW w:w="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04"/>
        </w:trPr>
        <w:tc>
          <w:tcPr>
            <w:tcW w:w="2260" w:type="dxa"/>
            <w:vAlign w:val="bottom"/>
            <w:gridSpan w:val="3"/>
          </w:tcPr>
          <w:p>
            <w:pPr>
              <w:ind w:left="20"/>
              <w:spacing w:after="0"/>
              <w:rPr>
                <w:sz w:val="20"/>
                <w:szCs w:val="20"/>
                <w:color w:val="auto"/>
              </w:rPr>
            </w:pPr>
            <w:r>
              <w:rPr>
                <w:rFonts w:ascii="Arial" w:cs="Arial" w:eastAsia="Arial" w:hAnsi="Arial"/>
                <w:sz w:val="18"/>
                <w:szCs w:val="18"/>
                <w:color w:val="auto"/>
              </w:rPr>
              <w:t>Peter J. Arduini</w:t>
            </w:r>
          </w:p>
        </w:tc>
        <w:tc>
          <w:tcPr>
            <w:tcW w:w="2600" w:type="dxa"/>
            <w:vAlign w:val="bottom"/>
            <w:gridSpan w:val="3"/>
          </w:tcPr>
          <w:p>
            <w:pPr>
              <w:jc w:val="center"/>
              <w:ind w:right="600"/>
              <w:spacing w:after="0"/>
              <w:rPr>
                <w:sz w:val="20"/>
                <w:szCs w:val="20"/>
                <w:color w:val="auto"/>
              </w:rPr>
            </w:pPr>
            <w:r>
              <w:rPr>
                <w:rFonts w:ascii="Arial" w:cs="Arial" w:eastAsia="Arial" w:hAnsi="Arial"/>
                <w:sz w:val="18"/>
                <w:szCs w:val="18"/>
                <w:color w:val="auto"/>
                <w:w w:val="99"/>
              </w:rPr>
              <w:t>363,637,737</w:t>
            </w:r>
          </w:p>
        </w:tc>
        <w:tc>
          <w:tcPr>
            <w:tcW w:w="1180" w:type="dxa"/>
            <w:vAlign w:val="bottom"/>
          </w:tcPr>
          <w:p>
            <w:pPr>
              <w:jc w:val="center"/>
              <w:spacing w:after="0"/>
              <w:rPr>
                <w:sz w:val="20"/>
                <w:szCs w:val="20"/>
                <w:color w:val="auto"/>
              </w:rPr>
            </w:pPr>
            <w:r>
              <w:rPr>
                <w:rFonts w:ascii="Arial" w:cs="Arial" w:eastAsia="Arial" w:hAnsi="Arial"/>
                <w:sz w:val="18"/>
                <w:szCs w:val="18"/>
                <w:color w:val="auto"/>
              </w:rPr>
              <w:t>735,813</w:t>
            </w:r>
          </w:p>
        </w:tc>
        <w:tc>
          <w:tcPr>
            <w:tcW w:w="10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8"/>
              </w:rPr>
              <w:t>494,638</w:t>
            </w:r>
          </w:p>
        </w:tc>
        <w:tc>
          <w:tcPr>
            <w:tcW w:w="9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34,599,625</w:t>
            </w:r>
          </w:p>
        </w:tc>
        <w:tc>
          <w:tcPr>
            <w:tcW w:w="340" w:type="dxa"/>
            <w:vAlign w:val="bottom"/>
          </w:tcPr>
          <w:p>
            <w:pPr>
              <w:spacing w:after="0"/>
              <w:rPr>
                <w:sz w:val="24"/>
                <w:szCs w:val="24"/>
                <w:color w:val="auto"/>
              </w:rPr>
            </w:pPr>
          </w:p>
        </w:tc>
      </w:tr>
      <w:tr>
        <w:trPr>
          <w:trHeight w:val="257"/>
        </w:trPr>
        <w:tc>
          <w:tcPr>
            <w:tcW w:w="226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H. Lawrence Culp, Jr.</w:t>
            </w:r>
          </w:p>
        </w:tc>
        <w:tc>
          <w:tcPr>
            <w:tcW w:w="2600" w:type="dxa"/>
            <w:vAlign w:val="bottom"/>
            <w:gridSpan w:val="3"/>
            <w:shd w:val="clear" w:color="auto" w:fill="DBDBDB"/>
          </w:tcPr>
          <w:p>
            <w:pPr>
              <w:jc w:val="center"/>
              <w:ind w:right="600"/>
              <w:spacing w:after="0"/>
              <w:rPr>
                <w:sz w:val="20"/>
                <w:szCs w:val="20"/>
                <w:color w:val="auto"/>
              </w:rPr>
            </w:pPr>
            <w:r>
              <w:rPr>
                <w:rFonts w:ascii="Arial" w:cs="Arial" w:eastAsia="Arial" w:hAnsi="Arial"/>
                <w:sz w:val="18"/>
                <w:szCs w:val="18"/>
                <w:color w:val="auto"/>
                <w:w w:val="99"/>
              </w:rPr>
              <w:t>351,620,004</w:t>
            </w:r>
          </w:p>
        </w:tc>
        <w:tc>
          <w:tcPr>
            <w:tcW w:w="11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12,409,707</w:t>
            </w:r>
          </w:p>
        </w:tc>
        <w:tc>
          <w:tcPr>
            <w:tcW w:w="1080" w:type="dxa"/>
            <w:vAlign w:val="bottom"/>
            <w:shd w:val="clear" w:color="auto" w:fill="DBDBDB"/>
          </w:tcPr>
          <w:p>
            <w:pPr>
              <w:spacing w:after="0"/>
              <w:rPr>
                <w:sz w:val="22"/>
                <w:szCs w:val="22"/>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838,477</w:t>
            </w:r>
          </w:p>
        </w:tc>
        <w:tc>
          <w:tcPr>
            <w:tcW w:w="900" w:type="dxa"/>
            <w:vAlign w:val="bottom"/>
            <w:shd w:val="clear" w:color="auto" w:fill="DBDBDB"/>
          </w:tcPr>
          <w:p>
            <w:pPr>
              <w:spacing w:after="0"/>
              <w:rPr>
                <w:sz w:val="22"/>
                <w:szCs w:val="22"/>
                <w:color w:val="auto"/>
              </w:rPr>
            </w:pPr>
          </w:p>
        </w:tc>
        <w:tc>
          <w:tcPr>
            <w:tcW w:w="15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34,599,625</w:t>
            </w:r>
          </w:p>
        </w:tc>
        <w:tc>
          <w:tcPr>
            <w:tcW w:w="340" w:type="dxa"/>
            <w:vAlign w:val="bottom"/>
            <w:shd w:val="clear" w:color="auto" w:fill="DBDBDB"/>
          </w:tcPr>
          <w:p>
            <w:pPr>
              <w:spacing w:after="0"/>
              <w:rPr>
                <w:sz w:val="22"/>
                <w:szCs w:val="22"/>
                <w:color w:val="auto"/>
              </w:rPr>
            </w:pPr>
          </w:p>
        </w:tc>
      </w:tr>
      <w:tr>
        <w:trPr>
          <w:trHeight w:val="257"/>
        </w:trPr>
        <w:tc>
          <w:tcPr>
            <w:tcW w:w="2260" w:type="dxa"/>
            <w:vAlign w:val="bottom"/>
            <w:gridSpan w:val="3"/>
          </w:tcPr>
          <w:p>
            <w:pPr>
              <w:ind w:left="20"/>
              <w:spacing w:after="0"/>
              <w:rPr>
                <w:sz w:val="20"/>
                <w:szCs w:val="20"/>
                <w:color w:val="auto"/>
              </w:rPr>
            </w:pPr>
            <w:r>
              <w:rPr>
                <w:rFonts w:ascii="Arial" w:cs="Arial" w:eastAsia="Arial" w:hAnsi="Arial"/>
                <w:sz w:val="18"/>
                <w:szCs w:val="18"/>
                <w:color w:val="auto"/>
              </w:rPr>
              <w:t>Rodney F. Hochman</w:t>
            </w:r>
          </w:p>
        </w:tc>
        <w:tc>
          <w:tcPr>
            <w:tcW w:w="2600" w:type="dxa"/>
            <w:vAlign w:val="bottom"/>
            <w:gridSpan w:val="3"/>
          </w:tcPr>
          <w:p>
            <w:pPr>
              <w:jc w:val="center"/>
              <w:ind w:right="600"/>
              <w:spacing w:after="0"/>
              <w:rPr>
                <w:sz w:val="20"/>
                <w:szCs w:val="20"/>
                <w:color w:val="auto"/>
              </w:rPr>
            </w:pPr>
            <w:r>
              <w:rPr>
                <w:rFonts w:ascii="Arial" w:cs="Arial" w:eastAsia="Arial" w:hAnsi="Arial"/>
                <w:sz w:val="18"/>
                <w:szCs w:val="18"/>
                <w:color w:val="auto"/>
                <w:w w:val="99"/>
              </w:rPr>
              <w:t>360,969,846</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3,400,154</w:t>
            </w:r>
          </w:p>
        </w:tc>
        <w:tc>
          <w:tcPr>
            <w:tcW w:w="108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8"/>
              </w:rPr>
              <w:t>498,188</w:t>
            </w:r>
          </w:p>
        </w:tc>
        <w:tc>
          <w:tcPr>
            <w:tcW w:w="90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34,599,625</w:t>
            </w:r>
          </w:p>
        </w:tc>
        <w:tc>
          <w:tcPr>
            <w:tcW w:w="340" w:type="dxa"/>
            <w:vAlign w:val="bottom"/>
          </w:tcPr>
          <w:p>
            <w:pPr>
              <w:spacing w:after="0"/>
              <w:rPr>
                <w:sz w:val="22"/>
                <w:szCs w:val="22"/>
                <w:color w:val="auto"/>
              </w:rPr>
            </w:pPr>
          </w:p>
        </w:tc>
      </w:tr>
      <w:tr>
        <w:trPr>
          <w:trHeight w:val="257"/>
        </w:trPr>
        <w:tc>
          <w:tcPr>
            <w:tcW w:w="226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Catherine Lesjak</w:t>
            </w:r>
          </w:p>
        </w:tc>
        <w:tc>
          <w:tcPr>
            <w:tcW w:w="2600" w:type="dxa"/>
            <w:vAlign w:val="bottom"/>
            <w:gridSpan w:val="3"/>
            <w:shd w:val="clear" w:color="auto" w:fill="DBDBDB"/>
          </w:tcPr>
          <w:p>
            <w:pPr>
              <w:jc w:val="center"/>
              <w:ind w:right="600"/>
              <w:spacing w:after="0"/>
              <w:rPr>
                <w:sz w:val="20"/>
                <w:szCs w:val="20"/>
                <w:color w:val="auto"/>
              </w:rPr>
            </w:pPr>
            <w:r>
              <w:rPr>
                <w:rFonts w:ascii="Arial" w:cs="Arial" w:eastAsia="Arial" w:hAnsi="Arial"/>
                <w:sz w:val="18"/>
                <w:szCs w:val="18"/>
                <w:color w:val="auto"/>
                <w:w w:val="99"/>
              </w:rPr>
              <w:t>362,377,938</w:t>
            </w:r>
          </w:p>
        </w:tc>
        <w:tc>
          <w:tcPr>
            <w:tcW w:w="11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2,071,223</w:t>
            </w:r>
          </w:p>
        </w:tc>
        <w:tc>
          <w:tcPr>
            <w:tcW w:w="1080" w:type="dxa"/>
            <w:vAlign w:val="bottom"/>
            <w:shd w:val="clear" w:color="auto" w:fill="DBDBDB"/>
          </w:tcPr>
          <w:p>
            <w:pPr>
              <w:spacing w:after="0"/>
              <w:rPr>
                <w:sz w:val="22"/>
                <w:szCs w:val="22"/>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419,027</w:t>
            </w:r>
          </w:p>
        </w:tc>
        <w:tc>
          <w:tcPr>
            <w:tcW w:w="900" w:type="dxa"/>
            <w:vAlign w:val="bottom"/>
            <w:shd w:val="clear" w:color="auto" w:fill="DBDBDB"/>
          </w:tcPr>
          <w:p>
            <w:pPr>
              <w:spacing w:after="0"/>
              <w:rPr>
                <w:sz w:val="22"/>
                <w:szCs w:val="22"/>
                <w:color w:val="auto"/>
              </w:rPr>
            </w:pPr>
          </w:p>
        </w:tc>
        <w:tc>
          <w:tcPr>
            <w:tcW w:w="15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34,599,625</w:t>
            </w:r>
          </w:p>
        </w:tc>
        <w:tc>
          <w:tcPr>
            <w:tcW w:w="340" w:type="dxa"/>
            <w:vAlign w:val="bottom"/>
            <w:shd w:val="clear" w:color="auto" w:fill="DBDBDB"/>
          </w:tcPr>
          <w:p>
            <w:pPr>
              <w:spacing w:after="0"/>
              <w:rPr>
                <w:sz w:val="22"/>
                <w:szCs w:val="22"/>
                <w:color w:val="auto"/>
              </w:rPr>
            </w:pPr>
          </w:p>
        </w:tc>
      </w:tr>
      <w:tr>
        <w:trPr>
          <w:trHeight w:val="256"/>
        </w:trPr>
        <w:tc>
          <w:tcPr>
            <w:tcW w:w="2260" w:type="dxa"/>
            <w:vAlign w:val="bottom"/>
            <w:gridSpan w:val="3"/>
          </w:tcPr>
          <w:p>
            <w:pPr>
              <w:ind w:left="20"/>
              <w:spacing w:after="0"/>
              <w:rPr>
                <w:sz w:val="20"/>
                <w:szCs w:val="20"/>
                <w:color w:val="auto"/>
              </w:rPr>
            </w:pPr>
            <w:r>
              <w:rPr>
                <w:rFonts w:ascii="Arial" w:cs="Arial" w:eastAsia="Arial" w:hAnsi="Arial"/>
                <w:sz w:val="18"/>
                <w:szCs w:val="18"/>
                <w:color w:val="auto"/>
              </w:rPr>
              <w:t>Kevin A. Lobo</w:t>
            </w:r>
          </w:p>
        </w:tc>
        <w:tc>
          <w:tcPr>
            <w:tcW w:w="2600" w:type="dxa"/>
            <w:vAlign w:val="bottom"/>
            <w:gridSpan w:val="3"/>
          </w:tcPr>
          <w:p>
            <w:pPr>
              <w:jc w:val="center"/>
              <w:ind w:right="600"/>
              <w:spacing w:after="0"/>
              <w:rPr>
                <w:sz w:val="20"/>
                <w:szCs w:val="20"/>
                <w:color w:val="auto"/>
              </w:rPr>
            </w:pPr>
            <w:r>
              <w:rPr>
                <w:rFonts w:ascii="Arial" w:cs="Arial" w:eastAsia="Arial" w:hAnsi="Arial"/>
                <w:sz w:val="18"/>
                <w:szCs w:val="18"/>
                <w:color w:val="auto"/>
                <w:w w:val="99"/>
              </w:rPr>
              <w:t>332,339,981</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32,058,693</w:t>
            </w:r>
          </w:p>
        </w:tc>
        <w:tc>
          <w:tcPr>
            <w:tcW w:w="108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8"/>
              </w:rPr>
              <w:t>469,514</w:t>
            </w:r>
          </w:p>
        </w:tc>
        <w:tc>
          <w:tcPr>
            <w:tcW w:w="90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34,599,625</w:t>
            </w:r>
          </w:p>
        </w:tc>
        <w:tc>
          <w:tcPr>
            <w:tcW w:w="340" w:type="dxa"/>
            <w:vAlign w:val="bottom"/>
          </w:tcPr>
          <w:p>
            <w:pPr>
              <w:spacing w:after="0"/>
              <w:rPr>
                <w:sz w:val="22"/>
                <w:szCs w:val="22"/>
                <w:color w:val="auto"/>
              </w:rPr>
            </w:pPr>
          </w:p>
        </w:tc>
      </w:tr>
      <w:tr>
        <w:trPr>
          <w:trHeight w:val="257"/>
        </w:trPr>
        <w:tc>
          <w:tcPr>
            <w:tcW w:w="226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Anne T. Madden</w:t>
            </w:r>
          </w:p>
        </w:tc>
        <w:tc>
          <w:tcPr>
            <w:tcW w:w="2600" w:type="dxa"/>
            <w:vAlign w:val="bottom"/>
            <w:gridSpan w:val="3"/>
            <w:shd w:val="clear" w:color="auto" w:fill="DBDBDB"/>
          </w:tcPr>
          <w:p>
            <w:pPr>
              <w:jc w:val="center"/>
              <w:ind w:right="600"/>
              <w:spacing w:after="0"/>
              <w:rPr>
                <w:sz w:val="20"/>
                <w:szCs w:val="20"/>
                <w:color w:val="auto"/>
              </w:rPr>
            </w:pPr>
            <w:r>
              <w:rPr>
                <w:rFonts w:ascii="Arial" w:cs="Arial" w:eastAsia="Arial" w:hAnsi="Arial"/>
                <w:sz w:val="18"/>
                <w:szCs w:val="18"/>
                <w:color w:val="auto"/>
                <w:w w:val="99"/>
              </w:rPr>
              <w:t>361,399,817</w:t>
            </w:r>
          </w:p>
        </w:tc>
        <w:tc>
          <w:tcPr>
            <w:tcW w:w="11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2,837,076</w:t>
            </w:r>
          </w:p>
        </w:tc>
        <w:tc>
          <w:tcPr>
            <w:tcW w:w="1080" w:type="dxa"/>
            <w:vAlign w:val="bottom"/>
            <w:shd w:val="clear" w:color="auto" w:fill="DBDBDB"/>
          </w:tcPr>
          <w:p>
            <w:pPr>
              <w:spacing w:after="0"/>
              <w:rPr>
                <w:sz w:val="22"/>
                <w:szCs w:val="22"/>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631,295</w:t>
            </w:r>
          </w:p>
        </w:tc>
        <w:tc>
          <w:tcPr>
            <w:tcW w:w="900" w:type="dxa"/>
            <w:vAlign w:val="bottom"/>
            <w:shd w:val="clear" w:color="auto" w:fill="DBDBDB"/>
          </w:tcPr>
          <w:p>
            <w:pPr>
              <w:spacing w:after="0"/>
              <w:rPr>
                <w:sz w:val="22"/>
                <w:szCs w:val="22"/>
                <w:color w:val="auto"/>
              </w:rPr>
            </w:pPr>
          </w:p>
        </w:tc>
        <w:tc>
          <w:tcPr>
            <w:tcW w:w="15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34,599,625</w:t>
            </w:r>
          </w:p>
        </w:tc>
        <w:tc>
          <w:tcPr>
            <w:tcW w:w="340" w:type="dxa"/>
            <w:vAlign w:val="bottom"/>
            <w:shd w:val="clear" w:color="auto" w:fill="DBDBDB"/>
          </w:tcPr>
          <w:p>
            <w:pPr>
              <w:spacing w:after="0"/>
              <w:rPr>
                <w:sz w:val="22"/>
                <w:szCs w:val="22"/>
                <w:color w:val="auto"/>
              </w:rPr>
            </w:pPr>
          </w:p>
        </w:tc>
      </w:tr>
      <w:tr>
        <w:trPr>
          <w:trHeight w:val="257"/>
        </w:trPr>
        <w:tc>
          <w:tcPr>
            <w:tcW w:w="2260" w:type="dxa"/>
            <w:vAlign w:val="bottom"/>
            <w:gridSpan w:val="3"/>
          </w:tcPr>
          <w:p>
            <w:pPr>
              <w:ind w:left="20"/>
              <w:spacing w:after="0"/>
              <w:rPr>
                <w:sz w:val="20"/>
                <w:szCs w:val="20"/>
                <w:color w:val="auto"/>
              </w:rPr>
            </w:pPr>
            <w:r>
              <w:rPr>
                <w:rFonts w:ascii="Arial" w:cs="Arial" w:eastAsia="Arial" w:hAnsi="Arial"/>
                <w:sz w:val="18"/>
                <w:szCs w:val="18"/>
                <w:color w:val="auto"/>
              </w:rPr>
              <w:t>William J. Stromberg</w:t>
            </w:r>
          </w:p>
        </w:tc>
        <w:tc>
          <w:tcPr>
            <w:tcW w:w="2600" w:type="dxa"/>
            <w:vAlign w:val="bottom"/>
            <w:gridSpan w:val="3"/>
          </w:tcPr>
          <w:p>
            <w:pPr>
              <w:jc w:val="center"/>
              <w:ind w:right="600"/>
              <w:spacing w:after="0"/>
              <w:rPr>
                <w:sz w:val="20"/>
                <w:szCs w:val="20"/>
                <w:color w:val="auto"/>
              </w:rPr>
            </w:pPr>
            <w:r>
              <w:rPr>
                <w:rFonts w:ascii="Arial" w:cs="Arial" w:eastAsia="Arial" w:hAnsi="Arial"/>
                <w:sz w:val="18"/>
                <w:szCs w:val="18"/>
                <w:color w:val="auto"/>
                <w:w w:val="99"/>
              </w:rPr>
              <w:t>361,023,279</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3,319,101</w:t>
            </w:r>
          </w:p>
        </w:tc>
        <w:tc>
          <w:tcPr>
            <w:tcW w:w="108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8"/>
              </w:rPr>
              <w:t>525,808</w:t>
            </w:r>
          </w:p>
        </w:tc>
        <w:tc>
          <w:tcPr>
            <w:tcW w:w="90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34,599,625</w:t>
            </w:r>
          </w:p>
        </w:tc>
        <w:tc>
          <w:tcPr>
            <w:tcW w:w="340" w:type="dxa"/>
            <w:vAlign w:val="bottom"/>
          </w:tcPr>
          <w:p>
            <w:pPr>
              <w:spacing w:after="0"/>
              <w:rPr>
                <w:sz w:val="22"/>
                <w:szCs w:val="22"/>
                <w:color w:val="auto"/>
              </w:rPr>
            </w:pPr>
          </w:p>
        </w:tc>
      </w:tr>
      <w:tr>
        <w:trPr>
          <w:trHeight w:val="257"/>
        </w:trPr>
        <w:tc>
          <w:tcPr>
            <w:tcW w:w="226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Phoebe L. Yang</w:t>
            </w:r>
          </w:p>
        </w:tc>
        <w:tc>
          <w:tcPr>
            <w:tcW w:w="2600" w:type="dxa"/>
            <w:vAlign w:val="bottom"/>
            <w:gridSpan w:val="3"/>
            <w:shd w:val="clear" w:color="auto" w:fill="DBDBDB"/>
          </w:tcPr>
          <w:p>
            <w:pPr>
              <w:jc w:val="center"/>
              <w:ind w:right="600"/>
              <w:spacing w:after="0"/>
              <w:rPr>
                <w:sz w:val="20"/>
                <w:szCs w:val="20"/>
                <w:color w:val="auto"/>
              </w:rPr>
            </w:pPr>
            <w:r>
              <w:rPr>
                <w:rFonts w:ascii="Arial" w:cs="Arial" w:eastAsia="Arial" w:hAnsi="Arial"/>
                <w:sz w:val="18"/>
                <w:szCs w:val="18"/>
                <w:color w:val="auto"/>
                <w:w w:val="99"/>
              </w:rPr>
              <w:t>361,640,539</w:t>
            </w:r>
          </w:p>
        </w:tc>
        <w:tc>
          <w:tcPr>
            <w:tcW w:w="11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2,588,148</w:t>
            </w:r>
          </w:p>
        </w:tc>
        <w:tc>
          <w:tcPr>
            <w:tcW w:w="1080" w:type="dxa"/>
            <w:vAlign w:val="bottom"/>
            <w:shd w:val="clear" w:color="auto" w:fill="DBDBDB"/>
          </w:tcPr>
          <w:p>
            <w:pPr>
              <w:spacing w:after="0"/>
              <w:rPr>
                <w:sz w:val="22"/>
                <w:szCs w:val="22"/>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639,501</w:t>
            </w:r>
          </w:p>
        </w:tc>
        <w:tc>
          <w:tcPr>
            <w:tcW w:w="900" w:type="dxa"/>
            <w:vAlign w:val="bottom"/>
            <w:shd w:val="clear" w:color="auto" w:fill="DBDBDB"/>
          </w:tcPr>
          <w:p>
            <w:pPr>
              <w:spacing w:after="0"/>
              <w:rPr>
                <w:sz w:val="22"/>
                <w:szCs w:val="22"/>
                <w:color w:val="auto"/>
              </w:rPr>
            </w:pPr>
          </w:p>
        </w:tc>
        <w:tc>
          <w:tcPr>
            <w:tcW w:w="15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34,599,625</w:t>
            </w:r>
          </w:p>
        </w:tc>
        <w:tc>
          <w:tcPr>
            <w:tcW w:w="340" w:type="dxa"/>
            <w:vAlign w:val="bottom"/>
            <w:shd w:val="clear" w:color="auto" w:fill="DBDBDB"/>
          </w:tcPr>
          <w:p>
            <w:pPr>
              <w:spacing w:after="0"/>
              <w:rPr>
                <w:sz w:val="22"/>
                <w:szCs w:val="22"/>
                <w:color w:val="auto"/>
              </w:rPr>
            </w:pPr>
          </w:p>
        </w:tc>
      </w:tr>
    </w:tbl>
    <w:p>
      <w:pPr>
        <w:spacing w:after="0" w:line="200" w:lineRule="exact"/>
        <w:rPr>
          <w:sz w:val="20"/>
          <w:szCs w:val="20"/>
          <w:color w:val="auto"/>
        </w:rPr>
      </w:pPr>
    </w:p>
    <w:p>
      <w:pPr>
        <w:spacing w:after="0" w:line="348"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stockholders approved our named executive officers’ compensation in an advisory vote, based on the following voting results:</w:t>
      </w:r>
    </w:p>
    <w:p>
      <w:pPr>
        <w:spacing w:after="0" w:line="280"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7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6"/>
              </w:rPr>
              <w:t>Votes For</w:t>
            </w:r>
          </w:p>
        </w:tc>
        <w:tc>
          <w:tcPr>
            <w:tcW w:w="368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8"/>
              </w:rPr>
              <w:t>Votes Against</w:t>
            </w:r>
          </w:p>
        </w:tc>
        <w:tc>
          <w:tcPr>
            <w:tcW w:w="252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w w:val="99"/>
              </w:rPr>
              <w:t>Abstentions</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0"/>
        </w:trPr>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81"/>
        </w:trPr>
        <w:tc>
          <w:tcPr>
            <w:tcW w:w="1820" w:type="dxa"/>
            <w:vAlign w:val="bottom"/>
            <w:gridSpan w:val="3"/>
          </w:tcPr>
          <w:p>
            <w:pPr>
              <w:jc w:val="right"/>
              <w:ind w:right="820"/>
              <w:spacing w:after="0"/>
              <w:rPr>
                <w:sz w:val="20"/>
                <w:szCs w:val="20"/>
                <w:color w:val="auto"/>
              </w:rPr>
            </w:pPr>
            <w:r>
              <w:rPr>
                <w:rFonts w:ascii="Arial" w:cs="Arial" w:eastAsia="Arial" w:hAnsi="Arial"/>
                <w:sz w:val="18"/>
                <w:szCs w:val="18"/>
                <w:color w:val="auto"/>
                <w:w w:val="97"/>
              </w:rPr>
              <w:t>351,099,781</w:t>
            </w:r>
          </w:p>
        </w:tc>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12,973,200</w:t>
            </w:r>
          </w:p>
        </w:tc>
        <w:tc>
          <w:tcPr>
            <w:tcW w:w="1660" w:type="dxa"/>
            <w:vAlign w:val="bottom"/>
          </w:tcPr>
          <w:p>
            <w:pPr>
              <w:spacing w:after="0"/>
              <w:rPr>
                <w:sz w:val="24"/>
                <w:szCs w:val="24"/>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795,207</w:t>
            </w:r>
          </w:p>
        </w:tc>
        <w:tc>
          <w:tcPr>
            <w:tcW w:w="1480" w:type="dxa"/>
            <w:vAlign w:val="bottom"/>
          </w:tcPr>
          <w:p>
            <w:pPr>
              <w:spacing w:after="0"/>
              <w:rPr>
                <w:sz w:val="24"/>
                <w:szCs w:val="24"/>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34,599,625</w:t>
            </w:r>
          </w:p>
        </w:tc>
      </w:tr>
    </w:tbl>
    <w:p>
      <w:pPr>
        <w:spacing w:after="0" w:line="200" w:lineRule="exact"/>
        <w:rPr>
          <w:sz w:val="20"/>
          <w:szCs w:val="20"/>
          <w:color w:val="auto"/>
        </w:rPr>
      </w:pPr>
    </w:p>
    <w:p>
      <w:pPr>
        <w:spacing w:after="0" w:line="344" w:lineRule="exact"/>
        <w:rPr>
          <w:sz w:val="20"/>
          <w:szCs w:val="20"/>
          <w:color w:val="auto"/>
        </w:rPr>
      </w:pPr>
    </w:p>
    <w:p>
      <w:pPr>
        <w:ind w:left="340" w:right="160" w:hanging="332"/>
        <w:spacing w:after="0" w:line="287" w:lineRule="auto"/>
        <w:tabs>
          <w:tab w:leader="none" w:pos="36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stockholders ratified the appointment of Deloitte &amp; Touche LLP as our independent auditor for the fiscal year ending December 31, 2026, based on the following voting results:</w:t>
      </w:r>
    </w:p>
    <w:p>
      <w:pPr>
        <w:spacing w:after="0" w:line="208"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8"/>
              </w:rPr>
              <w:t>Votes For</w:t>
            </w:r>
          </w:p>
        </w:tc>
        <w:tc>
          <w:tcPr>
            <w:tcW w:w="920" w:type="dxa"/>
            <w:vAlign w:val="bottom"/>
          </w:tcPr>
          <w:p>
            <w:pPr>
              <w:spacing w:after="0"/>
              <w:rPr>
                <w:sz w:val="18"/>
                <w:szCs w:val="18"/>
                <w:color w:val="auto"/>
              </w:rPr>
            </w:pPr>
          </w:p>
        </w:tc>
        <w:tc>
          <w:tcPr>
            <w:tcW w:w="364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8"/>
              </w:rPr>
              <w:t>Votes Against</w:t>
            </w:r>
          </w:p>
        </w:tc>
        <w:tc>
          <w:tcPr>
            <w:tcW w:w="250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w w:val="99"/>
              </w:rPr>
              <w:t>Abstentions</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0"/>
        </w:trPr>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308"/>
        </w:trPr>
        <w:tc>
          <w:tcPr>
            <w:tcW w:w="1820" w:type="dxa"/>
            <w:vAlign w:val="bottom"/>
            <w:gridSpan w:val="3"/>
          </w:tcPr>
          <w:p>
            <w:pPr>
              <w:jc w:val="right"/>
              <w:ind w:right="820"/>
              <w:spacing w:after="0"/>
              <w:rPr>
                <w:sz w:val="20"/>
                <w:szCs w:val="20"/>
                <w:color w:val="auto"/>
              </w:rPr>
            </w:pPr>
            <w:r>
              <w:rPr>
                <w:rFonts w:ascii="Arial" w:cs="Arial" w:eastAsia="Arial" w:hAnsi="Arial"/>
                <w:sz w:val="18"/>
                <w:szCs w:val="18"/>
                <w:color w:val="auto"/>
                <w:w w:val="97"/>
              </w:rPr>
              <w:t>398,257,878</w:t>
            </w: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769,608</w:t>
            </w:r>
          </w:p>
        </w:tc>
        <w:tc>
          <w:tcPr>
            <w:tcW w:w="1640" w:type="dxa"/>
            <w:vAlign w:val="bottom"/>
          </w:tcPr>
          <w:p>
            <w:pPr>
              <w:spacing w:after="0"/>
              <w:rPr>
                <w:sz w:val="24"/>
                <w:szCs w:val="24"/>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440,327</w:t>
            </w:r>
          </w:p>
        </w:tc>
        <w:tc>
          <w:tcPr>
            <w:tcW w:w="14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Effective as of May 7, 2026, the Company’s Board of Directors (the "Board") appointed Rodney F. Hochman as the Board's independent lead director and appointed Anne T. Madden as chairperson of the Nominating and Governance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GE HealthCare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17780</wp:posOffset>
            </wp:positionV>
            <wp:extent cx="53663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70"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2780" w:val="left"/>
        </w:tabs>
        <w:rPr>
          <w:sz w:val="20"/>
          <w:szCs w:val="20"/>
          <w:color w:val="auto"/>
        </w:rPr>
      </w:pPr>
      <w:r>
        <w:rPr>
          <w:rFonts w:ascii="Arial" w:cs="Arial" w:eastAsia="Arial" w:hAnsi="Arial"/>
          <w:sz w:val="18"/>
          <w:szCs w:val="18"/>
          <w:color w:val="auto"/>
        </w:rPr>
        <w:t>Date: May 11, 2026</w:t>
      </w:r>
      <w:r>
        <w:rPr>
          <w:sz w:val="20"/>
          <w:szCs w:val="20"/>
          <w:color w:val="auto"/>
        </w:rPr>
        <w:tab/>
      </w:r>
      <w:r>
        <w:rPr>
          <w:rFonts w:ascii="Arial" w:cs="Arial" w:eastAsia="Arial" w:hAnsi="Arial"/>
          <w:sz w:val="18"/>
          <w:szCs w:val="18"/>
          <w:color w:val="auto"/>
        </w:rPr>
        <w:t>/s/ Frank R. Jimenez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17780</wp:posOffset>
            </wp:positionV>
            <wp:extent cx="53663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1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Frank R. Jimenez, General Counsel and Corporate Secretary (authorized signatory)</w:t>
      </w:r>
    </w:p>
    <w:sectPr>
      <w:pgSz w:w="11900" w:h="16838" w:orient="portrait"/>
      <w:cols w:equalWidth="0" w:num="1">
        <w:col w:w="11120"/>
      </w:cols>
      <w:pgMar w:left="320" w:top="89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2026-05-11T16:06:37Z</dcterms:created>
  <dcterms:modified xsi:type="dcterms:W3CDTF">2026-05-11T16:06:37Z</dcterms:modified>
</cp:coreProperties>
</file>