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5" w:lineRule="exact"/>
        <w:rPr>
          <w:sz w:val="24"/>
          <w:szCs w:val="24"/>
          <w:color w:val="auto"/>
        </w:rPr>
      </w:pPr>
    </w:p>
    <w:p>
      <w:pPr>
        <w:jc w:val="center"/>
        <w:ind w:left="3680" w:right="1360" w:hanging="2307"/>
        <w:spacing w:after="0" w:line="279" w:lineRule="auto"/>
        <w:tabs>
          <w:tab w:leader="none" w:pos="15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14605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17"/>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71"/>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17"/>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5"/>
        </w:trPr>
        <w:tc>
          <w:tcPr>
            <w:tcW w:w="4240" w:type="dxa"/>
            <w:vAlign w:val="bottom"/>
            <w:tcBorders>
              <w:left w:val="single" w:sz="8" w:color="00000A"/>
              <w:bottom w:val="single" w:sz="8" w:color="00000A"/>
              <w:right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4240" w:type="dxa"/>
            <w:vAlign w:val="bottom"/>
            <w:tcBorders>
              <w:bottom w:val="single" w:sz="8" w:color="00000A"/>
              <w:right w:val="single" w:sz="8" w:color="00000A"/>
            </w:tcBorders>
          </w:tcPr>
          <w:p>
            <w:pPr>
              <w:spacing w:after="0"/>
              <w:rPr>
                <w:sz w:val="2"/>
                <w:szCs w:val="2"/>
                <w:color w:val="auto"/>
              </w:rPr>
            </w:pPr>
          </w:p>
        </w:tc>
      </w:tr>
      <w:tr>
        <w:trPr>
          <w:trHeight w:val="198"/>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5"/>
        </w:trPr>
        <w:tc>
          <w:tcPr>
            <w:tcW w:w="4240" w:type="dxa"/>
            <w:vAlign w:val="bottom"/>
            <w:tcBorders>
              <w:left w:val="single" w:sz="8" w:color="00000A"/>
              <w:bottom w:val="single" w:sz="8" w:color="00000A"/>
              <w:right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4240" w:type="dxa"/>
            <w:vAlign w:val="bottom"/>
            <w:tcBorders>
              <w:bottom w:val="single" w:sz="8" w:color="00000A"/>
              <w:right w:val="single" w:sz="8" w:color="00000A"/>
            </w:tcBorders>
          </w:tcPr>
          <w:p>
            <w:pPr>
              <w:spacing w:after="0"/>
              <w:rPr>
                <w:sz w:val="2"/>
                <w:szCs w:val="2"/>
                <w:color w:val="auto"/>
              </w:rPr>
            </w:pPr>
          </w:p>
        </w:tc>
      </w:tr>
    </w:tbl>
    <w:p>
      <w:pPr>
        <w:spacing w:after="0" w:line="327" w:lineRule="exact"/>
        <w:rPr>
          <w:sz w:val="24"/>
          <w:szCs w:val="24"/>
          <w:color w:val="auto"/>
        </w:rPr>
      </w:pPr>
    </w:p>
    <w:p>
      <w:pPr>
        <w:jc w:val="both"/>
        <w:ind w:right="46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17"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right="2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91"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200"/>
        <w:spacing w:after="0" w:line="23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455,242,974 shares of common stock with a par value of $0.01 per share outstanding as of October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6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640" w:type="dxa"/>
            <w:vAlign w:val="bottom"/>
            <w:gridSpan w:val="4"/>
          </w:tcPr>
          <w:p>
            <w:pPr>
              <w:ind w:left="1240"/>
              <w:spacing w:after="0"/>
              <w:rPr>
                <w:sz w:val="20"/>
                <w:szCs w:val="20"/>
                <w:color w:val="auto"/>
              </w:rPr>
            </w:pPr>
            <w:r>
              <w:rPr>
                <w:rFonts w:ascii="Arial" w:cs="Arial" w:eastAsia="Arial" w:hAnsi="Arial"/>
                <w:sz w:val="16"/>
                <w:szCs w:val="16"/>
                <w:b w:val="1"/>
                <w:bCs w:val="1"/>
                <w:color w:val="auto"/>
                <w:w w:val="99"/>
              </w:rPr>
              <w:t>Page</w:t>
            </w:r>
          </w:p>
        </w:tc>
      </w:tr>
      <w:tr>
        <w:trPr>
          <w:trHeight w:val="426"/>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3</w:t>
            </w:r>
          </w:p>
        </w:tc>
        <w:tc>
          <w:tcPr>
            <w:tcW w:w="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Condensed Consolidated and Combined Financial Statements (Unaudited)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Income</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5</w:t>
            </w:r>
          </w:p>
        </w:tc>
        <w:tc>
          <w:tcPr>
            <w:tcW w:w="2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Comprehensive Income (Loss)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6</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Financial Position</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7</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Changes in Equity</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8</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Cash Flows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10</w:t>
            </w:r>
          </w:p>
        </w:tc>
        <w:tc>
          <w:tcPr>
            <w:tcW w:w="20" w:type="dxa"/>
            <w:vAlign w:val="bottom"/>
          </w:tcPr>
          <w:p>
            <w:pPr>
              <w:spacing w:after="0"/>
              <w:rPr>
                <w:sz w:val="20"/>
                <w:szCs w:val="20"/>
                <w:color w:val="auto"/>
              </w:rPr>
            </w:pPr>
          </w:p>
        </w:tc>
      </w:tr>
      <w:tr>
        <w:trPr>
          <w:trHeight w:val="271"/>
        </w:trPr>
        <w:tc>
          <w:tcPr>
            <w:tcW w:w="106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Notes to the Condensed Consolidated and Combined Financial Statements (Unaudited)</w:t>
            </w:r>
          </w:p>
        </w:tc>
        <w:tc>
          <w:tcPr>
            <w:tcW w:w="1440" w:type="dxa"/>
            <w:vAlign w:val="bottom"/>
          </w:tcPr>
          <w:p>
            <w:pPr>
              <w:spacing w:after="0"/>
              <w:rPr>
                <w:sz w:val="23"/>
                <w:szCs w:val="23"/>
                <w:color w:val="auto"/>
              </w:rPr>
            </w:pPr>
          </w:p>
        </w:tc>
        <w:tc>
          <w:tcPr>
            <w:tcW w:w="100" w:type="dxa"/>
            <w:vAlign w:val="bottom"/>
            <w:tcBorders>
              <w:top w:val="single" w:sz="8" w:color="3051F2"/>
            </w:tcBorders>
          </w:tcPr>
          <w:p>
            <w:pPr>
              <w:spacing w:after="0"/>
              <w:rPr>
                <w:sz w:val="23"/>
                <w:szCs w:val="23"/>
                <w:color w:val="auto"/>
              </w:rPr>
            </w:pPr>
          </w:p>
        </w:tc>
        <w:tc>
          <w:tcPr>
            <w:tcW w:w="80" w:type="dxa"/>
            <w:vAlign w:val="bottom"/>
            <w:tcBorders>
              <w:top w:val="single" w:sz="8" w:color="3051F2"/>
            </w:tcBorders>
          </w:tcPr>
          <w:p>
            <w:pPr>
              <w:spacing w:after="0"/>
              <w:rPr>
                <w:sz w:val="23"/>
                <w:szCs w:val="23"/>
                <w:color w:val="auto"/>
              </w:rPr>
            </w:pPr>
          </w:p>
        </w:tc>
        <w:tc>
          <w:tcPr>
            <w:tcW w:w="20" w:type="dxa"/>
            <w:vAlign w:val="bottom"/>
          </w:tcPr>
          <w:p>
            <w:pPr>
              <w:spacing w:after="0"/>
              <w:rPr>
                <w:sz w:val="23"/>
                <w:szCs w:val="23"/>
                <w:color w:val="auto"/>
              </w:rPr>
            </w:pPr>
          </w:p>
        </w:tc>
      </w:tr>
      <w:tr>
        <w:trPr>
          <w:trHeight w:val="222"/>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440" w:type="dxa"/>
            <w:vAlign w:val="bottom"/>
          </w:tcPr>
          <w:p>
            <w:pPr>
              <w:spacing w:after="0"/>
              <w:rPr>
                <w:sz w:val="19"/>
                <w:szCs w:val="19"/>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31</w:t>
            </w:r>
          </w:p>
        </w:tc>
        <w:tc>
          <w:tcPr>
            <w:tcW w:w="20" w:type="dxa"/>
            <w:vAlign w:val="bottom"/>
          </w:tcPr>
          <w:p>
            <w:pPr>
              <w:spacing w:after="0"/>
              <w:rPr>
                <w:sz w:val="19"/>
                <w:szCs w:val="19"/>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44</w:t>
            </w:r>
          </w:p>
        </w:tc>
        <w:tc>
          <w:tcPr>
            <w:tcW w:w="20" w:type="dxa"/>
            <w:vAlign w:val="bottom"/>
          </w:tcPr>
          <w:p>
            <w:pPr>
              <w:spacing w:after="0"/>
              <w:rPr>
                <w:sz w:val="20"/>
                <w:szCs w:val="20"/>
                <w:color w:val="auto"/>
              </w:rPr>
            </w:pP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40" w:type="dxa"/>
            <w:vAlign w:val="bottom"/>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106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line="183" w:lineRule="exact"/>
              <w:rPr>
                <w:sz w:val="20"/>
                <w:szCs w:val="20"/>
                <w:color w:val="auto"/>
              </w:rPr>
            </w:pPr>
            <w:r>
              <w:rPr>
                <w:rFonts w:ascii="Arial" w:cs="Arial" w:eastAsia="Arial" w:hAnsi="Arial"/>
                <w:sz w:val="16"/>
                <w:szCs w:val="16"/>
                <w:color w:val="auto"/>
              </w:rPr>
              <w:t>Legal Proceedings</w:t>
            </w:r>
          </w:p>
        </w:tc>
        <w:tc>
          <w:tcPr>
            <w:tcW w:w="1440" w:type="dxa"/>
            <w:vAlign w:val="bottom"/>
          </w:tcPr>
          <w:p>
            <w:pPr>
              <w:spacing w:after="0"/>
              <w:rPr>
                <w:sz w:val="15"/>
                <w:szCs w:val="15"/>
                <w:color w:val="auto"/>
              </w:rPr>
            </w:pPr>
          </w:p>
        </w:tc>
        <w:tc>
          <w:tcPr>
            <w:tcW w:w="180" w:type="dxa"/>
            <w:vAlign w:val="bottom"/>
            <w:tcBorders>
              <w:bottom w:val="single" w:sz="8" w:color="3051F2"/>
            </w:tcBorders>
            <w:gridSpan w:val="2"/>
          </w:tcPr>
          <w:p>
            <w:pPr>
              <w:jc w:val="right"/>
              <w:spacing w:after="0" w:line="183" w:lineRule="exact"/>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15"/>
                <w:szCs w:val="15"/>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r>
      <w:tr>
        <w:trPr>
          <w:trHeight w:val="45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46</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information related to our business segment portfolios and strategies;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strategy, innovation, and investments;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including related to government shutdowns; our ability to attract and/or retain key personnel and qualified employees; global geopolitical and economic instability, including as a result of the conflict between Ukraine and Russia and the conflict in Israel and surrounding areas; the global Coronavirus Disease 2019 (“COVID-19”) pandemic and its effects on our business; maintenance and protection of our intellectual property rights; the impact of potential information technology, cybersecurity, or data security breaches; compliance with the various legal, regulatory, tax, and other laws to which we are subject, such as the Foreign Corrupt Practices Act and similar anti-corruption and anti-bribery laws globally, and related changes, claims, inquiries, investigations, or actions; our ability to control increases in healthcare costs and any subsequent effect on demand for our products, services, or solutions; the impact of potential product liability claims; environmental, social, and governance matters; our ability to successfully complete strategic transactions; our ability to operate effectively as an independent, publicly traded company and achieve the benefits we expect from our spin-off from General Electric Company; and the incurrence of substantial indebtedness in connection with the spin-off and any related effect on our business. Please also see the “Risk Factors” section of our Annual Report on Form 10-K filed with the U.S. Securities and Exchange Commission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868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Item 1. Condensed Consolidated and Combined Financial Statements (Unaudited)</w:t>
            </w:r>
          </w:p>
        </w:tc>
        <w:tc>
          <w:tcPr>
            <w:tcW w:w="2560" w:type="dxa"/>
            <w:vAlign w:val="bottom"/>
            <w:gridSpan w:val="5"/>
          </w:tcPr>
          <w:p>
            <w:pPr>
              <w:ind w:left="216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8680" w:type="dxa"/>
            <w:vAlign w:val="bottom"/>
            <w:tcBorders>
              <w:bottom w:val="single" w:sz="8" w:color="6022A6"/>
            </w:tcBorders>
          </w:tcPr>
          <w:p>
            <w:pPr>
              <w:spacing w:after="0" w:line="20" w:lineRule="exact"/>
              <w:rPr>
                <w:sz w:val="1"/>
                <w:szCs w:val="1"/>
                <w:color w:val="auto"/>
              </w:rPr>
            </w:pPr>
          </w:p>
        </w:tc>
        <w:tc>
          <w:tcPr>
            <w:tcW w:w="2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8680" w:type="dxa"/>
            <w:vAlign w:val="bottom"/>
          </w:tcPr>
          <w:p>
            <w:pPr>
              <w:ind w:left="20"/>
              <w:spacing w:after="0" w:line="183" w:lineRule="exact"/>
              <w:rPr>
                <w:sz w:val="20"/>
                <w:szCs w:val="20"/>
                <w:color w:val="auto"/>
              </w:rPr>
            </w:pPr>
            <w:r>
              <w:rPr>
                <w:rFonts w:ascii="Arial" w:cs="Arial" w:eastAsia="Arial" w:hAnsi="Arial"/>
                <w:sz w:val="16"/>
                <w:szCs w:val="16"/>
                <w:color w:val="auto"/>
              </w:rPr>
              <w:t>Condensed Consolidated and Combined Statements of Income</w:t>
            </w:r>
          </w:p>
        </w:tc>
        <w:tc>
          <w:tcPr>
            <w:tcW w:w="254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5</w:t>
            </w:r>
          </w:p>
        </w:tc>
        <w:tc>
          <w:tcPr>
            <w:tcW w:w="20" w:type="dxa"/>
            <w:vAlign w:val="bottom"/>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Comprehensive Income (Loss)</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6</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Financial Position</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7</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Changes in Equity</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8</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Cash Flows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6"/>
                <w:szCs w:val="16"/>
                <w:color w:val="auto"/>
              </w:rPr>
              <w:t>Notes to the Condensed Consolidated and Combined Financial Statements (Unaudited)</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2 Revenue Recognition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12</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3 Segment Information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4 Receivables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5 Financing Receivables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6 Leases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7 Acquisitions, Goodwill, and Other Intangible Assets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8 Borrowings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9 Postretirement Benefit Plans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17</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10 Income Taxes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19</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11 Accumulated Other Comprehensive Income (Loss) – Net</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19</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12 Financial Instruments and Fair Value Measurements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21</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23</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14 Restructuring and Other Activities – Net</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15 Share-Based Compensation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16 Earnings Per Share</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27</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17 Supplemental Financial Information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27</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18 Related Parties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5820" w:type="dxa"/>
            <w:vAlign w:val="bottom"/>
          </w:tcPr>
          <w:p>
            <w:pPr>
              <w:spacing w:after="0"/>
              <w:rPr>
                <w:sz w:val="20"/>
                <w:szCs w:val="20"/>
                <w:color w:val="auto"/>
              </w:rPr>
            </w:pPr>
            <w:r>
              <w:rPr>
                <w:rFonts w:ascii="Arial" w:cs="Arial" w:eastAsia="Arial" w:hAnsi="Arial"/>
                <w:sz w:val="16"/>
                <w:szCs w:val="16"/>
                <w:b w:val="1"/>
                <w:bCs w:val="1"/>
                <w:color w:val="auto"/>
              </w:rPr>
              <w:t>Condensed Consolidated and Combined Statements of Income (Unaudited)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For the three months ended</w:t>
            </w:r>
          </w:p>
        </w:tc>
        <w:tc>
          <w:tcPr>
            <w:tcW w:w="180" w:type="dxa"/>
            <w:vAlign w:val="bottom"/>
          </w:tcPr>
          <w:p>
            <w:pPr>
              <w:spacing w:after="0"/>
              <w:rPr>
                <w:sz w:val="16"/>
                <w:szCs w:val="16"/>
                <w:color w:val="auto"/>
              </w:rPr>
            </w:pPr>
          </w:p>
        </w:tc>
        <w:tc>
          <w:tcPr>
            <w:tcW w:w="24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For the nine months ended</w:t>
            </w:r>
          </w:p>
        </w:tc>
      </w:tr>
      <w:tr>
        <w:trPr>
          <w:trHeight w:val="228"/>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September 30</w:t>
            </w:r>
          </w:p>
        </w:tc>
        <w:tc>
          <w:tcPr>
            <w:tcW w:w="180" w:type="dxa"/>
            <w:vAlign w:val="bottom"/>
          </w:tcPr>
          <w:p>
            <w:pPr>
              <w:spacing w:after="0"/>
              <w:rPr>
                <w:sz w:val="19"/>
                <w:szCs w:val="19"/>
                <w:color w:val="auto"/>
              </w:rPr>
            </w:pPr>
          </w:p>
        </w:tc>
        <w:tc>
          <w:tcPr>
            <w:tcW w:w="24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454545"/>
              </w:rPr>
              <w:t>September 30</w:t>
            </w:r>
          </w:p>
        </w:tc>
      </w:tr>
      <w:tr>
        <w:trPr>
          <w:trHeight w:val="228"/>
        </w:trPr>
        <w:tc>
          <w:tcPr>
            <w:tcW w:w="5820" w:type="dxa"/>
            <w:vAlign w:val="bottom"/>
            <w:tcBorders>
              <w:bottom w:val="single" w:sz="8" w:color="6022A6"/>
            </w:tcBorders>
          </w:tcPr>
          <w:p>
            <w:pPr>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160" w:type="dxa"/>
            <w:vAlign w:val="bottom"/>
            <w:tcBorders>
              <w:top w:val="single" w:sz="8" w:color="454545"/>
              <w:bottom w:val="single" w:sz="8" w:color="6022A6"/>
            </w:tcBorders>
          </w:tcPr>
          <w:p>
            <w:pPr>
              <w:spacing w:after="0"/>
              <w:rPr>
                <w:sz w:val="19"/>
                <w:szCs w:val="19"/>
                <w:color w:val="auto"/>
              </w:rPr>
            </w:pPr>
          </w:p>
        </w:tc>
        <w:tc>
          <w:tcPr>
            <w:tcW w:w="1140" w:type="dxa"/>
            <w:vAlign w:val="bottom"/>
            <w:tcBorders>
              <w:top w:val="single" w:sz="8" w:color="454545"/>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00" w:type="dxa"/>
            <w:vAlign w:val="bottom"/>
            <w:tcBorders>
              <w:top w:val="single" w:sz="8" w:color="454545"/>
              <w:bottom w:val="single" w:sz="8" w:color="6022A6"/>
            </w:tcBorders>
          </w:tcPr>
          <w:p>
            <w:pPr>
              <w:spacing w:after="0"/>
              <w:rPr>
                <w:sz w:val="19"/>
                <w:szCs w:val="19"/>
                <w:color w:val="auto"/>
              </w:rPr>
            </w:pPr>
          </w:p>
        </w:tc>
        <w:tc>
          <w:tcPr>
            <w:tcW w:w="1040" w:type="dxa"/>
            <w:vAlign w:val="bottom"/>
            <w:tcBorders>
              <w:top w:val="single" w:sz="8" w:color="454545"/>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80" w:type="dxa"/>
            <w:vAlign w:val="bottom"/>
            <w:tcBorders>
              <w:bottom w:val="single" w:sz="8" w:color="6022A6"/>
            </w:tcBorders>
          </w:tcPr>
          <w:p>
            <w:pPr>
              <w:spacing w:after="0"/>
              <w:rPr>
                <w:sz w:val="19"/>
                <w:szCs w:val="19"/>
                <w:color w:val="auto"/>
              </w:rPr>
            </w:pPr>
          </w:p>
        </w:tc>
        <w:tc>
          <w:tcPr>
            <w:tcW w:w="180" w:type="dxa"/>
            <w:vAlign w:val="bottom"/>
            <w:tcBorders>
              <w:top w:val="single" w:sz="8" w:color="454545"/>
              <w:bottom w:val="single" w:sz="8" w:color="6022A6"/>
            </w:tcBorders>
          </w:tcPr>
          <w:p>
            <w:pPr>
              <w:spacing w:after="0"/>
              <w:rPr>
                <w:sz w:val="19"/>
                <w:szCs w:val="19"/>
                <w:color w:val="auto"/>
              </w:rPr>
            </w:pPr>
          </w:p>
        </w:tc>
        <w:tc>
          <w:tcPr>
            <w:tcW w:w="1140" w:type="dxa"/>
            <w:vAlign w:val="bottom"/>
            <w:tcBorders>
              <w:top w:val="single" w:sz="8" w:color="454545"/>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00" w:type="dxa"/>
            <w:vAlign w:val="bottom"/>
            <w:tcBorders>
              <w:top w:val="single" w:sz="8" w:color="454545"/>
              <w:bottom w:val="single" w:sz="8" w:color="6022A6"/>
            </w:tcBorders>
          </w:tcPr>
          <w:p>
            <w:pPr>
              <w:spacing w:after="0"/>
              <w:rPr>
                <w:sz w:val="19"/>
                <w:szCs w:val="19"/>
                <w:color w:val="auto"/>
              </w:rPr>
            </w:pPr>
          </w:p>
        </w:tc>
        <w:tc>
          <w:tcPr>
            <w:tcW w:w="1020" w:type="dxa"/>
            <w:vAlign w:val="bottom"/>
            <w:tcBorders>
              <w:top w:val="single" w:sz="8" w:color="454545"/>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2022</w:t>
            </w:r>
          </w:p>
        </w:tc>
      </w:tr>
      <w:tr>
        <w:trPr>
          <w:trHeight w:val="231"/>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Sales of products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3,012</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9,530</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8,702</w:t>
            </w:r>
          </w:p>
        </w:tc>
      </w:tr>
      <w:tr>
        <w:trPr>
          <w:trHeight w:val="224"/>
        </w:trPr>
        <w:tc>
          <w:tcPr>
            <w:tcW w:w="5820" w:type="dxa"/>
            <w:vAlign w:val="bottom"/>
          </w:tcPr>
          <w:p>
            <w:pPr>
              <w:spacing w:after="0"/>
              <w:rPr>
                <w:sz w:val="20"/>
                <w:szCs w:val="20"/>
                <w:color w:val="auto"/>
              </w:rPr>
            </w:pPr>
            <w:r>
              <w:rPr>
                <w:rFonts w:ascii="Arial" w:cs="Arial" w:eastAsia="Arial" w:hAnsi="Arial"/>
                <w:sz w:val="16"/>
                <w:szCs w:val="16"/>
                <w:color w:val="auto"/>
              </w:rPr>
              <w:t>Sales of services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4,816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4,701</w:t>
            </w: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4,822</w:t>
            </w:r>
          </w:p>
        </w:tc>
        <w:tc>
          <w:tcPr>
            <w:tcW w:w="3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4,576</w:t>
            </w:r>
          </w:p>
        </w:tc>
        <w:tc>
          <w:tcPr>
            <w:tcW w:w="8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13,403</w:t>
            </w:r>
          </w:p>
        </w:tc>
      </w:tr>
      <w:tr>
        <w:trPr>
          <w:trHeight w:val="217"/>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Cost of products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5,825</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Cost of services</w:t>
            </w:r>
          </w:p>
        </w:tc>
        <w:tc>
          <w:tcPr>
            <w:tcW w:w="1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811</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2,383</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2,331</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1,935</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1,773</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5,766</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5,247</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996</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3,130</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2,747</w:t>
            </w:r>
          </w:p>
        </w:tc>
      </w:tr>
      <w:tr>
        <w:trPr>
          <w:trHeight w:val="223"/>
        </w:trPr>
        <w:tc>
          <w:tcPr>
            <w:tcW w:w="58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operating expenses</w:t>
            </w:r>
          </w:p>
        </w:tc>
        <w:tc>
          <w:tcPr>
            <w:tcW w:w="1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1,318</w:t>
            </w:r>
          </w:p>
        </w:tc>
        <w:tc>
          <w:tcPr>
            <w:tcW w:w="3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1,168</w:t>
            </w:r>
          </w:p>
        </w:tc>
        <w:tc>
          <w:tcPr>
            <w:tcW w:w="8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4,020</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3,502</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605</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1,745</w:t>
            </w:r>
          </w:p>
        </w:tc>
      </w:tr>
      <w:tr>
        <w:trPr>
          <w:trHeight w:val="21"/>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Interest and other financial charges – net</w:t>
            </w:r>
          </w:p>
        </w:tc>
        <w:tc>
          <w:tcPr>
            <w:tcW w:w="1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5820" w:type="dxa"/>
            <w:vAlign w:val="bottom"/>
          </w:tcPr>
          <w:p>
            <w:pPr>
              <w:spacing w:after="0"/>
              <w:rPr>
                <w:sz w:val="20"/>
                <w:szCs w:val="20"/>
                <w:color w:val="auto"/>
              </w:rPr>
            </w:pPr>
            <w:r>
              <w:rPr>
                <w:rFonts w:ascii="Arial" w:cs="Arial" w:eastAsia="Arial" w:hAnsi="Arial"/>
                <w:sz w:val="16"/>
                <w:szCs w:val="16"/>
                <w:color w:val="auto"/>
              </w:rPr>
              <w:t>Non-operating benefit (income) costs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Other (income) expense – net</w:t>
            </w:r>
          </w:p>
        </w:tc>
        <w:tc>
          <w:tcPr>
            <w:tcW w:w="1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622</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r>
      <w:tr>
        <w:trPr>
          <w:trHeight w:val="21"/>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2"/>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from continuing operations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1,202</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1,382</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5"/>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Income (loss) from discontinued operations, net of taxes</w:t>
            </w:r>
          </w:p>
        </w:tc>
        <w:tc>
          <w:tcPr>
            <w:tcW w:w="1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1,394</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5"/>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attributable to GE HealthCare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1,362</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5"/>
        </w:trPr>
        <w:tc>
          <w:tcPr>
            <w:tcW w:w="582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1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982</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1,362</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14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114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20" w:type="dxa"/>
            <w:vAlign w:val="bottom"/>
            <w:shd w:val="clear" w:color="auto" w:fill="E4E4E4"/>
          </w:tcPr>
          <w:p>
            <w:pPr>
              <w:spacing w:after="0"/>
              <w:rPr>
                <w:sz w:val="21"/>
                <w:szCs w:val="21"/>
                <w:color w:val="auto"/>
              </w:rPr>
            </w:pPr>
          </w:p>
        </w:tc>
      </w:tr>
      <w:tr>
        <w:trPr>
          <w:trHeight w:val="184"/>
        </w:trPr>
        <w:tc>
          <w:tcPr>
            <w:tcW w:w="5820" w:type="dxa"/>
            <w:vAlign w:val="bottom"/>
          </w:tcPr>
          <w:p>
            <w:pPr>
              <w:spacing w:after="0"/>
              <w:rPr>
                <w:sz w:val="20"/>
                <w:szCs w:val="20"/>
                <w:color w:val="auto"/>
              </w:rPr>
            </w:pPr>
            <w:r>
              <w:rPr>
                <w:rFonts w:ascii="Arial" w:cs="Arial" w:eastAsia="Arial" w:hAnsi="Arial"/>
                <w:sz w:val="16"/>
                <w:szCs w:val="16"/>
                <w:b w:val="1"/>
                <w:bCs w:val="1"/>
                <w:color w:val="auto"/>
              </w:rPr>
              <w:t>Earnings per share from continuing operations attributable to GE</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6"/>
                <w:szCs w:val="16"/>
                <w:b w:val="1"/>
                <w:bCs w:val="1"/>
                <w:color w:val="auto"/>
              </w:rPr>
              <w:t>HealthCare common stockholders: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58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0.83</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2.97</w:t>
            </w:r>
          </w:p>
        </w:tc>
      </w:tr>
      <w:tr>
        <w:trPr>
          <w:trHeight w:val="223"/>
        </w:trPr>
        <w:tc>
          <w:tcPr>
            <w:tcW w:w="582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820" w:type="dxa"/>
            <w:vAlign w:val="bottom"/>
            <w:shd w:val="clear" w:color="auto" w:fill="E4E4E4"/>
          </w:tcPr>
          <w:p>
            <w:pPr>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1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r>
      <w:tr>
        <w:trPr>
          <w:trHeight w:val="223"/>
        </w:trPr>
        <w:tc>
          <w:tcPr>
            <w:tcW w:w="5820" w:type="dxa"/>
            <w:vAlign w:val="bottom"/>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58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0.82</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r>
      <w:tr>
        <w:trPr>
          <w:trHeight w:val="228"/>
        </w:trPr>
        <w:tc>
          <w:tcPr>
            <w:tcW w:w="5820" w:type="dxa"/>
            <w:vAlign w:val="bottom"/>
          </w:tcPr>
          <w:p>
            <w:pPr>
              <w:spacing w:after="0"/>
              <w:rPr>
                <w:sz w:val="20"/>
                <w:szCs w:val="20"/>
                <w:color w:val="auto"/>
              </w:rPr>
            </w:pPr>
            <w:r>
              <w:rPr>
                <w:rFonts w:ascii="Arial" w:cs="Arial" w:eastAsia="Arial" w:hAnsi="Arial"/>
                <w:sz w:val="16"/>
                <w:szCs w:val="16"/>
                <w:b w:val="1"/>
                <w:bCs w:val="1"/>
                <w:color w:val="auto"/>
              </w:rPr>
              <w:t>Weighted-average number of shares outstanding:</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58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r>
      <w:tr>
        <w:trPr>
          <w:trHeight w:val="223"/>
        </w:trPr>
        <w:tc>
          <w:tcPr>
            <w:tcW w:w="582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836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Comprehensive Income (Loss) (Unaudited)</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40"/>
              <w:spacing w:after="0"/>
              <w:rPr>
                <w:sz w:val="20"/>
                <w:szCs w:val="20"/>
                <w:color w:val="auto"/>
              </w:rPr>
            </w:pPr>
            <w:r>
              <w:rPr>
                <w:rFonts w:ascii="Arial" w:cs="Arial" w:eastAsia="Arial" w:hAnsi="Arial"/>
                <w:sz w:val="16"/>
                <w:szCs w:val="16"/>
                <w:b w:val="1"/>
                <w:bCs w:val="1"/>
                <w:color w:val="454545"/>
              </w:rPr>
              <w:t>For the three months ended</w:t>
            </w:r>
          </w:p>
        </w:tc>
        <w:tc>
          <w:tcPr>
            <w:tcW w:w="240" w:type="dxa"/>
            <w:vAlign w:val="bottom"/>
          </w:tcPr>
          <w:p>
            <w:pPr>
              <w:spacing w:after="0"/>
              <w:rPr>
                <w:sz w:val="16"/>
                <w:szCs w:val="16"/>
                <w:color w:val="auto"/>
              </w:rPr>
            </w:pPr>
          </w:p>
        </w:tc>
        <w:tc>
          <w:tcPr>
            <w:tcW w:w="264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nine months ended</w:t>
            </w:r>
          </w:p>
        </w:tc>
      </w:tr>
      <w:tr>
        <w:trPr>
          <w:trHeight w:val="228"/>
        </w:trPr>
        <w:tc>
          <w:tcPr>
            <w:tcW w:w="5380" w:type="dxa"/>
            <w:vAlign w:val="bottom"/>
          </w:tcPr>
          <w:p>
            <w:pPr>
              <w:spacing w:after="0"/>
              <w:rPr>
                <w:sz w:val="19"/>
                <w:szCs w:val="19"/>
                <w:color w:val="auto"/>
              </w:rPr>
            </w:pPr>
          </w:p>
        </w:tc>
        <w:tc>
          <w:tcPr>
            <w:tcW w:w="24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Borders>
              <w:bottom w:val="single" w:sz="8" w:color="454545"/>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Borders>
              <w:bottom w:val="single" w:sz="8" w:color="454545"/>
            </w:tcBorders>
          </w:tcPr>
          <w:p>
            <w:pPr>
              <w:spacing w:after="0"/>
              <w:rPr>
                <w:sz w:val="19"/>
                <w:szCs w:val="19"/>
                <w:color w:val="auto"/>
              </w:rPr>
            </w:pPr>
          </w:p>
        </w:tc>
      </w:tr>
      <w:tr>
        <w:trPr>
          <w:trHeight w:val="228"/>
        </w:trPr>
        <w:tc>
          <w:tcPr>
            <w:tcW w:w="53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240" w:type="dxa"/>
            <w:vAlign w:val="bottom"/>
            <w:tcBorders>
              <w:bottom w:val="single" w:sz="8" w:color="6022A6"/>
            </w:tcBorders>
          </w:tcPr>
          <w:p>
            <w:pPr>
              <w:spacing w:after="0"/>
              <w:rPr>
                <w:sz w:val="19"/>
                <w:szCs w:val="19"/>
                <w:color w:val="auto"/>
              </w:rPr>
            </w:pPr>
          </w:p>
        </w:tc>
        <w:tc>
          <w:tcPr>
            <w:tcW w:w="12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540" w:type="dxa"/>
            <w:vAlign w:val="bottom"/>
            <w:tcBorders>
              <w:bottom w:val="single" w:sz="8" w:color="6022A6"/>
            </w:tcBorders>
          </w:tcPr>
          <w:p>
            <w:pPr>
              <w:spacing w:after="0"/>
              <w:rPr>
                <w:sz w:val="19"/>
                <w:szCs w:val="19"/>
                <w:color w:val="auto"/>
              </w:rPr>
            </w:pPr>
          </w:p>
        </w:tc>
        <w:tc>
          <w:tcPr>
            <w:tcW w:w="9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w w:val="95"/>
              </w:rPr>
              <w:t>2022</w:t>
            </w:r>
          </w:p>
        </w:tc>
        <w:tc>
          <w:tcPr>
            <w:tcW w:w="100" w:type="dxa"/>
            <w:vAlign w:val="bottom"/>
            <w:tcBorders>
              <w:bottom w:val="single" w:sz="8" w:color="6022A6"/>
            </w:tcBorders>
          </w:tcPr>
          <w:p>
            <w:pPr>
              <w:spacing w:after="0"/>
              <w:rPr>
                <w:sz w:val="19"/>
                <w:szCs w:val="19"/>
                <w:color w:val="auto"/>
              </w:rPr>
            </w:pPr>
          </w:p>
        </w:tc>
        <w:tc>
          <w:tcPr>
            <w:tcW w:w="240" w:type="dxa"/>
            <w:vAlign w:val="bottom"/>
            <w:tcBorders>
              <w:bottom w:val="single" w:sz="8" w:color="6022A6"/>
            </w:tcBorders>
          </w:tcPr>
          <w:p>
            <w:pPr>
              <w:spacing w:after="0"/>
              <w:rPr>
                <w:sz w:val="19"/>
                <w:szCs w:val="19"/>
                <w:color w:val="auto"/>
              </w:rPr>
            </w:pPr>
          </w:p>
        </w:tc>
        <w:tc>
          <w:tcPr>
            <w:tcW w:w="12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540" w:type="dxa"/>
            <w:vAlign w:val="bottom"/>
            <w:tcBorders>
              <w:bottom w:val="single" w:sz="8" w:color="6022A6"/>
            </w:tcBorders>
          </w:tcPr>
          <w:p>
            <w:pPr>
              <w:spacing w:after="0"/>
              <w:rPr>
                <w:sz w:val="19"/>
                <w:szCs w:val="19"/>
                <w:color w:val="auto"/>
              </w:rPr>
            </w:pPr>
          </w:p>
        </w:tc>
        <w:tc>
          <w:tcPr>
            <w:tcW w:w="9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w w:val="95"/>
              </w:rPr>
              <w:t>2022</w:t>
            </w:r>
          </w:p>
        </w:tc>
      </w:tr>
      <w:tr>
        <w:trPr>
          <w:trHeight w:val="231"/>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1,362</w:t>
            </w: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5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382</w:t>
            </w:r>
          </w:p>
        </w:tc>
        <w:tc>
          <w:tcPr>
            <w:tcW w:w="5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493</w:t>
            </w:r>
          </w:p>
        </w:tc>
        <w:tc>
          <w:tcPr>
            <w:tcW w:w="1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1,198</w:t>
            </w:r>
          </w:p>
        </w:tc>
        <w:tc>
          <w:tcPr>
            <w:tcW w:w="5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1,394</w:t>
            </w:r>
          </w:p>
        </w:tc>
      </w:tr>
      <w:tr>
        <w:trPr>
          <w:trHeight w:val="222"/>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38"/>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24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(937)</w:t>
            </w:r>
          </w:p>
        </w:tc>
      </w:tr>
      <w:tr>
        <w:trPr>
          <w:trHeight w:val="223"/>
        </w:trPr>
        <w:tc>
          <w:tcPr>
            <w:tcW w:w="5380" w:type="dxa"/>
            <w:vAlign w:val="bottom"/>
          </w:tcPr>
          <w:p>
            <w:pPr>
              <w:ind w:left="20"/>
              <w:spacing w:after="0"/>
              <w:rPr>
                <w:sz w:val="20"/>
                <w:szCs w:val="20"/>
                <w:color w:val="auto"/>
              </w:rPr>
            </w:pPr>
            <w:r>
              <w:rPr>
                <w:rFonts w:ascii="Arial" w:cs="Arial" w:eastAsia="Arial" w:hAnsi="Arial"/>
                <w:sz w:val="16"/>
                <w:szCs w:val="16"/>
                <w:color w:val="auto"/>
              </w:rPr>
              <w:t>Benefit plans – net of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24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(293)</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(437)</w:t>
            </w: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(905)</w:t>
            </w:r>
          </w:p>
        </w:tc>
      </w:tr>
      <w:tr>
        <w:trPr>
          <w:trHeight w:val="21"/>
        </w:trPr>
        <w:tc>
          <w:tcPr>
            <w:tcW w:w="5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4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5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761</w:t>
            </w:r>
          </w:p>
        </w:tc>
        <w:tc>
          <w:tcPr>
            <w:tcW w:w="5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489</w:t>
            </w:r>
          </w:p>
        </w:tc>
      </w:tr>
      <w:tr>
        <w:trPr>
          <w:trHeight w:val="21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5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194</w:t>
            </w:r>
          </w:p>
        </w:tc>
        <w:tc>
          <w:tcPr>
            <w:tcW w:w="1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763</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r>
      <w:tr>
        <w:trPr>
          <w:trHeight w:val="20"/>
        </w:trPr>
        <w:tc>
          <w:tcPr>
            <w:tcW w:w="5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7"/>
        </w:trPr>
        <w:tc>
          <w:tcPr>
            <w:tcW w:w="7740" w:type="dxa"/>
            <w:vAlign w:val="bottom"/>
          </w:tcPr>
          <w:p>
            <w:pPr>
              <w:spacing w:after="0"/>
              <w:rPr>
                <w:sz w:val="20"/>
                <w:szCs w:val="20"/>
                <w:color w:val="auto"/>
              </w:rPr>
            </w:pPr>
            <w:r>
              <w:rPr>
                <w:rFonts w:ascii="Arial" w:cs="Arial" w:eastAsia="Arial" w:hAnsi="Arial"/>
                <w:sz w:val="16"/>
                <w:szCs w:val="16"/>
                <w:b w:val="1"/>
                <w:bCs w:val="1"/>
                <w:color w:val="auto"/>
              </w:rPr>
              <w:t>Condensed Consolidated and Combined Statements of Financial Position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6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740" w:type="dxa"/>
            <w:vAlign w:val="bottom"/>
            <w:vMerge w:val="continue"/>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 2023</w:t>
            </w:r>
          </w:p>
        </w:tc>
        <w:tc>
          <w:tcPr>
            <w:tcW w:w="1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December 31, 2022</w:t>
            </w:r>
          </w:p>
        </w:tc>
        <w:tc>
          <w:tcPr>
            <w:tcW w:w="0" w:type="dxa"/>
            <w:vAlign w:val="bottom"/>
          </w:tcPr>
          <w:p>
            <w:pPr>
              <w:spacing w:after="0"/>
              <w:rPr>
                <w:sz w:val="1"/>
                <w:szCs w:val="1"/>
                <w:color w:val="auto"/>
              </w:rPr>
            </w:pPr>
          </w:p>
        </w:tc>
      </w:tr>
      <w:tr>
        <w:trPr>
          <w:trHeight w:val="21"/>
        </w:trPr>
        <w:tc>
          <w:tcPr>
            <w:tcW w:w="77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Cash, cash equivalents, and restricted cash</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Receivables – net of allowances of $91 and $91</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Due from related parties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Inventories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Contract and other deferred assets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All other current assets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9,468</w:t>
            </w:r>
          </w:p>
        </w:tc>
        <w:tc>
          <w:tcPr>
            <w:tcW w:w="12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8,318</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Property, plant, and equipment – net</w:t>
            </w: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Goodwill</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12,914</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4,277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All other assets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assets</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32,382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Short-term borrowings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Accounts payable</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2,774</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Due to related parties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Contract liabilities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All other current liabilities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Current liabilities</w:t>
            </w:r>
          </w:p>
        </w:tc>
        <w:tc>
          <w:tcPr>
            <w:tcW w:w="6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7,565</w:t>
            </w:r>
          </w:p>
        </w:tc>
        <w:tc>
          <w:tcPr>
            <w:tcW w:w="12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7,191</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Long-term borrowings</w:t>
            </w: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10,253</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Compensation and benefits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5,373</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All other liabilities</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29"/>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25,079</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17,947</w:t>
            </w:r>
          </w:p>
        </w:tc>
        <w:tc>
          <w:tcPr>
            <w:tcW w:w="0" w:type="dxa"/>
            <w:vAlign w:val="bottom"/>
          </w:tcPr>
          <w:p>
            <w:pPr>
              <w:spacing w:after="0"/>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i w:val="1"/>
                <w:iCs w:val="1"/>
                <w:color w:val="auto"/>
              </w:rPr>
              <w:t>Commitments and contingencies</w:t>
            </w:r>
          </w:p>
        </w:tc>
        <w:tc>
          <w:tcPr>
            <w:tcW w:w="6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Redeemable noncontrolling interests</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c>
          <w:tcPr>
            <w:tcW w:w="0" w:type="dxa"/>
            <w:vAlign w:val="bottom"/>
          </w:tcPr>
          <w:p>
            <w:pPr>
              <w:spacing w:after="0"/>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E4E4E4"/>
          </w:tcPr>
          <w:p>
            <w:pPr>
              <w:spacing w:after="0"/>
              <w:rPr>
                <w:sz w:val="20"/>
                <w:szCs w:val="20"/>
                <w:color w:val="auto"/>
              </w:rPr>
            </w:pPr>
            <w:r>
              <w:rPr>
                <w:rFonts w:ascii="Arial" w:cs="Arial" w:eastAsia="Arial" w:hAnsi="Arial"/>
                <w:sz w:val="16"/>
                <w:szCs w:val="16"/>
                <w:color w:val="auto"/>
              </w:rPr>
              <w:t>Common stock, par value $0.01 per share, 1,000,000,000 shares authorized, 455,224,438 shares issued</w:t>
            </w:r>
          </w:p>
        </w:tc>
        <w:tc>
          <w:tcPr>
            <w:tcW w:w="60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5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and outstanding as of September 30, 2023; 100 shares issued and outstanding as of December 31, 2022</w:t>
            </w:r>
          </w:p>
        </w:tc>
        <w:tc>
          <w:tcPr>
            <w:tcW w:w="60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E4E4E4"/>
            </w:tcBorders>
            <w:shd w:val="clear" w:color="auto" w:fill="E4E4E4"/>
          </w:tcPr>
          <w:p>
            <w:pPr>
              <w:spacing w:after="0"/>
              <w:rPr>
                <w:sz w:val="19"/>
                <w:szCs w:val="19"/>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6,469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Retained earnings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Net parent investment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Accumulated other comprehensive income (loss) – net</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29"/>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equity attributable to GE HealthCare</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7,131</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9,357</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Noncontrolling interests</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equity</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7,142</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32,382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c>
          <w:tcPr>
            <w:tcW w:w="0" w:type="dxa"/>
            <w:vAlign w:val="bottom"/>
          </w:tcPr>
          <w:p>
            <w:pPr>
              <w:spacing w:after="0"/>
              <w:rPr>
                <w:sz w:val="1"/>
                <w:szCs w:val="1"/>
                <w:color w:val="auto"/>
              </w:rPr>
            </w:pPr>
          </w:p>
        </w:tc>
      </w:tr>
      <w:tr>
        <w:trPr>
          <w:trHeight w:val="20"/>
        </w:trPr>
        <w:tc>
          <w:tcPr>
            <w:tcW w:w="7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ectPr>
          <w:pgSz w:w="11900" w:h="16838" w:orient="portrait"/>
          <w:cols w:equalWidth="0" w:num="1">
            <w:col w:w="11100"/>
          </w:cols>
          <w:pgMar w:left="400" w:top="118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88"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6740" w:type="dxa"/>
            <w:vAlign w:val="bottom"/>
            <w:gridSpan w:val="8"/>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Changes in Equity (Unaudited)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860" w:type="dxa"/>
            <w:vAlign w:val="bottom"/>
          </w:tcPr>
          <w:p>
            <w:pPr>
              <w:spacing w:after="0"/>
              <w:rPr>
                <w:sz w:val="24"/>
                <w:szCs w:val="24"/>
                <w:color w:val="auto"/>
              </w:rPr>
            </w:pPr>
          </w:p>
        </w:tc>
        <w:tc>
          <w:tcPr>
            <w:tcW w:w="2000" w:type="dxa"/>
            <w:vAlign w:val="bottom"/>
            <w:tcBorders>
              <w:bottom w:val="single" w:sz="8" w:color="454545"/>
            </w:tcBorders>
            <w:gridSpan w:val="3"/>
          </w:tcPr>
          <w:p>
            <w:pPr>
              <w:jc w:val="right"/>
              <w:ind w:right="339"/>
              <w:spacing w:after="0"/>
              <w:rPr>
                <w:sz w:val="20"/>
                <w:szCs w:val="20"/>
                <w:color w:val="auto"/>
              </w:rPr>
            </w:pPr>
            <w:r>
              <w:rPr>
                <w:rFonts w:ascii="Arial" w:cs="Arial" w:eastAsia="Arial" w:hAnsi="Arial"/>
                <w:sz w:val="16"/>
                <w:szCs w:val="16"/>
                <w:b w:val="1"/>
                <w:bCs w:val="1"/>
                <w:color w:val="454545"/>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
              <w:spacing w:after="0" w:line="171" w:lineRule="exact"/>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Common</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20" w:type="dxa"/>
            <w:vAlign w:val="bottom"/>
          </w:tcPr>
          <w:p>
            <w:pPr>
              <w:jc w:val="center"/>
              <w:spacing w:after="0" w:line="180" w:lineRule="exact"/>
              <w:rPr>
                <w:sz w:val="20"/>
                <w:szCs w:val="20"/>
                <w:color w:val="auto"/>
              </w:rPr>
            </w:pPr>
            <w:r>
              <w:rPr>
                <w:rFonts w:ascii="Arial" w:cs="Arial" w:eastAsia="Arial" w:hAnsi="Arial"/>
                <w:sz w:val="16"/>
                <w:szCs w:val="16"/>
                <w:b w:val="1"/>
                <w:bCs w:val="1"/>
                <w:color w:val="454545"/>
              </w:rPr>
              <w:t>shares</w:t>
            </w:r>
          </w:p>
        </w:tc>
        <w:tc>
          <w:tcPr>
            <w:tcW w:w="140" w:type="dxa"/>
            <w:vAlign w:val="bottom"/>
          </w:tcPr>
          <w:p>
            <w:pPr>
              <w:spacing w:after="0"/>
              <w:rPr>
                <w:sz w:val="15"/>
                <w:szCs w:val="15"/>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454545"/>
                <w:w w:val="98"/>
              </w:rPr>
              <w:t>Par value</w:t>
            </w:r>
          </w:p>
        </w:tc>
        <w:tc>
          <w:tcPr>
            <w:tcW w:w="140" w:type="dxa"/>
            <w:vAlign w:val="bottom"/>
          </w:tcPr>
          <w:p>
            <w:pPr>
              <w:spacing w:after="0"/>
              <w:rPr>
                <w:sz w:val="15"/>
                <w:szCs w:val="15"/>
                <w:color w:val="auto"/>
              </w:rPr>
            </w:pPr>
          </w:p>
        </w:tc>
        <w:tc>
          <w:tcPr>
            <w:tcW w:w="800" w:type="dxa"/>
            <w:vAlign w:val="bottom"/>
          </w:tcPr>
          <w:p>
            <w:pPr>
              <w:jc w:val="center"/>
              <w:ind w:right="59"/>
              <w:spacing w:after="0" w:line="180" w:lineRule="exact"/>
              <w:rPr>
                <w:sz w:val="20"/>
                <w:szCs w:val="20"/>
                <w:color w:val="auto"/>
              </w:rPr>
            </w:pPr>
            <w:r>
              <w:rPr>
                <w:rFonts w:ascii="Arial" w:cs="Arial" w:eastAsia="Arial" w:hAnsi="Arial"/>
                <w:sz w:val="16"/>
                <w:szCs w:val="16"/>
                <w:b w:val="1"/>
                <w:bCs w:val="1"/>
                <w:color w:val="454545"/>
              </w:rPr>
              <w:t>paid-in</w:t>
            </w:r>
          </w:p>
        </w:tc>
        <w:tc>
          <w:tcPr>
            <w:tcW w:w="120" w:type="dxa"/>
            <w:vAlign w:val="bottom"/>
          </w:tcPr>
          <w:p>
            <w:pPr>
              <w:spacing w:after="0"/>
              <w:rPr>
                <w:sz w:val="15"/>
                <w:szCs w:val="15"/>
                <w:color w:val="auto"/>
              </w:rPr>
            </w:pPr>
          </w:p>
        </w:tc>
        <w:tc>
          <w:tcPr>
            <w:tcW w:w="820" w:type="dxa"/>
            <w:vAlign w:val="bottom"/>
          </w:tcPr>
          <w:p>
            <w:pPr>
              <w:jc w:val="right"/>
              <w:ind w:right="39"/>
              <w:spacing w:after="0" w:line="180" w:lineRule="exact"/>
              <w:rPr>
                <w:sz w:val="20"/>
                <w:szCs w:val="20"/>
                <w:color w:val="auto"/>
              </w:rPr>
            </w:pPr>
            <w:r>
              <w:rPr>
                <w:rFonts w:ascii="Arial" w:cs="Arial" w:eastAsia="Arial" w:hAnsi="Arial"/>
                <w:sz w:val="16"/>
                <w:szCs w:val="16"/>
                <w:b w:val="1"/>
                <w:bCs w:val="1"/>
                <w:color w:val="454545"/>
              </w:rPr>
              <w:t>Retained</w:t>
            </w:r>
          </w:p>
        </w:tc>
        <w:tc>
          <w:tcPr>
            <w:tcW w:w="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454545"/>
              </w:rPr>
              <w:t>Net parent</w:t>
            </w:r>
          </w:p>
        </w:tc>
        <w:tc>
          <w:tcPr>
            <w:tcW w:w="12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454545"/>
              </w:rPr>
              <w:t>income (loss) –</w:t>
            </w:r>
          </w:p>
        </w:tc>
        <w:tc>
          <w:tcPr>
            <w:tcW w:w="12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454545"/>
              </w:rPr>
              <w:t>noncontrolling</w:t>
            </w: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9"/>
        </w:trPr>
        <w:tc>
          <w:tcPr>
            <w:tcW w:w="2860" w:type="dxa"/>
            <w:vAlign w:val="bottom"/>
            <w:tcBorders>
              <w:bottom w:val="single" w:sz="8" w:color="6022A6"/>
            </w:tcBorders>
            <w:vMerge w:val="continue"/>
          </w:tcPr>
          <w:p>
            <w:pPr>
              <w:spacing w:after="0"/>
              <w:rPr>
                <w:sz w:val="20"/>
                <w:szCs w:val="20"/>
                <w:color w:val="auto"/>
              </w:rPr>
            </w:pPr>
          </w:p>
        </w:tc>
        <w:tc>
          <w:tcPr>
            <w:tcW w:w="102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40" w:type="dxa"/>
            <w:vAlign w:val="bottom"/>
            <w:tcBorders>
              <w:bottom w:val="single" w:sz="8" w:color="6022A6"/>
            </w:tcBorders>
          </w:tcPr>
          <w:p>
            <w:pPr>
              <w:spacing w:after="0"/>
              <w:rPr>
                <w:sz w:val="20"/>
                <w:szCs w:val="20"/>
                <w:color w:val="auto"/>
              </w:rPr>
            </w:pPr>
          </w:p>
        </w:tc>
        <w:tc>
          <w:tcPr>
            <w:tcW w:w="840" w:type="dxa"/>
            <w:vAlign w:val="bottom"/>
            <w:tcBorders>
              <w:bottom w:val="single" w:sz="8" w:color="6022A6"/>
            </w:tcBorders>
            <w:vMerge w:val="continue"/>
          </w:tcPr>
          <w:p>
            <w:pPr>
              <w:spacing w:after="0"/>
              <w:rPr>
                <w:sz w:val="20"/>
                <w:szCs w:val="20"/>
                <w:color w:val="auto"/>
              </w:rPr>
            </w:pPr>
          </w:p>
        </w:tc>
        <w:tc>
          <w:tcPr>
            <w:tcW w:w="140" w:type="dxa"/>
            <w:vAlign w:val="bottom"/>
            <w:tcBorders>
              <w:bottom w:val="single" w:sz="8" w:color="6022A6"/>
            </w:tcBorders>
          </w:tcPr>
          <w:p>
            <w:pPr>
              <w:spacing w:after="0"/>
              <w:rPr>
                <w:sz w:val="20"/>
                <w:szCs w:val="20"/>
                <w:color w:val="auto"/>
              </w:rPr>
            </w:pPr>
          </w:p>
        </w:tc>
        <w:tc>
          <w:tcPr>
            <w:tcW w:w="80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w w:val="98"/>
              </w:rPr>
              <w:t>capital</w:t>
            </w:r>
          </w:p>
        </w:tc>
        <w:tc>
          <w:tcPr>
            <w:tcW w:w="12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rPr>
              <w:t>earnings</w:t>
            </w:r>
          </w:p>
        </w:tc>
        <w:tc>
          <w:tcPr>
            <w:tcW w:w="9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investment</w:t>
            </w:r>
          </w:p>
        </w:tc>
        <w:tc>
          <w:tcPr>
            <w:tcW w:w="12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960" w:type="dxa"/>
            <w:vAlign w:val="bottom"/>
            <w:tcBorders>
              <w:bottom w:val="single" w:sz="8" w:color="6022A6"/>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2023</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6,451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4E4E4"/>
            </w:tcBorders>
            <w:gridSpan w:val="2"/>
            <w:shd w:val="clear" w:color="auto" w:fill="E4E4E4"/>
          </w:tcPr>
          <w:p>
            <w:pPr>
              <w:ind w:left="300"/>
              <w:spacing w:after="0"/>
              <w:rPr>
                <w:sz w:val="20"/>
                <w:szCs w:val="20"/>
                <w:color w:val="auto"/>
              </w:rPr>
            </w:pPr>
            <w:r>
              <w:rPr>
                <w:rFonts w:ascii="Arial" w:cs="Arial" w:eastAsia="Arial" w:hAnsi="Arial"/>
                <w:sz w:val="16"/>
                <w:szCs w:val="16"/>
                <w:b w:val="1"/>
                <w:bCs w:val="1"/>
                <w:color w:val="auto"/>
              </w:rPr>
              <w:t>— $</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7,114</w:t>
            </w:r>
          </w:p>
        </w:tc>
        <w:tc>
          <w:tcPr>
            <w:tcW w:w="0" w:type="dxa"/>
            <w:vAlign w:val="bottom"/>
          </w:tcPr>
          <w:p>
            <w:pPr>
              <w:spacing w:after="0"/>
              <w:rPr>
                <w:sz w:val="1"/>
                <w:szCs w:val="1"/>
                <w:color w:val="auto"/>
              </w:rPr>
            </w:pPr>
          </w:p>
        </w:tc>
      </w:tr>
      <w:tr>
        <w:trPr>
          <w:trHeight w:val="219"/>
        </w:trPr>
        <w:tc>
          <w:tcPr>
            <w:tcW w:w="2860" w:type="dxa"/>
            <w:vAlign w:val="bottom"/>
          </w:tcPr>
          <w:p>
            <w:pPr>
              <w:ind w:left="20"/>
              <w:spacing w:after="0"/>
              <w:rPr>
                <w:sz w:val="20"/>
                <w:szCs w:val="20"/>
                <w:color w:val="auto"/>
              </w:rPr>
            </w:pPr>
            <w:r>
              <w:rPr>
                <w:rFonts w:ascii="Arial" w:cs="Arial" w:eastAsia="Arial" w:hAnsi="Arial"/>
                <w:sz w:val="16"/>
                <w:szCs w:val="16"/>
                <w:color w:val="auto"/>
              </w:rPr>
              <w:t>Issuance of common stock in</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connection with employee stock plans,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99"/>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net of shares withheld for employee</w:t>
            </w:r>
          </w:p>
        </w:tc>
        <w:tc>
          <w:tcPr>
            <w:tcW w:w="10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08914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291465"/>
                    </a:xfrm>
                    <a:prstGeom prst="rect">
                      <a:avLst/>
                    </a:prstGeom>
                    <a:noFill/>
                  </pic:spPr>
                </pic:pic>
              </a:graphicData>
            </a:graphic>
          </wp:anchor>
        </w:drawing>
      </w:r>
    </w:p>
    <w:p>
      <w:pPr>
        <w:sectPr>
          <w:pgSz w:w="11900" w:h="16838" w:orient="portrait"/>
          <w:cols w:equalWidth="0" w:num="1">
            <w:col w:w="11180"/>
          </w:cols>
          <w:pgMar w:left="360" w:top="1188" w:right="359" w:bottom="1440" w:gutter="0" w:footer="0" w:header="0"/>
        </w:sectPr>
      </w:pPr>
    </w:p>
    <w:p>
      <w:pPr>
        <w:spacing w:after="0" w:line="68" w:lineRule="exact"/>
        <w:rPr>
          <w:sz w:val="20"/>
          <w:szCs w:val="20"/>
          <w:color w:val="auto"/>
        </w:rPr>
      </w:pPr>
    </w:p>
    <w:p>
      <w:pPr>
        <w:ind w:left="20" w:right="8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20" w:right="760"/>
        <w:spacing w:after="0" w:line="293" w:lineRule="auto"/>
        <w:rPr>
          <w:sz w:val="20"/>
          <w:szCs w:val="20"/>
          <w:color w:val="auto"/>
        </w:rPr>
      </w:pPr>
      <w:r>
        <w:rPr>
          <w:rFonts w:ascii="Arial" w:cs="Arial" w:eastAsia="Arial" w:hAnsi="Arial"/>
          <w:sz w:val="16"/>
          <w:szCs w:val="16"/>
          <w:color w:val="auto"/>
        </w:rPr>
        <w:t>Dividends declared ($0.03 per common share)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8" w:lineRule="exact"/>
        <w:rPr>
          <w:sz w:val="20"/>
          <w:szCs w:val="20"/>
          <w:color w:val="auto"/>
        </w:rPr>
      </w:pPr>
    </w:p>
    <w:p>
      <w:pPr>
        <w:ind w:left="20" w:right="600"/>
        <w:spacing w:after="0" w:line="293" w:lineRule="auto"/>
        <w:rPr>
          <w:sz w:val="20"/>
          <w:szCs w:val="20"/>
          <w:color w:val="auto"/>
        </w:rPr>
      </w:pPr>
      <w:r>
        <w:rPr>
          <w:rFonts w:ascii="Arial" w:cs="Arial" w:eastAsia="Arial" w:hAnsi="Arial"/>
          <w:sz w:val="16"/>
          <w:szCs w:val="16"/>
          <w:color w:val="auto"/>
        </w:rPr>
        <w:t>Changes in equity attributable to noncontrolling interests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375</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(14)</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60" w:type="dxa"/>
            <w:vAlign w:val="bottom"/>
          </w:tcPr>
          <w:p>
            <w:pPr>
              <w:ind w:left="480"/>
              <w:spacing w:after="0"/>
              <w:rPr>
                <w:sz w:val="20"/>
                <w:szCs w:val="20"/>
                <w:color w:val="auto"/>
              </w:rPr>
            </w:pPr>
            <w:r>
              <w:rPr>
                <w:rFonts w:ascii="Arial" w:cs="Arial" w:eastAsia="Arial" w:hAnsi="Arial"/>
                <w:sz w:val="16"/>
                <w:szCs w:val="16"/>
                <w:color w:val="auto"/>
              </w:rPr>
              <w:t>(350)</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ind w:left="520"/>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6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29</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-724535</wp:posOffset>
            </wp:positionV>
            <wp:extent cx="708914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29146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-141605</wp:posOffset>
            </wp:positionV>
            <wp:extent cx="70891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2940" w:space="720"/>
            <w:col w:w="7520"/>
          </w:cols>
          <w:pgMar w:left="360" w:top="1188" w:right="35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Balances as of September 30, 2023</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6,469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7,142</w:t>
            </w:r>
          </w:p>
        </w:tc>
        <w:tc>
          <w:tcPr>
            <w:tcW w:w="0" w:type="dxa"/>
            <w:vAlign w:val="bottom"/>
          </w:tcPr>
          <w:p>
            <w:pPr>
              <w:spacing w:after="0"/>
              <w:rPr>
                <w:sz w:val="1"/>
                <w:szCs w:val="1"/>
                <w:color w:val="auto"/>
              </w:rPr>
            </w:pPr>
          </w:p>
        </w:tc>
      </w:tr>
      <w:tr>
        <w:trPr>
          <w:trHeight w:val="21"/>
        </w:trPr>
        <w:tc>
          <w:tcPr>
            <w:tcW w:w="2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4"/>
                <w:szCs w:val="24"/>
                <w:color w:val="auto"/>
              </w:rPr>
            </w:pPr>
          </w:p>
        </w:tc>
        <w:tc>
          <w:tcPr>
            <w:tcW w:w="2000" w:type="dxa"/>
            <w:vAlign w:val="bottom"/>
            <w:tcBorders>
              <w:bottom w:val="single" w:sz="8" w:color="454545"/>
            </w:tcBorders>
            <w:gridSpan w:val="3"/>
          </w:tcPr>
          <w:p>
            <w:pPr>
              <w:jc w:val="right"/>
              <w:ind w:right="339"/>
              <w:spacing w:after="0"/>
              <w:rPr>
                <w:sz w:val="20"/>
                <w:szCs w:val="20"/>
                <w:color w:val="auto"/>
              </w:rPr>
            </w:pPr>
            <w:r>
              <w:rPr>
                <w:rFonts w:ascii="Arial" w:cs="Arial" w:eastAsia="Arial" w:hAnsi="Arial"/>
                <w:sz w:val="16"/>
                <w:szCs w:val="16"/>
                <w:b w:val="1"/>
                <w:bCs w:val="1"/>
                <w:color w:val="454545"/>
              </w:rPr>
              <w:t>Common stock</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3"/>
                <w:szCs w:val="13"/>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14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Retained</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paid-in</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2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4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8"/>
              </w:rPr>
              <w:t>Par value</w:t>
            </w:r>
          </w:p>
        </w:tc>
        <w:tc>
          <w:tcPr>
            <w:tcW w:w="14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8"/>
              </w:rPr>
              <w:t>capital</w:t>
            </w:r>
          </w:p>
        </w:tc>
        <w:tc>
          <w:tcPr>
            <w:tcW w:w="140" w:type="dxa"/>
            <w:vAlign w:val="bottom"/>
            <w:tcBorders>
              <w:bottom w:val="single" w:sz="8" w:color="6022A6"/>
            </w:tcBorders>
          </w:tcPr>
          <w:p>
            <w:pPr>
              <w:spacing w:after="0"/>
              <w:rPr>
                <w:sz w:val="21"/>
                <w:szCs w:val="21"/>
                <w:color w:val="auto"/>
              </w:rPr>
            </w:pPr>
          </w:p>
        </w:tc>
        <w:tc>
          <w:tcPr>
            <w:tcW w:w="82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color w:val="454545"/>
              </w:rPr>
              <w:t>earnings</w:t>
            </w:r>
          </w:p>
        </w:tc>
        <w:tc>
          <w:tcPr>
            <w:tcW w:w="9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022A6"/>
            </w:tcBorders>
          </w:tcPr>
          <w:p>
            <w:pPr>
              <w:spacing w:after="0"/>
              <w:rPr>
                <w:sz w:val="21"/>
                <w:szCs w:val="21"/>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960" w:type="dxa"/>
            <w:vAlign w:val="bottom"/>
            <w:tcBorders>
              <w:bottom w:val="single" w:sz="8" w:color="6022A6"/>
            </w:tcBorders>
            <w:gridSpan w:val="2"/>
          </w:tcPr>
          <w:p>
            <w:pPr>
              <w:ind w:left="20"/>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3"/>
        </w:trPr>
        <w:tc>
          <w:tcPr>
            <w:tcW w:w="28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2022</w:t>
            </w:r>
          </w:p>
        </w:tc>
        <w:tc>
          <w:tcPr>
            <w:tcW w:w="116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98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92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100" w:type="dxa"/>
            <w:vAlign w:val="bottom"/>
            <w:gridSpan w:val="2"/>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 $</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18,680</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(1,649)</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17,054</w:t>
            </w:r>
          </w:p>
        </w:tc>
        <w:tc>
          <w:tcPr>
            <w:tcW w:w="0" w:type="dxa"/>
            <w:vAlign w:val="bottom"/>
          </w:tcPr>
          <w:p>
            <w:pPr>
              <w:spacing w:after="0"/>
              <w:rPr>
                <w:sz w:val="1"/>
                <w:szCs w:val="1"/>
                <w:color w:val="auto"/>
              </w:rPr>
            </w:pPr>
          </w:p>
        </w:tc>
      </w:tr>
      <w:tr>
        <w:trPr>
          <w:trHeight w:val="21"/>
        </w:trPr>
        <w:tc>
          <w:tcPr>
            <w:tcW w:w="286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180"/>
          </w:cols>
          <w:pgMar w:left="360" w:top="1188" w:right="359" w:bottom="1440" w:gutter="0" w:footer="0" w:header="0"/>
          <w:type w:val="continuous"/>
        </w:sectPr>
      </w:pPr>
    </w:p>
    <w:p>
      <w:pPr>
        <w:ind w:left="20" w:right="8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(to) from GE</w:t>
      </w:r>
    </w:p>
    <w:p>
      <w:pPr>
        <w:spacing w:after="0" w:line="73" w:lineRule="exact"/>
        <w:rPr>
          <w:sz w:val="20"/>
          <w:szCs w:val="20"/>
          <w:color w:val="auto"/>
        </w:rPr>
      </w:pPr>
    </w:p>
    <w:p>
      <w:pPr>
        <w:ind w:left="20" w:right="600"/>
        <w:spacing w:after="0" w:line="293" w:lineRule="auto"/>
        <w:rPr>
          <w:sz w:val="20"/>
          <w:szCs w:val="20"/>
          <w:color w:val="auto"/>
        </w:rPr>
      </w:pPr>
      <w:r>
        <w:rPr>
          <w:rFonts w:ascii="Arial" w:cs="Arial" w:eastAsia="Arial" w:hAnsi="Arial"/>
          <w:sz w:val="16"/>
          <w:szCs w:val="16"/>
          <w:color w:val="auto"/>
        </w:rPr>
        <w:t>Changes in equity attributable to noncontrolling interests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ind w:left="4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487</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ind w:left="4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(293)</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36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ind w:left="4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59"/>
              <w:spacing w:after="0"/>
              <w:rPr>
                <w:sz w:val="20"/>
                <w:szCs w:val="20"/>
                <w:color w:val="auto"/>
              </w:rPr>
            </w:pPr>
            <w:r>
              <w:rPr>
                <w:rFonts w:ascii="Arial" w:cs="Arial" w:eastAsia="Arial" w:hAnsi="Arial"/>
                <w:sz w:val="16"/>
                <w:szCs w:val="16"/>
                <w:color w:val="auto"/>
              </w:rPr>
              <w:t>(366)</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1000" w:type="dxa"/>
            <w:vAlign w:val="bottom"/>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351"/>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ind w:left="4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1000" w:type="dxa"/>
            <w:vAlign w:val="bottom"/>
          </w:tcPr>
          <w:p>
            <w:pPr>
              <w:ind w:left="520"/>
              <w:spacing w:after="0"/>
              <w:rPr>
                <w:sz w:val="20"/>
                <w:szCs w:val="20"/>
                <w:color w:val="auto"/>
              </w:rPr>
            </w:pPr>
            <w:r>
              <w:rPr>
                <w:rFonts w:ascii="Arial" w:cs="Arial" w:eastAsia="Arial" w:hAnsi="Arial"/>
                <w:sz w:val="16"/>
                <w:szCs w:val="16"/>
                <w:color w:val="auto"/>
              </w:rPr>
              <w:t>(4)</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-655320</wp:posOffset>
            </wp:positionV>
            <wp:extent cx="708914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29146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-201295</wp:posOffset>
            </wp:positionV>
            <wp:extent cx="708914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3003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940" w:space="720"/>
            <w:col w:w="7520"/>
          </w:cols>
          <w:pgMar w:left="360" w:top="1188" w:right="359" w:bottom="1440" w:gutter="0" w:footer="0" w:header="0"/>
          <w:type w:val="continuous"/>
        </w:sectPr>
      </w:pPr>
    </w:p>
    <w:p>
      <w:pPr>
        <w:ind w:left="20"/>
        <w:spacing w:after="0"/>
        <w:tabs>
          <w:tab w:leader="none" w:pos="3640" w:val="left"/>
          <w:tab w:leader="none" w:pos="4600" w:val="left"/>
          <w:tab w:leader="none" w:pos="5560" w:val="left"/>
          <w:tab w:leader="none" w:pos="6520" w:val="left"/>
          <w:tab w:leader="none" w:pos="7140" w:val="left"/>
          <w:tab w:leader="none" w:pos="8440" w:val="left"/>
          <w:tab w:leader="none" w:pos="9940" w:val="left"/>
          <w:tab w:leader="none" w:pos="10580" w:val="left"/>
        </w:tabs>
        <w:rPr>
          <w:sz w:val="20"/>
          <w:szCs w:val="20"/>
          <w:color w:val="auto"/>
        </w:rPr>
      </w:pPr>
      <w:r>
        <w:rPr>
          <w:rFonts w:ascii="Arial" w:cs="Arial" w:eastAsia="Arial" w:hAnsi="Arial"/>
          <w:sz w:val="16"/>
          <w:szCs w:val="16"/>
          <w:b w:val="1"/>
          <w:bCs w:val="1"/>
          <w:color w:val="auto"/>
        </w:rPr>
        <w:t>Balances as of September 30, 2022</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18,801 $</w:t>
      </w:r>
      <w:r>
        <w:rPr>
          <w:sz w:val="20"/>
          <w:szCs w:val="20"/>
          <w:color w:val="auto"/>
        </w:rPr>
        <w:tab/>
      </w:r>
      <w:r>
        <w:rPr>
          <w:rFonts w:ascii="Arial" w:cs="Arial" w:eastAsia="Arial" w:hAnsi="Arial"/>
          <w:sz w:val="16"/>
          <w:szCs w:val="16"/>
          <w:b w:val="1"/>
          <w:bCs w:val="1"/>
          <w:color w:val="auto"/>
        </w:rPr>
        <w:t>(1,942) $</w:t>
      </w:r>
      <w:r>
        <w:rPr>
          <w:sz w:val="20"/>
          <w:szCs w:val="20"/>
          <w:color w:val="auto"/>
        </w:rPr>
        <w:tab/>
      </w:r>
      <w:r>
        <w:rPr>
          <w:rFonts w:ascii="Arial" w:cs="Arial" w:eastAsia="Arial" w:hAnsi="Arial"/>
          <w:sz w:val="16"/>
          <w:szCs w:val="16"/>
          <w:b w:val="1"/>
          <w:bCs w:val="1"/>
          <w:color w:val="auto"/>
        </w:rPr>
        <w:t>19 $</w:t>
      </w:r>
      <w:r>
        <w:rPr>
          <w:sz w:val="20"/>
          <w:szCs w:val="20"/>
          <w:color w:val="auto"/>
        </w:rPr>
        <w:tab/>
      </w:r>
      <w:r>
        <w:rPr>
          <w:rFonts w:ascii="Arial" w:cs="Arial" w:eastAsia="Arial" w:hAnsi="Arial"/>
          <w:sz w:val="16"/>
          <w:szCs w:val="16"/>
          <w:b w:val="1"/>
          <w:bCs w:val="1"/>
          <w:color w:val="auto"/>
        </w:rPr>
        <w:t>16,878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89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88" w:right="359" w:bottom="1440" w:gutter="0" w:footer="0" w:header="0"/>
          <w:type w:val="continuous"/>
        </w:sectPr>
      </w:pPr>
    </w:p>
    <w:bookmarkStart w:id="8" w:name="page9"/>
    <w:bookmarkEnd w:id="8"/>
    <w:tbl>
      <w:tblPr>
        <w:tblLayout w:type="fixed"/>
        <w:tblInd w:w="4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216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454545"/>
              </w:rPr>
              <w:t>Common stock</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160" w:type="dxa"/>
            <w:vAlign w:val="bottom"/>
            <w:tcBorders>
              <w:top w:val="single" w:sz="8" w:color="454545"/>
            </w:tcBorders>
          </w:tcPr>
          <w:p>
            <w:pPr>
              <w:spacing w:after="0"/>
              <w:rPr>
                <w:sz w:val="14"/>
                <w:szCs w:val="14"/>
                <w:color w:val="auto"/>
              </w:rPr>
            </w:pPr>
          </w:p>
        </w:tc>
        <w:tc>
          <w:tcPr>
            <w:tcW w:w="840" w:type="dxa"/>
            <w:vAlign w:val="bottom"/>
            <w:tcBorders>
              <w:top w:val="single" w:sz="8" w:color="454545"/>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9"/>
              <w:spacing w:after="0" w:line="171" w:lineRule="exact"/>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rPr>
                <w:sz w:val="14"/>
                <w:szCs w:val="14"/>
                <w:color w:val="auto"/>
              </w:rPr>
            </w:pPr>
          </w:p>
        </w:tc>
        <w:tc>
          <w:tcPr>
            <w:tcW w:w="10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Common</w:t>
            </w:r>
          </w:p>
        </w:tc>
        <w:tc>
          <w:tcPr>
            <w:tcW w:w="840" w:type="dxa"/>
            <w:vAlign w:val="bottom"/>
          </w:tcPr>
          <w:p>
            <w:pPr>
              <w:spacing w:after="0"/>
              <w:rPr>
                <w:sz w:val="15"/>
                <w:szCs w:val="15"/>
                <w:color w:val="auto"/>
              </w:rPr>
            </w:pPr>
          </w:p>
        </w:tc>
        <w:tc>
          <w:tcPr>
            <w:tcW w:w="1080" w:type="dxa"/>
            <w:vAlign w:val="bottom"/>
            <w:gridSpan w:val="2"/>
            <w:vMerge w:val="restart"/>
          </w:tcPr>
          <w:p>
            <w:pPr>
              <w:jc w:val="center"/>
              <w:ind w:right="39"/>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160" w:type="dxa"/>
            <w:vAlign w:val="bottom"/>
          </w:tcPr>
          <w:p>
            <w:pPr>
              <w:jc w:val="center"/>
              <w:ind w:right="19"/>
              <w:spacing w:after="0" w:line="180" w:lineRule="exact"/>
              <w:rPr>
                <w:sz w:val="20"/>
                <w:szCs w:val="20"/>
                <w:color w:val="auto"/>
              </w:rPr>
            </w:pPr>
            <w:r>
              <w:rPr>
                <w:rFonts w:ascii="Arial" w:cs="Arial" w:eastAsia="Arial" w:hAnsi="Arial"/>
                <w:sz w:val="16"/>
                <w:szCs w:val="16"/>
                <w:b w:val="1"/>
                <w:bCs w:val="1"/>
                <w:color w:val="454545"/>
              </w:rPr>
              <w:t>shares</w:t>
            </w: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454545"/>
              </w:rPr>
              <w:t>Par value</w:t>
            </w:r>
          </w:p>
        </w:tc>
        <w:tc>
          <w:tcPr>
            <w:tcW w:w="920" w:type="dxa"/>
            <w:vAlign w:val="bottom"/>
          </w:tcPr>
          <w:p>
            <w:pPr>
              <w:jc w:val="center"/>
              <w:ind w:right="199"/>
              <w:spacing w:after="0" w:line="180"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ind w:left="20"/>
              <w:spacing w:after="0" w:line="180" w:lineRule="exact"/>
              <w:rPr>
                <w:sz w:val="20"/>
                <w:szCs w:val="20"/>
                <w:color w:val="auto"/>
              </w:rPr>
            </w:pPr>
            <w:r>
              <w:rPr>
                <w:rFonts w:ascii="Arial" w:cs="Arial" w:eastAsia="Arial" w:hAnsi="Arial"/>
                <w:sz w:val="16"/>
                <w:szCs w:val="16"/>
                <w:b w:val="1"/>
                <w:bCs w:val="1"/>
                <w:color w:val="454545"/>
              </w:rPr>
              <w:t>Retained</w:t>
            </w:r>
          </w:p>
        </w:tc>
        <w:tc>
          <w:tcPr>
            <w:tcW w:w="9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454545"/>
              </w:rPr>
              <w:t>income (loss) –</w:t>
            </w:r>
          </w:p>
        </w:tc>
        <w:tc>
          <w:tcPr>
            <w:tcW w:w="120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454545"/>
              </w:rPr>
              <w:t>noncontrolling</w:t>
            </w:r>
          </w:p>
        </w:tc>
        <w:tc>
          <w:tcPr>
            <w:tcW w:w="160" w:type="dxa"/>
            <w:vAlign w:val="bottom"/>
          </w:tcPr>
          <w:p>
            <w:pPr>
              <w:spacing w:after="0"/>
              <w:rPr>
                <w:sz w:val="15"/>
                <w:szCs w:val="15"/>
                <w:color w:val="auto"/>
              </w:rPr>
            </w:pPr>
          </w:p>
        </w:tc>
        <w:tc>
          <w:tcPr>
            <w:tcW w:w="740" w:type="dxa"/>
            <w:vAlign w:val="bottom"/>
          </w:tcPr>
          <w:p>
            <w:pPr>
              <w:jc w:val="center"/>
              <w:ind w:right="79"/>
              <w:spacing w:after="0" w:line="180"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2840" w:type="dxa"/>
            <w:vAlign w:val="bottom"/>
            <w:tcBorders>
              <w:bottom w:val="single" w:sz="8" w:color="6022A6"/>
            </w:tcBorders>
            <w:vMerge w:val="continue"/>
          </w:tcPr>
          <w:p>
            <w:pPr>
              <w:spacing w:after="0"/>
              <w:rPr>
                <w:sz w:val="20"/>
                <w:szCs w:val="20"/>
                <w:color w:val="auto"/>
              </w:rPr>
            </w:pPr>
          </w:p>
        </w:tc>
        <w:tc>
          <w:tcPr>
            <w:tcW w:w="116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rPr>
              <w:t>outstanding</w:t>
            </w:r>
          </w:p>
        </w:tc>
        <w:tc>
          <w:tcPr>
            <w:tcW w:w="1000" w:type="dxa"/>
            <w:vAlign w:val="bottom"/>
            <w:tcBorders>
              <w:bottom w:val="single" w:sz="8" w:color="6022A6"/>
            </w:tcBorders>
            <w:gridSpan w:val="2"/>
            <w:vMerge w:val="continue"/>
          </w:tcPr>
          <w:p>
            <w:pPr>
              <w:spacing w:after="0"/>
              <w:rPr>
                <w:sz w:val="20"/>
                <w:szCs w:val="20"/>
                <w:color w:val="auto"/>
              </w:rPr>
            </w:pPr>
          </w:p>
        </w:tc>
        <w:tc>
          <w:tcPr>
            <w:tcW w:w="920" w:type="dxa"/>
            <w:vAlign w:val="bottom"/>
            <w:tcBorders>
              <w:bottom w:val="single" w:sz="8" w:color="6022A6"/>
            </w:tcBorders>
          </w:tcPr>
          <w:p>
            <w:pPr>
              <w:jc w:val="center"/>
              <w:ind w:right="19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color w:val="454545"/>
              </w:rPr>
              <w:t>earnings</w:t>
            </w:r>
          </w:p>
        </w:tc>
        <w:tc>
          <w:tcPr>
            <w:tcW w:w="9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28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1160" w:type="dxa"/>
            <w:vAlign w:val="bottom"/>
            <w:shd w:val="clear" w:color="auto" w:fill="E4E4E4"/>
          </w:tcPr>
          <w:p>
            <w:pPr>
              <w:jc w:val="center"/>
              <w:ind w:left="739"/>
              <w:spacing w:after="0"/>
              <w:rPr>
                <w:sz w:val="20"/>
                <w:szCs w:val="20"/>
                <w:color w:val="auto"/>
              </w:rPr>
            </w:pPr>
            <w:r>
              <w:rPr>
                <w:rFonts w:ascii="Arial" w:cs="Arial" w:eastAsia="Arial" w:hAnsi="Arial"/>
                <w:sz w:val="16"/>
                <w:szCs w:val="16"/>
                <w:b w:val="1"/>
                <w:bCs w:val="1"/>
                <w:color w:val="auto"/>
              </w:rPr>
              <w:t>— $</w:t>
            </w:r>
          </w:p>
        </w:tc>
        <w:tc>
          <w:tcPr>
            <w:tcW w:w="1000" w:type="dxa"/>
            <w:vAlign w:val="bottom"/>
            <w:gridSpan w:val="2"/>
            <w:shd w:val="clear" w:color="auto" w:fill="E4E4E4"/>
          </w:tcPr>
          <w:p>
            <w:pPr>
              <w:ind w:left="600"/>
              <w:spacing w:after="0"/>
              <w:rPr>
                <w:sz w:val="20"/>
                <w:szCs w:val="20"/>
                <w:color w:val="auto"/>
              </w:rPr>
            </w:pPr>
            <w:r>
              <w:rPr>
                <w:rFonts w:ascii="Arial" w:cs="Arial" w:eastAsia="Arial" w:hAnsi="Arial"/>
                <w:sz w:val="16"/>
                <w:szCs w:val="16"/>
                <w:b w:val="1"/>
                <w:bCs w:val="1"/>
                <w:color w:val="auto"/>
              </w:rPr>
              <w:t>— $</w:t>
            </w:r>
          </w:p>
        </w:tc>
        <w:tc>
          <w:tcPr>
            <w:tcW w:w="920" w:type="dxa"/>
            <w:vAlign w:val="bottom"/>
            <w:shd w:val="clear" w:color="auto" w:fill="E4E4E4"/>
          </w:tcPr>
          <w:p>
            <w:pPr>
              <w:ind w:left="560"/>
              <w:spacing w:after="0"/>
              <w:rPr>
                <w:sz w:val="20"/>
                <w:szCs w:val="20"/>
                <w:color w:val="auto"/>
              </w:rPr>
            </w:pPr>
            <w:r>
              <w:rPr>
                <w:rFonts w:ascii="Arial" w:cs="Arial" w:eastAsia="Arial" w:hAnsi="Arial"/>
                <w:sz w:val="16"/>
                <w:szCs w:val="16"/>
                <w:b w:val="1"/>
                <w:bCs w:val="1"/>
                <w:color w:val="auto"/>
              </w:rPr>
              <w:t>— $</w:t>
            </w:r>
          </w:p>
        </w:tc>
        <w:tc>
          <w:tcPr>
            <w:tcW w:w="1100" w:type="dxa"/>
            <w:vAlign w:val="bottom"/>
            <w:gridSpan w:val="2"/>
            <w:shd w:val="clear" w:color="auto" w:fill="E4E4E4"/>
          </w:tcPr>
          <w:p>
            <w:pPr>
              <w:ind w:left="600"/>
              <w:spacing w:after="0"/>
              <w:rPr>
                <w:sz w:val="20"/>
                <w:szCs w:val="20"/>
                <w:color w:val="auto"/>
              </w:rPr>
            </w:pPr>
            <w:r>
              <w:rPr>
                <w:rFonts w:ascii="Arial" w:cs="Arial" w:eastAsia="Arial" w:hAnsi="Arial"/>
                <w:sz w:val="16"/>
                <w:szCs w:val="16"/>
                <w:b w:val="1"/>
                <w:bCs w:val="1"/>
                <w:color w:val="auto"/>
              </w:rPr>
              <w:t>— $</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11,235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28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92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180"/>
          </w:cols>
          <w:pgMar w:left="360" w:top="1134" w:right="359" w:bottom="1440" w:gutter="0" w:footer="0" w:header="0"/>
        </w:sectPr>
      </w:pPr>
    </w:p>
    <w:p>
      <w:pPr>
        <w:ind w:left="60" w:right="280"/>
        <w:spacing w:after="0" w:line="276" w:lineRule="auto"/>
        <w:rPr>
          <w:sz w:val="20"/>
          <w:szCs w:val="20"/>
          <w:color w:val="auto"/>
        </w:rPr>
      </w:pPr>
      <w:r>
        <w:rPr>
          <w:rFonts w:ascii="Arial" w:cs="Arial" w:eastAsia="Arial" w:hAnsi="Arial"/>
          <w:sz w:val="16"/>
          <w:szCs w:val="16"/>
          <w:color w:val="auto"/>
        </w:rPr>
        <w:t>Net transfers from Parent, including Spin-Off-related adjustments</w:t>
      </w:r>
    </w:p>
    <w:p>
      <w:pPr>
        <w:spacing w:after="0" w:line="9" w:lineRule="exact"/>
        <w:rPr>
          <w:sz w:val="20"/>
          <w:szCs w:val="20"/>
          <w:color w:val="auto"/>
        </w:rPr>
      </w:pPr>
    </w:p>
    <w:p>
      <w:pPr>
        <w:ind w:left="60" w:right="480"/>
        <w:spacing w:after="0" w:line="273"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27" w:lineRule="exact"/>
        <w:rPr>
          <w:sz w:val="20"/>
          <w:szCs w:val="20"/>
          <w:color w:val="auto"/>
        </w:rPr>
      </w:pPr>
    </w:p>
    <w:p>
      <w:pPr>
        <w:ind w:left="60" w:right="60"/>
        <w:spacing w:after="0" w:line="273" w:lineRule="auto"/>
        <w:rPr>
          <w:sz w:val="20"/>
          <w:szCs w:val="20"/>
          <w:color w:val="auto"/>
        </w:rPr>
      </w:pPr>
      <w:r>
        <w:rPr>
          <w:rFonts w:ascii="Arial" w:cs="Arial" w:eastAsia="Arial" w:hAnsi="Arial"/>
          <w:sz w:val="16"/>
          <w:szCs w:val="16"/>
          <w:color w:val="auto"/>
        </w:rPr>
        <w:t>Issuance of common stock in connection with employee stock plans, net of shares withheld for employee taxes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(4,842)</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2,000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634"/>
        </w:trPr>
        <w:tc>
          <w:tcPr>
            <w:tcW w:w="660" w:type="dxa"/>
            <w:vAlign w:val="bottom"/>
          </w:tcPr>
          <w:p>
            <w:pPr>
              <w:jc w:val="right"/>
              <w:ind w:right="319"/>
              <w:spacing w:after="0"/>
              <w:rPr>
                <w:sz w:val="20"/>
                <w:szCs w:val="20"/>
                <w:color w:val="auto"/>
              </w:rPr>
            </w:pPr>
            <w:r>
              <w:rPr>
                <w:rFonts w:ascii="Arial" w:cs="Arial" w:eastAsia="Arial" w:hAnsi="Arial"/>
                <w:sz w:val="16"/>
                <w:szCs w:val="16"/>
                <w:color w:val="auto"/>
                <w:w w:val="89"/>
              </w:rPr>
              <w:t>454</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6,388</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(6,393)</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64"/>
        </w:trPr>
        <w:tc>
          <w:tcPr>
            <w:tcW w:w="66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-878840</wp:posOffset>
            </wp:positionV>
            <wp:extent cx="704659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548640"/>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217805</wp:posOffset>
            </wp:positionV>
            <wp:extent cx="704659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29146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2880" w:space="720"/>
            <w:col w:w="7580"/>
          </w:cols>
          <w:pgMar w:left="360" w:top="1134" w:right="359" w:bottom="1440" w:gutter="0" w:footer="0" w:header="0"/>
          <w:type w:val="continuous"/>
        </w:sectPr>
      </w:pPr>
    </w:p>
    <w:p>
      <w:pPr>
        <w:ind w:left="60" w:right="8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60" w:right="760"/>
        <w:spacing w:after="0" w:line="293" w:lineRule="auto"/>
        <w:rPr>
          <w:sz w:val="20"/>
          <w:szCs w:val="20"/>
          <w:color w:val="auto"/>
        </w:rPr>
      </w:pPr>
      <w:r>
        <w:rPr>
          <w:rFonts w:ascii="Arial" w:cs="Arial" w:eastAsia="Arial" w:hAnsi="Arial"/>
          <w:sz w:val="16"/>
          <w:szCs w:val="16"/>
          <w:color w:val="auto"/>
        </w:rPr>
        <w:t>Dividends declared ($0.09 per common share)</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comprehensive income (loss)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attributable to GE HealthCare</w:t>
      </w:r>
    </w:p>
    <w:p>
      <w:pPr>
        <w:spacing w:after="0" w:line="68" w:lineRule="exact"/>
        <w:rPr>
          <w:sz w:val="20"/>
          <w:szCs w:val="20"/>
          <w:color w:val="auto"/>
        </w:rPr>
      </w:pPr>
    </w:p>
    <w:p>
      <w:pPr>
        <w:ind w:left="60" w:right="600"/>
        <w:spacing w:after="0" w:line="293" w:lineRule="auto"/>
        <w:rPr>
          <w:sz w:val="20"/>
          <w:szCs w:val="20"/>
          <w:color w:val="auto"/>
        </w:rPr>
      </w:pPr>
      <w:r>
        <w:rPr>
          <w:rFonts w:ascii="Arial" w:cs="Arial" w:eastAsia="Arial" w:hAnsi="Arial"/>
          <w:sz w:val="16"/>
          <w:szCs w:val="16"/>
          <w:color w:val="auto"/>
        </w:rPr>
        <w:t>Changes in equity attributable to noncontrolling interests</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60" w:right="280"/>
        <w:spacing w:after="0" w:line="278"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1,165</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1,165</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(41)</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480"/>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81</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(187)</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-1015365</wp:posOffset>
            </wp:positionV>
            <wp:extent cx="704659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29146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-433070</wp:posOffset>
            </wp:positionV>
            <wp:extent cx="70465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16319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2980" w:space="720"/>
            <w:col w:w="7480"/>
          </w:cols>
          <w:pgMar w:left="360" w:top="1134" w:right="35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40" w:type="dxa"/>
            <w:vAlign w:val="bottom"/>
          </w:tcPr>
          <w:p>
            <w:pPr>
              <w:spacing w:after="0"/>
              <w:rPr>
                <w:sz w:val="22"/>
                <w:szCs w:val="22"/>
                <w:color w:val="auto"/>
              </w:rPr>
            </w:pPr>
          </w:p>
        </w:tc>
        <w:tc>
          <w:tcPr>
            <w:tcW w:w="282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September 30, 2023</w:t>
            </w: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600" w:type="dxa"/>
            <w:vAlign w:val="bottom"/>
            <w:tcBorders>
              <w:top w:val="single" w:sz="8" w:color="auto"/>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6,469</w:t>
            </w:r>
          </w:p>
        </w:tc>
        <w:tc>
          <w:tcPr>
            <w:tcW w:w="1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c>
          <w:tcPr>
            <w:tcW w:w="260" w:type="dxa"/>
            <w:vAlign w:val="bottom"/>
            <w:tcBorders>
              <w:top w:val="single" w:sz="8" w:color="auto"/>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E4E4E4"/>
            </w:tcBorders>
            <w:gridSpan w:val="2"/>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 $</w:t>
            </w:r>
          </w:p>
        </w:tc>
        <w:tc>
          <w:tcPr>
            <w:tcW w:w="10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(280)</w:t>
            </w:r>
          </w:p>
        </w:tc>
        <w:tc>
          <w:tcPr>
            <w:tcW w:w="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660" w:type="dxa"/>
            <w:vAlign w:val="bottom"/>
            <w:tcBorders>
              <w:top w:val="single" w:sz="8" w:color="auto"/>
              <w:bottom w:val="single" w:sz="8" w:color="454545"/>
            </w:tcBorders>
            <w:gridSpan w:val="2"/>
          </w:tcPr>
          <w:p>
            <w:pPr>
              <w:jc w:val="center"/>
              <w:ind w:left="239"/>
              <w:spacing w:after="0"/>
              <w:rPr>
                <w:sz w:val="20"/>
                <w:szCs w:val="20"/>
                <w:color w:val="auto"/>
              </w:rPr>
            </w:pPr>
            <w:r>
              <w:rPr>
                <w:rFonts w:ascii="Arial" w:cs="Arial" w:eastAsia="Arial" w:hAnsi="Arial"/>
                <w:sz w:val="16"/>
                <w:szCs w:val="16"/>
                <w:b w:val="1"/>
                <w:bCs w:val="1"/>
                <w:color w:val="454545"/>
              </w:rPr>
              <w:t>Common stock</w:t>
            </w:r>
          </w:p>
        </w:tc>
        <w:tc>
          <w:tcPr>
            <w:tcW w:w="340" w:type="dxa"/>
            <w:vAlign w:val="bottom"/>
            <w:tcBorders>
              <w:top w:val="single" w:sz="8" w:color="auto"/>
              <w:bottom w:val="single" w:sz="8" w:color="454545"/>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454545"/>
              </w:rPr>
              <w:t>Equity</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right="23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454545"/>
              </w:rPr>
              <w:t>Retained</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Net parent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454545"/>
              </w:rPr>
              <w:t>paid-in</w:t>
            </w:r>
          </w:p>
        </w:tc>
        <w:tc>
          <w:tcPr>
            <w:tcW w:w="9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6022A6"/>
            </w:tcBorders>
            <w:gridSpan w:val="2"/>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6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940" w:type="dxa"/>
            <w:vAlign w:val="bottom"/>
            <w:tcBorders>
              <w:bottom w:val="single" w:sz="8" w:color="6022A6"/>
            </w:tcBorders>
            <w:gridSpan w:val="2"/>
          </w:tcPr>
          <w:p>
            <w:pPr>
              <w:ind w:left="100"/>
              <w:spacing w:after="0"/>
              <w:rPr>
                <w:sz w:val="20"/>
                <w:szCs w:val="20"/>
                <w:color w:val="auto"/>
              </w:rPr>
            </w:pPr>
            <w:r>
              <w:rPr>
                <w:rFonts w:ascii="Arial" w:cs="Arial" w:eastAsia="Arial" w:hAnsi="Arial"/>
                <w:sz w:val="16"/>
                <w:szCs w:val="16"/>
                <w:b w:val="1"/>
                <w:bCs w:val="1"/>
                <w:color w:val="454545"/>
              </w:rPr>
              <w:t>Par value</w:t>
            </w:r>
          </w:p>
        </w:tc>
        <w:tc>
          <w:tcPr>
            <w:tcW w:w="160" w:type="dxa"/>
            <w:vAlign w:val="bottom"/>
            <w:tcBorders>
              <w:bottom w:val="single" w:sz="8" w:color="6022A6"/>
            </w:tcBorders>
          </w:tcPr>
          <w:p>
            <w:pPr>
              <w:spacing w:after="0"/>
              <w:rPr>
                <w:sz w:val="21"/>
                <w:szCs w:val="21"/>
                <w:color w:val="auto"/>
              </w:rPr>
            </w:pPr>
          </w:p>
        </w:tc>
        <w:tc>
          <w:tcPr>
            <w:tcW w:w="80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8"/>
              </w:rPr>
              <w:t>capital</w:t>
            </w:r>
          </w:p>
        </w:tc>
        <w:tc>
          <w:tcPr>
            <w:tcW w:w="12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spacing w:after="0"/>
              <w:rPr>
                <w:sz w:val="20"/>
                <w:szCs w:val="20"/>
                <w:color w:val="auto"/>
              </w:rPr>
            </w:pPr>
            <w:r>
              <w:rPr>
                <w:rFonts w:ascii="Arial" w:cs="Arial" w:eastAsia="Arial" w:hAnsi="Arial"/>
                <w:sz w:val="16"/>
                <w:szCs w:val="16"/>
                <w:b w:val="1"/>
                <w:bCs w:val="1"/>
                <w:color w:val="454545"/>
              </w:rPr>
              <w:t>earnings</w:t>
            </w:r>
          </w:p>
        </w:tc>
        <w:tc>
          <w:tcPr>
            <w:tcW w:w="92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rPr>
              <w:t>investment</w:t>
            </w:r>
          </w:p>
        </w:tc>
        <w:tc>
          <w:tcPr>
            <w:tcW w:w="32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23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960" w:type="dxa"/>
            <w:vAlign w:val="bottom"/>
            <w:tcBorders>
              <w:bottom w:val="single" w:sz="8" w:color="6022A6"/>
            </w:tcBorders>
            <w:gridSpan w:val="3"/>
          </w:tcPr>
          <w:p>
            <w:pPr>
              <w:ind w:left="20"/>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3"/>
        </w:trPr>
        <w:tc>
          <w:tcPr>
            <w:tcW w:w="2860" w:type="dxa"/>
            <w:vAlign w:val="bottom"/>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2021</w:t>
            </w:r>
          </w:p>
        </w:tc>
        <w:tc>
          <w:tcPr>
            <w:tcW w:w="1660" w:type="dxa"/>
            <w:vAlign w:val="bottom"/>
            <w:gridSpan w:val="2"/>
            <w:shd w:val="clear" w:color="auto" w:fill="E4E4E4"/>
          </w:tcPr>
          <w:p>
            <w:pPr>
              <w:jc w:val="center"/>
              <w:ind w:left="219"/>
              <w:spacing w:after="0"/>
              <w:rPr>
                <w:sz w:val="20"/>
                <w:szCs w:val="20"/>
                <w:color w:val="auto"/>
              </w:rPr>
            </w:pPr>
            <w:r>
              <w:rPr>
                <w:rFonts w:ascii="Arial" w:cs="Arial" w:eastAsia="Arial" w:hAnsi="Arial"/>
                <w:sz w:val="16"/>
                <w:szCs w:val="16"/>
                <w:b w:val="1"/>
                <w:bCs w:val="1"/>
                <w:color w:val="auto"/>
              </w:rPr>
              <w:t>— $</w:t>
            </w:r>
          </w:p>
        </w:tc>
        <w:tc>
          <w:tcPr>
            <w:tcW w:w="500" w:type="dxa"/>
            <w:vAlign w:val="bottom"/>
            <w:gridSpan w:val="2"/>
            <w:shd w:val="clear" w:color="auto" w:fill="E4E4E4"/>
          </w:tcPr>
          <w:p>
            <w:pPr>
              <w:jc w:val="center"/>
              <w:spacing w:after="0"/>
              <w:rPr>
                <w:sz w:val="20"/>
                <w:szCs w:val="20"/>
                <w:color w:val="auto"/>
              </w:rPr>
            </w:pPr>
            <w:r>
              <w:rPr>
                <w:rFonts w:ascii="Arial" w:cs="Arial" w:eastAsia="Arial" w:hAnsi="Arial"/>
                <w:sz w:val="16"/>
                <w:szCs w:val="16"/>
                <w:b w:val="1"/>
                <w:bCs w:val="1"/>
                <w:color w:val="auto"/>
              </w:rPr>
              <w:t>— $</w:t>
            </w:r>
          </w:p>
        </w:tc>
        <w:tc>
          <w:tcPr>
            <w:tcW w:w="92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100" w:type="dxa"/>
            <w:vAlign w:val="bottom"/>
            <w:gridSpan w:val="2"/>
            <w:shd w:val="clear" w:color="auto" w:fill="E4E4E4"/>
          </w:tcPr>
          <w:p>
            <w:pPr>
              <w:ind w:left="600"/>
              <w:spacing w:after="0"/>
              <w:rPr>
                <w:sz w:val="20"/>
                <w:szCs w:val="20"/>
                <w:color w:val="auto"/>
              </w:rPr>
            </w:pPr>
            <w:r>
              <w:rPr>
                <w:rFonts w:ascii="Arial" w:cs="Arial" w:eastAsia="Arial" w:hAnsi="Arial"/>
                <w:sz w:val="16"/>
                <w:szCs w:val="16"/>
                <w:b w:val="1"/>
                <w:bCs w:val="1"/>
                <w:color w:val="auto"/>
              </w:rPr>
              <w:t>— $</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17,692</w:t>
            </w:r>
          </w:p>
        </w:tc>
        <w:tc>
          <w:tcPr>
            <w:tcW w:w="320" w:type="dxa"/>
            <w:vAlign w:val="bottom"/>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(1,037)</w:t>
            </w:r>
          </w:p>
        </w:tc>
        <w:tc>
          <w:tcPr>
            <w:tcW w:w="20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16,676</w:t>
            </w:r>
          </w:p>
        </w:tc>
        <w:tc>
          <w:tcPr>
            <w:tcW w:w="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shd w:val="clear" w:color="auto" w:fill="E4E4E4"/>
          </w:tcPr>
          <w:p>
            <w:pPr>
              <w:spacing w:after="0" w:line="20" w:lineRule="exact"/>
              <w:rPr>
                <w:sz w:val="1"/>
                <w:szCs w:val="1"/>
                <w:color w:val="auto"/>
              </w:rPr>
            </w:pPr>
          </w:p>
        </w:tc>
        <w:tc>
          <w:tcPr>
            <w:tcW w:w="2820" w:type="dxa"/>
            <w:vAlign w:val="bottom"/>
            <w:shd w:val="clear" w:color="auto" w:fill="E4E4E4"/>
          </w:tcPr>
          <w:p>
            <w:pPr>
              <w:spacing w:after="0" w:line="20" w:lineRule="exact"/>
              <w:rPr>
                <w:sz w:val="1"/>
                <w:szCs w:val="1"/>
                <w:color w:val="auto"/>
              </w:rPr>
            </w:pPr>
          </w:p>
        </w:tc>
        <w:tc>
          <w:tcPr>
            <w:tcW w:w="106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32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180"/>
          </w:cols>
          <w:pgMar w:left="360" w:top="1134" w:right="359" w:bottom="1440" w:gutter="0" w:footer="0" w:header="0"/>
          <w:type w:val="continuous"/>
        </w:sectPr>
      </w:pPr>
    </w:p>
    <w:p>
      <w:pPr>
        <w:ind w:left="20" w:right="8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(to) from GE</w:t>
      </w:r>
    </w:p>
    <w:p>
      <w:pPr>
        <w:spacing w:after="0" w:line="73" w:lineRule="exact"/>
        <w:rPr>
          <w:sz w:val="20"/>
          <w:szCs w:val="20"/>
          <w:color w:val="auto"/>
        </w:rPr>
      </w:pPr>
    </w:p>
    <w:p>
      <w:pPr>
        <w:ind w:left="20" w:right="600"/>
        <w:spacing w:after="0" w:line="293" w:lineRule="auto"/>
        <w:rPr>
          <w:sz w:val="20"/>
          <w:szCs w:val="20"/>
          <w:color w:val="auto"/>
        </w:rPr>
      </w:pPr>
      <w:r>
        <w:rPr>
          <w:rFonts w:ascii="Arial" w:cs="Arial" w:eastAsia="Arial" w:hAnsi="Arial"/>
          <w:sz w:val="16"/>
          <w:szCs w:val="16"/>
          <w:color w:val="auto"/>
        </w:rPr>
        <w:t>Changes in equity attributable to noncontrolling interests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1,362</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960" w:type="dxa"/>
            <w:vAlign w:val="bottom"/>
          </w:tcPr>
          <w:p>
            <w:pPr>
              <w:ind w:left="5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1,362</w:t>
            </w:r>
          </w:p>
        </w:tc>
      </w:tr>
      <w:tr>
        <w:trPr>
          <w:trHeight w:val="459"/>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(905)</w:t>
            </w:r>
          </w:p>
        </w:tc>
        <w:tc>
          <w:tcPr>
            <w:tcW w:w="960" w:type="dxa"/>
            <w:vAlign w:val="bottom"/>
          </w:tcPr>
          <w:p>
            <w:pPr>
              <w:ind w:left="5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365"/>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(253)</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960" w:type="dxa"/>
            <w:vAlign w:val="bottom"/>
          </w:tcPr>
          <w:p>
            <w:pPr>
              <w:ind w:left="5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51"/>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400"/>
              <w:spacing w:after="0"/>
              <w:rPr>
                <w:sz w:val="20"/>
                <w:szCs w:val="20"/>
                <w:color w:val="auto"/>
              </w:rPr>
            </w:pPr>
            <w:r>
              <w:rPr>
                <w:rFonts w:ascii="Arial" w:cs="Arial" w:eastAsia="Arial" w:hAnsi="Arial"/>
                <w:sz w:val="16"/>
                <w:szCs w:val="16"/>
                <w:color w:val="auto"/>
              </w:rPr>
              <w:t>—</w:t>
            </w: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960" w:type="dxa"/>
            <w:vAlign w:val="bottom"/>
          </w:tcPr>
          <w:p>
            <w:pPr>
              <w:ind w:left="520"/>
              <w:spacing w:after="0"/>
              <w:rPr>
                <w:sz w:val="20"/>
                <w:szCs w:val="20"/>
                <w:color w:val="auto"/>
              </w:rPr>
            </w:pPr>
            <w:r>
              <w:rPr>
                <w:rFonts w:ascii="Arial" w:cs="Arial" w:eastAsia="Arial" w:hAnsi="Arial"/>
                <w:sz w:val="16"/>
                <w:szCs w:val="16"/>
                <w:color w:val="auto"/>
              </w:rPr>
              <w:t>(2)</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-655320</wp:posOffset>
            </wp:positionV>
            <wp:extent cx="708914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9146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-201295</wp:posOffset>
            </wp:positionV>
            <wp:extent cx="708914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3003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940" w:space="720"/>
            <w:col w:w="7520"/>
          </w:cols>
          <w:pgMar w:left="360" w:top="1134" w:right="359" w:bottom="1440" w:gutter="0" w:footer="0" w:header="0"/>
          <w:type w:val="continuous"/>
        </w:sectPr>
      </w:pPr>
    </w:p>
    <w:p>
      <w:pPr>
        <w:ind w:left="20"/>
        <w:spacing w:after="0"/>
        <w:tabs>
          <w:tab w:leader="none" w:pos="3640" w:val="left"/>
          <w:tab w:leader="none" w:pos="4600" w:val="left"/>
          <w:tab w:leader="none" w:pos="5560" w:val="left"/>
          <w:tab w:leader="none" w:pos="6520" w:val="left"/>
          <w:tab w:leader="none" w:pos="7140" w:val="left"/>
          <w:tab w:leader="none" w:pos="8440" w:val="left"/>
          <w:tab w:leader="none" w:pos="9940" w:val="left"/>
          <w:tab w:leader="none" w:pos="10580" w:val="left"/>
        </w:tabs>
        <w:rPr>
          <w:sz w:val="20"/>
          <w:szCs w:val="20"/>
          <w:color w:val="auto"/>
        </w:rPr>
      </w:pPr>
      <w:r>
        <w:rPr>
          <w:rFonts w:ascii="Arial" w:cs="Arial" w:eastAsia="Arial" w:hAnsi="Arial"/>
          <w:sz w:val="16"/>
          <w:szCs w:val="16"/>
          <w:b w:val="1"/>
          <w:bCs w:val="1"/>
          <w:color w:val="auto"/>
        </w:rPr>
        <w:t>Balances as of September 30, 2022</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18,801 $</w:t>
      </w:r>
      <w:r>
        <w:rPr>
          <w:sz w:val="20"/>
          <w:szCs w:val="20"/>
          <w:color w:val="auto"/>
        </w:rPr>
        <w:tab/>
      </w:r>
      <w:r>
        <w:rPr>
          <w:rFonts w:ascii="Arial" w:cs="Arial" w:eastAsia="Arial" w:hAnsi="Arial"/>
          <w:sz w:val="16"/>
          <w:szCs w:val="16"/>
          <w:b w:val="1"/>
          <w:bCs w:val="1"/>
          <w:color w:val="auto"/>
        </w:rPr>
        <w:t>(1,942) $</w:t>
      </w:r>
      <w:r>
        <w:rPr>
          <w:sz w:val="20"/>
          <w:szCs w:val="20"/>
          <w:color w:val="auto"/>
        </w:rPr>
        <w:tab/>
      </w:r>
      <w:r>
        <w:rPr>
          <w:rFonts w:ascii="Arial" w:cs="Arial" w:eastAsia="Arial" w:hAnsi="Arial"/>
          <w:sz w:val="16"/>
          <w:szCs w:val="16"/>
          <w:b w:val="1"/>
          <w:bCs w:val="1"/>
          <w:color w:val="auto"/>
        </w:rPr>
        <w:t>19 $</w:t>
      </w:r>
      <w:r>
        <w:rPr>
          <w:sz w:val="20"/>
          <w:szCs w:val="20"/>
          <w:color w:val="auto"/>
        </w:rPr>
        <w:tab/>
      </w:r>
      <w:r>
        <w:rPr>
          <w:rFonts w:ascii="Arial" w:cs="Arial" w:eastAsia="Arial" w:hAnsi="Arial"/>
          <w:sz w:val="16"/>
          <w:szCs w:val="16"/>
          <w:b w:val="1"/>
          <w:bCs w:val="1"/>
          <w:color w:val="auto"/>
        </w:rPr>
        <w:t>16,878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Cash Flows (Unaudited)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6"/>
        </w:trPr>
        <w:tc>
          <w:tcPr>
            <w:tcW w:w="8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r>
      <w:tr>
        <w:trPr>
          <w:trHeight w:val="230"/>
        </w:trPr>
        <w:tc>
          <w:tcPr>
            <w:tcW w:w="8220" w:type="dxa"/>
            <w:vAlign w:val="bottom"/>
          </w:tcPr>
          <w:p>
            <w:pPr>
              <w:spacing w:after="0"/>
              <w:rPr>
                <w:sz w:val="20"/>
                <w:szCs w:val="20"/>
                <w:color w:val="auto"/>
              </w:rPr>
            </w:pPr>
          </w:p>
        </w:tc>
        <w:tc>
          <w:tcPr>
            <w:tcW w:w="28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40" w:type="dxa"/>
            <w:vAlign w:val="bottom"/>
            <w:tcBorders>
              <w:bottom w:val="single" w:sz="8" w:color="454545"/>
            </w:tcBorders>
          </w:tcPr>
          <w:p>
            <w:pPr>
              <w:spacing w:after="0"/>
              <w:rPr>
                <w:sz w:val="20"/>
                <w:szCs w:val="20"/>
                <w:color w:val="auto"/>
              </w:rPr>
            </w:pPr>
          </w:p>
        </w:tc>
      </w:tr>
      <w:tr>
        <w:trPr>
          <w:trHeight w:val="254"/>
        </w:trPr>
        <w:tc>
          <w:tcPr>
            <w:tcW w:w="822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80" w:type="dxa"/>
            <w:vAlign w:val="bottom"/>
            <w:tcBorders>
              <w:bottom w:val="single" w:sz="8" w:color="6022A6"/>
            </w:tcBorders>
          </w:tcPr>
          <w:p>
            <w:pPr>
              <w:spacing w:after="0"/>
              <w:rPr>
                <w:sz w:val="22"/>
                <w:szCs w:val="22"/>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540" w:type="dxa"/>
            <w:vAlign w:val="bottom"/>
            <w:tcBorders>
              <w:bottom w:val="single" w:sz="8" w:color="6022A6"/>
            </w:tcBorders>
          </w:tcPr>
          <w:p>
            <w:pPr>
              <w:spacing w:after="0"/>
              <w:rPr>
                <w:sz w:val="22"/>
                <w:szCs w:val="22"/>
                <w:color w:val="auto"/>
              </w:rPr>
            </w:pPr>
          </w:p>
        </w:tc>
        <w:tc>
          <w:tcPr>
            <w:tcW w:w="9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2022</w:t>
            </w:r>
          </w:p>
        </w:tc>
      </w:tr>
      <w:tr>
        <w:trPr>
          <w:trHeight w:val="230"/>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1,198</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1,394</w:t>
            </w: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1,202</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1,382</w:t>
            </w: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Adjustments to reconcile Net income from continuing operations to Cash from (used for) operating activities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fair value remeasurement of contingent consideration</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(375)</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Cash paid during the year for interest</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 and dispositions: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Receivables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r>
      <w:tr>
        <w:trPr>
          <w:trHeight w:val="224"/>
        </w:trPr>
        <w:tc>
          <w:tcPr>
            <w:tcW w:w="8220" w:type="dxa"/>
            <w:vAlign w:val="bottom"/>
          </w:tcPr>
          <w:p>
            <w:pPr>
              <w:ind w:left="220"/>
              <w:spacing w:after="0"/>
              <w:rPr>
                <w:sz w:val="20"/>
                <w:szCs w:val="20"/>
                <w:color w:val="auto"/>
              </w:rPr>
            </w:pPr>
            <w:r>
              <w:rPr>
                <w:rFonts w:ascii="Arial" w:cs="Arial" w:eastAsia="Arial" w:hAnsi="Arial"/>
                <w:sz w:val="16"/>
                <w:szCs w:val="16"/>
                <w:color w:val="auto"/>
              </w:rPr>
              <w:t>Due from related parties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369</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Due to related parties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All other operating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8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1,051</w:t>
            </w:r>
          </w:p>
        </w:tc>
        <w:tc>
          <w:tcPr>
            <w:tcW w:w="54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1,071</w:t>
            </w:r>
          </w:p>
        </w:tc>
      </w:tr>
      <w:tr>
        <w:trPr>
          <w:trHeight w:val="229"/>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
        </w:trPr>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(233)</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All other investing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28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w:t>
            </w:r>
          </w:p>
        </w:tc>
        <w:tc>
          <w:tcPr>
            <w:tcW w:w="54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(303)</w:t>
            </w:r>
          </w:p>
        </w:tc>
      </w:tr>
      <w:tr>
        <w:trPr>
          <w:trHeight w:val="229"/>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
        </w:trPr>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2,020</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Redemption of noncontrolling interests</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5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Net transfers (to) from GE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(1,317)</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3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financing activities</w:t>
            </w: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54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w:t>
            </w:r>
          </w:p>
        </w:tc>
      </w:tr>
      <w:tr>
        <w:trPr>
          <w:trHeight w:val="229"/>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422</w:t>
            </w: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r>
      <w:tr>
        <w:trPr>
          <w:trHeight w:val="21"/>
        </w:trPr>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1"/>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54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r>
      <w:tr>
        <w:trPr>
          <w:trHeight w:val="229"/>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r>
      <w:tr>
        <w:trPr>
          <w:trHeight w:val="21"/>
        </w:trPr>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1"/>
        </w:trPr>
        <w:tc>
          <w:tcPr>
            <w:tcW w:w="8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c>
          <w:tcPr>
            <w:tcW w:w="54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561</w:t>
            </w:r>
          </w:p>
        </w:tc>
      </w:tr>
      <w:tr>
        <w:trPr>
          <w:trHeight w:val="217"/>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as of September 30</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w:t>
            </w:r>
          </w:p>
        </w:tc>
      </w:tr>
      <w:tr>
        <w:trPr>
          <w:trHeight w:val="33"/>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ectPr>
          <w:pgSz w:w="11900" w:h="16838" w:orient="portrait"/>
          <w:cols w:equalWidth="0" w:num="1">
            <w:col w:w="11180"/>
          </w:cols>
          <w:pgMar w:left="360" w:top="11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88"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5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GE HealthCare Technologies Inc. (“GE HealthCare,” the “Company,” “our,”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21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January 3, 2023 (the “Distribution Date”), the General Electric Company (“GE” or “Parent”) completed the previously announced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Our common stock is listed under the symbol “GEHC” on the Nasdaq Stock Market LLC (“Nasdaq”). As of September 30, 2023, GE’s beneficial ownership was approximately 13.5% of the Company’s outstanding common stock.</w:t>
      </w:r>
    </w:p>
    <w:p>
      <w:pPr>
        <w:spacing w:after="0" w:line="211"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$2,840 million. These items substantially consisted of the transfer of: (1) certain pension plan liabilities and assets as described in Note 9, “Postretirement Benefit Plans,” (2) certain deferred income taxes as described in Note 10, “Income Taxes,” (3) deferred compensation liabilities of $548 million, and (4) employee termination obligations as described in Note 14, “Restructuring and Other Activities – Net.”</w:t>
      </w:r>
    </w:p>
    <w:p>
      <w:pPr>
        <w:spacing w:after="0" w:line="211" w:lineRule="exact"/>
        <w:rPr>
          <w:sz w:val="20"/>
          <w:szCs w:val="20"/>
          <w:color w:val="auto"/>
        </w:rPr>
      </w:pPr>
    </w:p>
    <w:p>
      <w:pPr>
        <w:ind w:right="640"/>
        <w:spacing w:after="0" w:line="293"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18, “Related Parties” for more information on these agreements.</w:t>
      </w:r>
    </w:p>
    <w:p>
      <w:pPr>
        <w:spacing w:after="0" w:line="185"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(1) GE’s healthcare business prior to the Spin-Off as a carve-out business of GE with related condensed combined financial statements and (2) GE HealthCare Technologies Inc. and its subsidiaries following the Spin-Off with related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5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condensed consolidated and combined financial statements have been prepared in accordance with United States (“U.S.”) generally accepted accounting principles (“U.S. GAAP”) and present the historical results of operations and comprehensive income (loss) for the three and nine months ended September 30, 2023 and 2022, cash flows for the nine months ended September 30, 2023 and 2022, and the financial position as of September 30, 2023 and December 31, 2022. It is management’s opinion that these financial statements include all normal and recurring adjustments necessary for a fair presentation of the Company’s financial position and operating results. The following tables are presented in millions of U.S dollars (“USD”) unless otherwise stated.</w:t>
      </w:r>
    </w:p>
    <w:p>
      <w:pPr>
        <w:spacing w:after="0" w:line="200" w:lineRule="exact"/>
        <w:rPr>
          <w:sz w:val="20"/>
          <w:szCs w:val="20"/>
          <w:color w:val="auto"/>
        </w:rPr>
      </w:pP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All intercompany balances and transactions within the Company have been eliminated in the condensed consolidated and combined financial statements. These financial statements include certain transactions with GE, which are disclosed as related party transactions. See Note 18, “Related Parties” for further information.</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Prior to the Spin-Off, the condensed combined financial statements were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 condensed combined financial statements do not purport to reflect what the results of operations, comprehensive income (loss), financial position, or cash flows would have been had the Company operated as a separate, stand-alone entity prior to the Spin-Off.</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The condensed consolidated and combined financial statements should be read in conjunction with the Company’s audited combined financial statements and notes included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ESTIMATES AND ASSUMPTIONS.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preparation of the condensed consolidated and combined financial statements in conformity with U.S. GAAP requires management to make estimates based on assumptions about current, and for some estimates, future, economic and market conditions, which affect the reported amounts and related disclosures in the condensed consolidated and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2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There have been no material impacts to our accounting estimates as of September 30, 2023 and December 31, 2022, or the results for the three and nine months ended September 30, 2023 and 2022, from the COVID-19 pandemic. The federal COVID-19 Public Health Emergency declaration in the U.S. ended in May 2023, and COVID-19 restrictions have been lifted in many locations globally.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CHANGES.</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interest and penalties related to unrecognized income tax benefits may either be classified as income tax expense or interest expense in the condensed consolidated statements of operations. In the first quarter of 2023, the Company changed its accounting policy for presentation of interest expense on uncertain tax positions. The interest was previously presented within “Interest and other financial charges – net” and has changed to being presented within “Benefit (provision) for income taxes.” The Company believes this presentation is preferable because the cost is related to income tax matters and this presentation enhances comparability with our peers. The effects of the change in accounting have been prospectively applied to periods beginning in the first quarter of 2023 and were not material to any previously reported periods prior to March 31, 2023.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the Condensed Consolidated and Combined Financial Statements</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 xml:space="preserve">In September 2022, the Financial Accounting Standards Board (“FASB”) issued Accounting Standards Update (“ASU”) No. 2022-04, </w:t>
      </w:r>
      <w:r>
        <w:rPr>
          <w:rFonts w:ascii="Arial" w:cs="Arial" w:eastAsia="Arial" w:hAnsi="Arial"/>
          <w:sz w:val="16"/>
          <w:szCs w:val="16"/>
          <w:i w:val="1"/>
          <w:iCs w:val="1"/>
          <w:color w:val="auto"/>
        </w:rPr>
        <w:t>Liabilities – Supplier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Programs (Subtopic 405-50)</w:t>
      </w:r>
      <w:r>
        <w:rPr>
          <w:rFonts w:ascii="Arial" w:cs="Arial" w:eastAsia="Arial" w:hAnsi="Arial"/>
          <w:sz w:val="16"/>
          <w:szCs w:val="16"/>
          <w:color w:val="auto"/>
        </w:rPr>
        <w:t>. The ASU requires companies to disclose information about supplier finance programs, including key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outstanding 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The Company adopted this guidance on January 1, 2023. See Note 17, “Supplemental Financial Information” for further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ASU requires companies to apply the definition of a performance obligation under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recognize and measure contract assets and contract liabilities relating to contracts with customers acquired in a business combination.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contract liabilities from contracts with customers on the same basis that would have been recorded by the acquiree before the acquisition under ASC 606. The ASU is effective for fiscal years beginning after December 15, 2022, with early adoption permitted. The Company adopted this guidance on January 1, 2023 using a prospective method, and the adoption did not have a material impact on the condensed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6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6"/>
        </w:trPr>
        <w:tc>
          <w:tcPr>
            <w:tcW w:w="7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454545"/>
              </w:rPr>
              <w:t>September 30, 2023</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584</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7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1,038</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989</w:t>
            </w:r>
          </w:p>
        </w:tc>
      </w:tr>
      <w:tr>
        <w:trPr>
          <w:trHeight w:val="257"/>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E4E4E4"/>
          </w:tcPr>
          <w:p>
            <w:pPr>
              <w:spacing w:after="0"/>
              <w:rPr>
                <w:sz w:val="22"/>
                <w:szCs w:val="22"/>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88</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82</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440" w:hanging="252"/>
        <w:spacing w:after="0" w:line="276"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assets in the Condensed Consolidated and Combined Statements of Financial Position.</w:t>
      </w:r>
    </w:p>
    <w:p>
      <w:pPr>
        <w:spacing w:after="0" w:line="21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Contract assets primarily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56"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Contract liabilities primarily include customer advances and deposits received when orders are placed and billed in advance of completion of performance obligations. Contract liabilities are classified as current or non-current based on the periods over which remaining performance obligations are expected to be satisfied with our customers.</w:t>
      </w:r>
    </w:p>
    <w:p>
      <w:pPr>
        <w:ind w:right="140"/>
        <w:spacing w:after="0" w:line="256" w:lineRule="auto"/>
        <w:rPr>
          <w:sz w:val="20"/>
          <w:szCs w:val="20"/>
          <w:color w:val="auto"/>
        </w:rPr>
      </w:pPr>
      <w:r>
        <w:rPr>
          <w:rFonts w:ascii="Arial" w:cs="Arial" w:eastAsia="Arial" w:hAnsi="Arial"/>
          <w:sz w:val="16"/>
          <w:szCs w:val="16"/>
          <w:color w:val="auto"/>
        </w:rPr>
        <w:t>As of September 30, 2023 and December 31, 2022, contract liabilities were approximately $2,610 million and $2,526 million, respectively, of which the non-current portion of $683 million and $630 million, respectively, was recognized in All other liabilities in the Condensed Consolidated and Combined Statements of Financial Position. Contract liabilities increased by $84 million in 2023 primarily due to an increase in customer advances as a result of the normal annual service contract billing cycle. Revenue recognized related to the contract liabilities balance at the beginning of the year was approximately $1,357 million and $1,377 million for the nine months ended September 30, 2023 and 2022,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Remaining performance obligations represent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September 30, 2023, the aggregate amount of the contracted revenues allocated to our unsatisfied (or partially unsatisfied) performance obligations was $14,162 million. We expect to recognize revenue as we satisfy our remaining performance obligations as follows:</w:t>
      </w:r>
    </w:p>
    <w:p>
      <w:pPr>
        <w:spacing w:after="0" w:line="2" w:lineRule="exact"/>
        <w:rPr>
          <w:sz w:val="20"/>
          <w:szCs w:val="20"/>
          <w:color w:val="auto"/>
        </w:rPr>
      </w:pPr>
    </w:p>
    <w:p>
      <w:pPr>
        <w:ind w:right="40" w:firstLine="8"/>
        <w:spacing w:after="0" w:line="258"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product-related remaining performance obligations of $4,865 million of which 99% is expected to be recognized within two years, and the remaining thereafter; and b) services-related remaining performance obligations of $9,297 million of which 65% and 94% is expected to be recognized within two years and five years, respectively, and the remaining thereafter.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65"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our Annual Report on Form 10-K for the year ended December 31, 2022.</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performance of these segments is principally measured based on Total revenues and an earnings metric defined as “Segment EBIT.” Segment EBIT is calculated as Income from continuing operations before income taxes in our Condensed Consolidated and Combined Statements of Income excluding the impact of the following: Interest and other financial charges – net, Non-operating benefit (income) costs, restructuring costs, acquisition and disposition related benefits (charges), gain (loss) of business and asset dispositions, spin-off and separation costs, amortization of acquisition-related intangible assets, and investment revaluation gain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5780" w:type="dxa"/>
            <w:vAlign w:val="bottom"/>
          </w:tcPr>
          <w:p>
            <w:pPr>
              <w:spacing w:after="0"/>
              <w:rPr>
                <w:sz w:val="20"/>
                <w:szCs w:val="20"/>
                <w:color w:val="auto"/>
              </w:rPr>
            </w:pPr>
          </w:p>
        </w:tc>
        <w:tc>
          <w:tcPr>
            <w:tcW w:w="2760" w:type="dxa"/>
            <w:vAlign w:val="bottom"/>
            <w:gridSpan w:val="5"/>
          </w:tcPr>
          <w:p>
            <w:pPr>
              <w:ind w:left="28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20"/>
                <w:szCs w:val="20"/>
                <w:color w:val="auto"/>
              </w:rPr>
            </w:pPr>
          </w:p>
        </w:tc>
        <w:tc>
          <w:tcPr>
            <w:tcW w:w="25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For the nine months ended</w:t>
            </w:r>
          </w:p>
        </w:tc>
      </w:tr>
      <w:tr>
        <w:trPr>
          <w:trHeight w:val="227"/>
        </w:trPr>
        <w:tc>
          <w:tcPr>
            <w:tcW w:w="5780" w:type="dxa"/>
            <w:vAlign w:val="bottom"/>
          </w:tcPr>
          <w:p>
            <w:pPr>
              <w:spacing w:after="0"/>
              <w:rPr>
                <w:sz w:val="19"/>
                <w:szCs w:val="19"/>
                <w:color w:val="auto"/>
              </w:rPr>
            </w:pPr>
          </w:p>
        </w:tc>
        <w:tc>
          <w:tcPr>
            <w:tcW w:w="22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September 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5780" w:type="dxa"/>
            <w:vAlign w:val="bottom"/>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5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2022</w:t>
            </w:r>
          </w:p>
        </w:tc>
      </w:tr>
      <w:tr>
        <w:trPr>
          <w:trHeight w:val="21"/>
        </w:trPr>
        <w:tc>
          <w:tcPr>
            <w:tcW w:w="57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09"/>
        </w:trPr>
        <w:tc>
          <w:tcPr>
            <w:tcW w:w="5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86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4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r>
      <w:tr>
        <w:trPr>
          <w:trHeight w:val="224"/>
        </w:trPr>
        <w:tc>
          <w:tcPr>
            <w:tcW w:w="5780" w:type="dxa"/>
            <w:vAlign w:val="bottom"/>
          </w:tcPr>
          <w:p>
            <w:pPr>
              <w:ind w:left="200"/>
              <w:spacing w:after="0"/>
              <w:rPr>
                <w:sz w:val="20"/>
                <w:szCs w:val="20"/>
                <w:color w:val="auto"/>
              </w:rPr>
            </w:pPr>
            <w:r>
              <w:rPr>
                <w:rFonts w:ascii="Arial" w:cs="Arial" w:eastAsia="Arial" w:hAnsi="Arial"/>
                <w:sz w:val="16"/>
                <w:szCs w:val="16"/>
                <w:color w:val="auto"/>
              </w:rPr>
              <w:t>Radiology</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2,237</w:t>
            </w:r>
          </w:p>
        </w:tc>
        <w:tc>
          <w:tcPr>
            <w:tcW w:w="88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2,118</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6,552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6,100</w:t>
            </w:r>
          </w:p>
        </w:tc>
      </w:tr>
      <w:tr>
        <w:trPr>
          <w:trHeight w:val="33"/>
        </w:trPr>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578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Interventional Guidance</w:t>
            </w:r>
          </w:p>
        </w:tc>
        <w:tc>
          <w:tcPr>
            <w:tcW w:w="86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c>
          <w:tcPr>
            <w:tcW w:w="8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1,199</w:t>
            </w:r>
          </w:p>
        </w:tc>
        <w:tc>
          <w:tcPr>
            <w:tcW w:w="3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1,176</w:t>
            </w:r>
          </w:p>
        </w:tc>
      </w:tr>
      <w:tr>
        <w:trPr>
          <w:trHeight w:val="229"/>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Imaging</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2,635</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2,516</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7,751</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7,276</w:t>
            </w:r>
          </w:p>
        </w:tc>
      </w:tr>
      <w:tr>
        <w:trPr>
          <w:trHeight w:val="21"/>
        </w:trPr>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Ultrasound</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815</w:t>
            </w:r>
          </w:p>
        </w:tc>
        <w:tc>
          <w:tcPr>
            <w:tcW w:w="8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2,513</w:t>
            </w:r>
          </w:p>
        </w:tc>
        <w:tc>
          <w:tcPr>
            <w:tcW w:w="3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2,466</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PCS: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8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Monitoring Solutions</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573</w:t>
            </w:r>
          </w:p>
        </w:tc>
        <w:tc>
          <w:tcPr>
            <w:tcW w:w="8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506</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1,688</w:t>
            </w:r>
          </w:p>
        </w:tc>
        <w:tc>
          <w:tcPr>
            <w:tcW w:w="3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1,539</w:t>
            </w:r>
          </w:p>
        </w:tc>
      </w:tr>
      <w:tr>
        <w:trPr>
          <w:trHeight w:val="223"/>
        </w:trPr>
        <w:tc>
          <w:tcPr>
            <w:tcW w:w="578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191</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33"/>
        </w:trPr>
        <w:tc>
          <w:tcPr>
            <w:tcW w:w="5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8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2,315</w:t>
            </w:r>
          </w:p>
        </w:tc>
        <w:tc>
          <w:tcPr>
            <w:tcW w:w="3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2,130</w:t>
            </w:r>
          </w:p>
        </w:tc>
      </w:tr>
      <w:tr>
        <w:trPr>
          <w:trHeight w:val="235"/>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589</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1,715</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1,485</w:t>
            </w:r>
          </w:p>
        </w:tc>
      </w:tr>
      <w:tr>
        <w:trPr>
          <w:trHeight w:val="21"/>
        </w:trPr>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7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60" w:type="dxa"/>
            <w:vAlign w:val="bottom"/>
            <w:tcBorders>
              <w:bottom w:val="single" w:sz="8" w:color="auto"/>
            </w:tcBorders>
            <w:shd w:val="clear" w:color="auto" w:fill="E4E4E4"/>
          </w:tcPr>
          <w:p>
            <w:pPr>
              <w:spacing w:after="0"/>
              <w:rPr>
                <w:sz w:val="22"/>
                <w:szCs w:val="22"/>
                <w:color w:val="auto"/>
              </w:rPr>
            </w:pPr>
          </w:p>
        </w:tc>
        <w:tc>
          <w:tcPr>
            <w:tcW w:w="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880" w:type="dxa"/>
            <w:vAlign w:val="bottom"/>
            <w:tcBorders>
              <w:bottom w:val="single" w:sz="8" w:color="auto"/>
            </w:tcBorders>
            <w:shd w:val="clear" w:color="auto" w:fill="E4E4E4"/>
          </w:tcPr>
          <w:p>
            <w:pPr>
              <w:spacing w:after="0"/>
              <w:rPr>
                <w:sz w:val="22"/>
                <w:szCs w:val="22"/>
                <w:color w:val="auto"/>
              </w:rPr>
            </w:pPr>
          </w:p>
        </w:tc>
        <w:tc>
          <w:tcPr>
            <w:tcW w:w="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34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r>
      <w:tr>
        <w:trPr>
          <w:trHeight w:val="229"/>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8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9"/>
              </w:rPr>
              <w:t>4,822</w:t>
            </w:r>
          </w:p>
        </w:tc>
        <w:tc>
          <w:tcPr>
            <w:tcW w:w="8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4"/>
              </w:rPr>
              <w:t>4,576</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14,346</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13,403</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60" w:right="460" w:hanging="252"/>
        <w:spacing w:after="0" w:line="258"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20"/>
                <w:szCs w:val="20"/>
                <w:color w:val="auto"/>
              </w:rPr>
            </w:pPr>
          </w:p>
        </w:tc>
        <w:tc>
          <w:tcPr>
            <w:tcW w:w="25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For the nine months ended</w:t>
            </w:r>
          </w:p>
        </w:tc>
      </w:tr>
      <w:tr>
        <w:trPr>
          <w:trHeight w:val="227"/>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September 30</w:t>
            </w:r>
          </w:p>
        </w:tc>
        <w:tc>
          <w:tcPr>
            <w:tcW w:w="200" w:type="dxa"/>
            <w:vAlign w:val="bottom"/>
          </w:tcPr>
          <w:p>
            <w:pPr>
              <w:spacing w:after="0"/>
              <w:rPr>
                <w:sz w:val="19"/>
                <w:szCs w:val="19"/>
                <w:color w:val="auto"/>
              </w:rPr>
            </w:pPr>
          </w:p>
        </w:tc>
        <w:tc>
          <w:tcPr>
            <w:tcW w:w="250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57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2022</w:t>
            </w:r>
          </w:p>
        </w:tc>
      </w:tr>
      <w:tr>
        <w:trPr>
          <w:trHeight w:val="21"/>
        </w:trPr>
        <w:tc>
          <w:tcPr>
            <w:tcW w:w="57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Segment EBIT</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6"/>
                <w:szCs w:val="16"/>
                <w:color w:val="auto"/>
              </w:rPr>
              <w:t>Imaging</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7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Ultrasound</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577</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623</w:t>
            </w:r>
          </w:p>
        </w:tc>
      </w:tr>
      <w:tr>
        <w:trPr>
          <w:trHeight w:val="223"/>
        </w:trPr>
        <w:tc>
          <w:tcPr>
            <w:tcW w:w="5780" w:type="dxa"/>
            <w:vAlign w:val="bottom"/>
          </w:tcPr>
          <w:p>
            <w:pPr>
              <w:ind w:left="140"/>
              <w:spacing w:after="0"/>
              <w:rPr>
                <w:sz w:val="20"/>
                <w:szCs w:val="20"/>
                <w:color w:val="auto"/>
              </w:rPr>
            </w:pPr>
            <w:r>
              <w:rPr>
                <w:rFonts w:ascii="Arial" w:cs="Arial" w:eastAsia="Arial" w:hAnsi="Arial"/>
                <w:sz w:val="16"/>
                <w:szCs w:val="16"/>
                <w:color w:val="auto"/>
              </w:rPr>
              <w:t>PCS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7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473</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r>
      <w:tr>
        <w:trPr>
          <w:trHeight w:val="25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57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744</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700</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2,119</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2,017</w:t>
            </w:r>
          </w:p>
        </w:tc>
      </w:tr>
      <w:tr>
        <w:trPr>
          <w:trHeight w:val="223"/>
        </w:trPr>
        <w:tc>
          <w:tcPr>
            <w:tcW w:w="57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 related benefits (charges)</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r>
      <w:tr>
        <w:trPr>
          <w:trHeight w:val="223"/>
        </w:trPr>
        <w:tc>
          <w:tcPr>
            <w:tcW w:w="5780" w:type="dxa"/>
            <w:vAlign w:val="bottom"/>
          </w:tcPr>
          <w:p>
            <w:pPr>
              <w:ind w:left="20"/>
              <w:spacing w:after="0"/>
              <w:rPr>
                <w:sz w:val="20"/>
                <w:szCs w:val="20"/>
                <w:color w:val="auto"/>
              </w:rPr>
            </w:pPr>
            <w:r>
              <w:rPr>
                <w:rFonts w:ascii="Arial" w:cs="Arial" w:eastAsia="Arial" w:hAnsi="Arial"/>
                <w:sz w:val="16"/>
                <w:szCs w:val="16"/>
                <w:color w:val="auto"/>
              </w:rPr>
              <w:t>Gain (loss) of business and asset dispositions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578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3"/>
        </w:trPr>
        <w:tc>
          <w:tcPr>
            <w:tcW w:w="578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3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622</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380" w:hanging="252"/>
        <w:spacing w:after="0" w:line="276"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2023</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3,189</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3,112</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110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275</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3,373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3,295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60" w:right="140" w:hanging="252"/>
        <w:spacing w:after="0" w:line="252"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$148 million and $157 million as of September 30, 2023 and December 31, 2022, respectively.</w:t>
      </w:r>
    </w:p>
    <w:p>
      <w:pPr>
        <w:sectPr>
          <w:pgSz w:w="11900" w:h="16838" w:orient="portrait"/>
          <w:cols w:equalWidth="0" w:num="1">
            <w:col w:w="11240"/>
          </w:cols>
          <w:pgMar w:left="320" w:top="1147" w:right="339" w:bottom="1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83"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Long-Term Receivables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2023</w:t>
            </w:r>
          </w:p>
        </w:tc>
        <w:tc>
          <w:tcPr>
            <w:tcW w:w="24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2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Long-term customer receivables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r>
      <w:tr>
        <w:trPr>
          <w:trHeight w:val="223"/>
        </w:trPr>
        <w:tc>
          <w:tcPr>
            <w:tcW w:w="7280" w:type="dxa"/>
            <w:vAlign w:val="bottom"/>
          </w:tcPr>
          <w:p>
            <w:pPr>
              <w:ind w:left="40"/>
              <w:spacing w:after="0"/>
              <w:rPr>
                <w:sz w:val="20"/>
                <w:szCs w:val="20"/>
                <w:color w:val="auto"/>
              </w:rPr>
            </w:pPr>
            <w:r>
              <w:rPr>
                <w:rFonts w:ascii="Arial" w:cs="Arial" w:eastAsia="Arial" w:hAnsi="Arial"/>
                <w:sz w:val="16"/>
                <w:szCs w:val="16"/>
                <w:color w:val="auto"/>
              </w:rPr>
              <w:t>Sundry receivables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Non-income based tax receivables</w:t>
            </w:r>
          </w:p>
        </w:tc>
        <w:tc>
          <w:tcPr>
            <w:tcW w:w="18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Supplier advances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50"/>
        </w:trPr>
        <w:tc>
          <w:tcPr>
            <w:tcW w:w="7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(1) Long-term receivables are recognized within All other assets in the Condensed Consolidated and Combined Statements of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Financing Receivables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2023</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6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r>
    </w:tbl>
    <w:p>
      <w:pPr>
        <w:spacing w:after="0" w:line="84" w:lineRule="exact"/>
        <w:rPr>
          <w:sz w:val="20"/>
          <w:szCs w:val="20"/>
          <w:color w:val="auto"/>
        </w:rPr>
      </w:pPr>
    </w:p>
    <w:p>
      <w:pPr>
        <w:ind w:left="260" w:right="240" w:hanging="252"/>
        <w:spacing w:after="0" w:line="276"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assets, respectively, in the Condensed Consolidated and Combined Statements of Financial Position.</w:t>
      </w:r>
    </w:p>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As of September 30, 2023, 6%, 5%, and 5% of financing receivables were over 30 days past due, over 90 days past due, and on nonaccrual, respectively, with the majority of nonaccrual financing receivables secured by collateral. As of December 31, 2022, 7%, 6%, and 6% of financing receivables were over 30 days past due, over 90 days past due, and on nonaccrual, respectively, with the majority of nonaccrual financing receivables secured by collateral.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 LIABILITIES.</w:t>
      </w:r>
    </w:p>
    <w:p>
      <w:pPr>
        <w:spacing w:after="0" w:line="2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Operating lease liabilities recognized within All other current liabilities or All other liabilities in the Condensed Consolidated and Combined Statements of Financial Position were $365 million and $347 million as of September 30, 2023 and December 31, 2022, respectively. Expense related to our operating lease portfolio, primarily our long-term fixed leases, was $54 million and $47 million for the three months ended September 30, 2023 and 2022, respectively, and $167 million and $143 million for the nine months ended September 30, 2023 and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future holdback payment, and potential earn-out payments valued at $13 million based primarily on various milestones and sales targets. The preliminary purchase price allocation resulted in goodwill of $94 million, intangible assets of $60 million, and deferred tax liabilities of $3 million. Our estimates and assumptions are subject to change within the measurement period. The goodwill associated with the acquired business is non-deductible for tax purposes and is reported in the Ultrasound segment. Caption Health is an artificial intelligence (“AI”) company whose technology expands access to AI-guided ultrasound screening for novice users.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the fair value measurement of contingent consideration.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1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9"/>
        </w:trPr>
        <w:tc>
          <w:tcPr>
            <w:tcW w:w="2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454545"/>
              </w:rPr>
              <w:t>Balance as of</w:t>
            </w: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454545"/>
              </w:rPr>
              <w:t>Foreign exchange and</w:t>
            </w:r>
          </w:p>
        </w:tc>
        <w:tc>
          <w:tcPr>
            <w:tcW w:w="180" w:type="dxa"/>
            <w:vAlign w:val="bottom"/>
          </w:tcPr>
          <w:p>
            <w:pPr>
              <w:spacing w:after="0"/>
              <w:rPr>
                <w:sz w:val="22"/>
                <w:szCs w:val="22"/>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454545"/>
              </w:rPr>
              <w:t>Balance as of</w:t>
            </w:r>
          </w:p>
        </w:tc>
      </w:tr>
      <w:tr>
        <w:trPr>
          <w:trHeight w:val="227"/>
        </w:trPr>
        <w:tc>
          <w:tcPr>
            <w:tcW w:w="2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454545"/>
              </w:rPr>
              <w:t>December 31, 2022</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454545"/>
              </w:rPr>
              <w:t>Acquisitions</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ind w:left="280"/>
              <w:spacing w:after="0"/>
              <w:rPr>
                <w:sz w:val="20"/>
                <w:szCs w:val="20"/>
                <w:color w:val="auto"/>
              </w:rPr>
            </w:pPr>
            <w:r>
              <w:rPr>
                <w:rFonts w:ascii="Arial" w:cs="Arial" w:eastAsia="Arial" w:hAnsi="Arial"/>
                <w:sz w:val="16"/>
                <w:szCs w:val="16"/>
                <w:b w:val="1"/>
                <w:bCs w:val="1"/>
                <w:color w:val="454545"/>
              </w:rPr>
              <w:t>other</w:t>
            </w:r>
          </w:p>
        </w:tc>
        <w:tc>
          <w:tcPr>
            <w:tcW w:w="18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454545"/>
              </w:rPr>
              <w:t>September 30, 2023</w:t>
            </w:r>
          </w:p>
        </w:tc>
      </w:tr>
      <w:tr>
        <w:trPr>
          <w:trHeight w:val="21"/>
        </w:trPr>
        <w:tc>
          <w:tcPr>
            <w:tcW w:w="254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50"/>
        </w:trPr>
        <w:tc>
          <w:tcPr>
            <w:tcW w:w="254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r>
              <w:rPr>
                <w:rFonts w:ascii="Arial" w:cs="Arial" w:eastAsia="Arial" w:hAnsi="Arial"/>
                <w:sz w:val="21"/>
                <w:szCs w:val="21"/>
                <w:color w:val="auto"/>
                <w:vertAlign w:val="superscript"/>
              </w:rPr>
              <w:t>(1)</w:t>
            </w:r>
          </w:p>
        </w:tc>
        <w:tc>
          <w:tcPr>
            <w:tcW w:w="15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4,409</w:t>
            </w:r>
          </w:p>
        </w:tc>
        <w:tc>
          <w:tcPr>
            <w:tcW w:w="1480" w:type="dxa"/>
            <w:vAlign w:val="bottom"/>
            <w:shd w:val="clear" w:color="auto" w:fill="E4E4E4"/>
          </w:tcPr>
          <w:p>
            <w:pPr>
              <w:jc w:val="right"/>
              <w:ind w:right="1219"/>
              <w:spacing w:after="0"/>
              <w:rPr>
                <w:sz w:val="20"/>
                <w:szCs w:val="20"/>
                <w:color w:val="auto"/>
              </w:rPr>
            </w:pPr>
            <w:r>
              <w:rPr>
                <w:rFonts w:ascii="Arial" w:cs="Arial" w:eastAsia="Arial" w:hAnsi="Arial"/>
                <w:sz w:val="16"/>
                <w:szCs w:val="16"/>
                <w:color w:val="auto"/>
              </w:rPr>
              <w:t>$</w:t>
            </w:r>
          </w:p>
        </w:tc>
        <w:tc>
          <w:tcPr>
            <w:tcW w:w="3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16</w:t>
            </w:r>
          </w:p>
        </w:tc>
        <w:tc>
          <w:tcPr>
            <w:tcW w:w="460" w:type="dxa"/>
            <w:vAlign w:val="bottom"/>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4E4E4"/>
          </w:tcPr>
          <w:p>
            <w:pPr>
              <w:ind w:left="11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4,422</w:t>
            </w: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color w:val="auto"/>
              </w:rPr>
              <w:t>Ultrasound</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3,835</w:t>
            </w:r>
          </w:p>
        </w:tc>
        <w:tc>
          <w:tcPr>
            <w:tcW w:w="14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46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3,923</w:t>
            </w:r>
          </w:p>
        </w:tc>
      </w:tr>
      <w:tr>
        <w:trPr>
          <w:trHeight w:val="33"/>
        </w:trPr>
        <w:tc>
          <w:tcPr>
            <w:tcW w:w="2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6"/>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52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2,036</w:t>
            </w:r>
          </w:p>
        </w:tc>
        <w:tc>
          <w:tcPr>
            <w:tcW w:w="14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ind w:left="1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2,036</w:t>
            </w:r>
          </w:p>
        </w:tc>
      </w:tr>
      <w:tr>
        <w:trPr>
          <w:trHeight w:val="224"/>
        </w:trPr>
        <w:tc>
          <w:tcPr>
            <w:tcW w:w="2540" w:type="dxa"/>
            <w:vAlign w:val="bottom"/>
          </w:tcPr>
          <w:p>
            <w:pPr>
              <w:ind w:left="20"/>
              <w:spacing w:after="0"/>
              <w:rPr>
                <w:sz w:val="20"/>
                <w:szCs w:val="20"/>
                <w:color w:val="auto"/>
              </w:rPr>
            </w:pPr>
            <w:r>
              <w:rPr>
                <w:rFonts w:ascii="Arial" w:cs="Arial" w:eastAsia="Arial" w:hAnsi="Arial"/>
                <w:sz w:val="16"/>
                <w:szCs w:val="16"/>
                <w:color w:val="auto"/>
              </w:rPr>
              <w:t>PDx</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2,533</w:t>
            </w:r>
          </w:p>
        </w:tc>
        <w:tc>
          <w:tcPr>
            <w:tcW w:w="14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2,533</w:t>
            </w:r>
          </w:p>
        </w:tc>
      </w:tr>
      <w:tr>
        <w:trPr>
          <w:trHeight w:val="33"/>
        </w:trPr>
        <w:tc>
          <w:tcPr>
            <w:tcW w:w="2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Goodwill</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12,813</w:t>
            </w:r>
          </w:p>
        </w:tc>
        <w:tc>
          <w:tcPr>
            <w:tcW w:w="148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97"/>
              </w:rPr>
              <w:t>110</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ind w:left="1140"/>
              <w:spacing w:after="0"/>
              <w:rPr>
                <w:sz w:val="20"/>
                <w:szCs w:val="20"/>
                <w:color w:val="auto"/>
              </w:rPr>
            </w:pPr>
            <w:r>
              <w:rPr>
                <w:rFonts w:ascii="Arial" w:cs="Arial" w:eastAsia="Arial" w:hAnsi="Arial"/>
                <w:sz w:val="16"/>
                <w:szCs w:val="16"/>
                <w:b w:val="1"/>
                <w:bCs w:val="1"/>
                <w:color w:val="auto"/>
              </w:rPr>
              <w:t>(9)</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12,914</w:t>
            </w:r>
          </w:p>
        </w:tc>
      </w:tr>
      <w:tr>
        <w:trPr>
          <w:trHeight w:val="20"/>
        </w:trPr>
        <w:tc>
          <w:tcPr>
            <w:tcW w:w="2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acquisition of IMACTIS SAS in the second quarter of 2023.</w:t>
      </w:r>
    </w:p>
    <w:p>
      <w:pPr>
        <w:spacing w:after="0" w:line="248"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Substantially all other intangible assets are subject to amortization. Intangible assets decreased during the nine months ended September 30, 2023, primarily as a result of amortization, partially offset by acquisitions in our Imaging and Ultrasound segments. Amortization expense was $89 million and $103 million for the three months ended September 30, 2023 and 2022, respectively, and $278 million and $307 million for the nine months ended September 30, 2023 and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Company’s long-term borrowings include $8,250 million aggregate principal amount of senior unsecured notes in six series with maturity dates ranging from 2024 through 2052 (collectively, the “Notes”). Refer to the table below for further information about the Notes.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and</w:t>
      </w:r>
    </w:p>
    <w:p>
      <w:pPr>
        <w:spacing w:after="0" w:line="59" w:lineRule="exact"/>
        <w:rPr>
          <w:rFonts w:ascii="Arial" w:cs="Arial" w:eastAsia="Arial" w:hAnsi="Arial"/>
          <w:sz w:val="16"/>
          <w:szCs w:val="16"/>
          <w:color w:val="auto"/>
        </w:rPr>
      </w:pPr>
    </w:p>
    <w:p>
      <w:pPr>
        <w:ind w:left="660" w:right="20" w:hanging="328"/>
        <w:spacing w:after="0" w:line="29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(the “Term Loan Facility” and, together with the five-year revolving credit facility and the 364-day revolving credit facility, the “Credit Facilities”).</w:t>
      </w:r>
    </w:p>
    <w:p>
      <w:pPr>
        <w:spacing w:after="0" w:line="50"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 xml:space="preserve">There were no outstanding amounts under the five-year revolving credit facility and 364-day revolving credit facility as of September 30, 2023 or December 31, 2022. </w:t>
      </w:r>
      <w:r>
        <w:rPr>
          <w:rFonts w:ascii="Arial" w:cs="Arial" w:eastAsia="Arial" w:hAnsi="Arial"/>
          <w:sz w:val="16"/>
          <w:szCs w:val="16"/>
          <w:color w:val="231F20"/>
        </w:rPr>
        <w:t>On January 3, 2023, the Company</w:t>
      </w:r>
      <w:r>
        <w:rPr>
          <w:rFonts w:ascii="Arial" w:cs="Arial" w:eastAsia="Arial" w:hAnsi="Arial"/>
          <w:sz w:val="16"/>
          <w:szCs w:val="16"/>
          <w:color w:val="auto"/>
        </w:rPr>
        <w:t xml:space="preserve"> completed a $2,000 million drawdown of the floating rate Term Loan Facility in connection with the Spin-Off from GE.</w:t>
      </w:r>
    </w:p>
    <w:p>
      <w:pPr>
        <w:spacing w:after="0" w:line="20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weighted average interest rate for the Notes and our Credit Facilities for the nine months ended September 30, 2023 was 6.01%. We had no principal debt repayments on the Notes or the Term Loan Facility for the nine months ended September 30,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 Composition</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7"/>
        </w:trPr>
        <w:tc>
          <w:tcPr>
            <w:tcW w:w="6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22"/>
                <w:szCs w:val="22"/>
                <w:color w:val="auto"/>
              </w:rPr>
            </w:pP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ind w:right="279"/>
              <w:spacing w:after="0"/>
              <w:rPr>
                <w:sz w:val="20"/>
                <w:szCs w:val="20"/>
                <w:color w:val="auto"/>
              </w:rPr>
            </w:pPr>
            <w:r>
              <w:rPr>
                <w:rFonts w:ascii="Arial" w:cs="Arial" w:eastAsia="Arial" w:hAnsi="Arial"/>
                <w:sz w:val="16"/>
                <w:szCs w:val="16"/>
                <w:b w:val="1"/>
                <w:bCs w:val="1"/>
                <w:color w:val="454545"/>
              </w:rPr>
              <w:t>September 30, 2023</w:t>
            </w: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4"/>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6640" w:type="dxa"/>
            <w:vAlign w:val="bottom"/>
            <w:tcBorders>
              <w:bottom w:val="single" w:sz="8" w:color="454545"/>
            </w:tcBorders>
          </w:tcPr>
          <w:p>
            <w:pPr>
              <w:spacing w:after="0"/>
              <w:rPr>
                <w:sz w:val="2"/>
                <w:szCs w:val="2"/>
                <w:color w:val="auto"/>
              </w:rPr>
            </w:pPr>
          </w:p>
        </w:tc>
        <w:tc>
          <w:tcPr>
            <w:tcW w:w="260" w:type="dxa"/>
            <w:vAlign w:val="bottom"/>
            <w:tcBorders>
              <w:bottom w:val="single" w:sz="8" w:color="454545"/>
            </w:tcBorders>
          </w:tcPr>
          <w:p>
            <w:pPr>
              <w:spacing w:after="0"/>
              <w:rPr>
                <w:sz w:val="2"/>
                <w:szCs w:val="2"/>
                <w:color w:val="auto"/>
              </w:rPr>
            </w:pPr>
          </w:p>
        </w:tc>
        <w:tc>
          <w:tcPr>
            <w:tcW w:w="2020" w:type="dxa"/>
            <w:vAlign w:val="bottom"/>
            <w:tcBorders>
              <w:bottom w:val="single" w:sz="8" w:color="454545"/>
            </w:tcBorders>
          </w:tcPr>
          <w:p>
            <w:pPr>
              <w:spacing w:after="0"/>
              <w:rPr>
                <w:sz w:val="2"/>
                <w:szCs w:val="2"/>
                <w:color w:val="auto"/>
              </w:rPr>
            </w:pPr>
          </w:p>
        </w:tc>
        <w:tc>
          <w:tcPr>
            <w:tcW w:w="340" w:type="dxa"/>
            <w:vAlign w:val="bottom"/>
            <w:tcBorders>
              <w:bottom w:val="single" w:sz="8" w:color="454545"/>
            </w:tcBorders>
          </w:tcPr>
          <w:p>
            <w:pPr>
              <w:spacing w:after="0"/>
              <w:rPr>
                <w:sz w:val="2"/>
                <w:szCs w:val="2"/>
                <w:color w:val="auto"/>
              </w:rPr>
            </w:pPr>
          </w:p>
        </w:tc>
        <w:tc>
          <w:tcPr>
            <w:tcW w:w="1980" w:type="dxa"/>
            <w:vAlign w:val="bottom"/>
            <w:tcBorders>
              <w:bottom w:val="single" w:sz="8" w:color="454545"/>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60" w:type="dxa"/>
            <w:vAlign w:val="bottom"/>
            <w:tcBorders>
              <w:bottom w:val="single" w:sz="8" w:color="E4E4E4"/>
            </w:tcBorders>
            <w:shd w:val="clear" w:color="auto" w:fill="E4E4E4"/>
          </w:tcPr>
          <w:p>
            <w:pPr>
              <w:spacing w:after="0"/>
              <w:rPr>
                <w:sz w:val="21"/>
                <w:szCs w:val="21"/>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10,301</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8,288</w:t>
            </w:r>
          </w:p>
        </w:tc>
      </w:tr>
      <w:tr>
        <w:trPr>
          <w:trHeight w:val="217"/>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60" w:type="dxa"/>
            <w:vAlign w:val="bottom"/>
            <w:tcBorders>
              <w:top w:val="single" w:sz="8" w:color="454545"/>
            </w:tcBorders>
          </w:tcPr>
          <w:p>
            <w:pPr>
              <w:spacing w:after="0"/>
              <w:rPr>
                <w:sz w:val="18"/>
                <w:szCs w:val="18"/>
                <w:color w:val="auto"/>
              </w:rPr>
            </w:pPr>
          </w:p>
        </w:tc>
        <w:tc>
          <w:tcPr>
            <w:tcW w:w="202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41</w:t>
            </w:r>
          </w:p>
        </w:tc>
        <w:tc>
          <w:tcPr>
            <w:tcW w:w="340" w:type="dxa"/>
            <w:vAlign w:val="bottom"/>
            <w:tcBorders>
              <w:top w:val="single" w:sz="8" w:color="454545"/>
            </w:tcBorders>
          </w:tcPr>
          <w:p>
            <w:pPr>
              <w:spacing w:after="0"/>
              <w:rPr>
                <w:sz w:val="18"/>
                <w:szCs w:val="18"/>
                <w:color w:val="auto"/>
              </w:rPr>
            </w:pP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Current portion of long-term borrowings</w:t>
            </w:r>
          </w:p>
        </w:tc>
        <w:tc>
          <w:tcPr>
            <w:tcW w:w="260" w:type="dxa"/>
            <w:vAlign w:val="bottom"/>
            <w:tcBorders>
              <w:bottom w:val="single" w:sz="8" w:color="E4E4E4"/>
            </w:tcBorders>
            <w:shd w:val="clear" w:color="auto" w:fill="E4E4E4"/>
          </w:tcPr>
          <w:p>
            <w:pPr>
              <w:spacing w:after="0"/>
              <w:rPr>
                <w:sz w:val="22"/>
                <w:szCs w:val="22"/>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Long-term borrowings, net of current portion</w:t>
            </w:r>
          </w:p>
        </w:tc>
        <w:tc>
          <w:tcPr>
            <w:tcW w:w="260" w:type="dxa"/>
            <w:vAlign w:val="bottom"/>
            <w:tcBorders>
              <w:top w:val="single" w:sz="8" w:color="454545"/>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02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10,253</w:t>
            </w:r>
          </w:p>
        </w:tc>
        <w:tc>
          <w:tcPr>
            <w:tcW w:w="340" w:type="dxa"/>
            <w:vAlign w:val="bottom"/>
            <w:tcBorders>
              <w:top w:val="single" w:sz="8" w:color="454545"/>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8,234</w:t>
            </w:r>
          </w:p>
        </w:tc>
      </w:tr>
      <w:tr>
        <w:trPr>
          <w:trHeight w:val="21"/>
        </w:trPr>
        <w:tc>
          <w:tcPr>
            <w:tcW w:w="66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9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953"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7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of September 30, 2023 and December 31, 2022, the Company had unused letters of credit, bank guarantees, bid bonds, and surety bonds of approximately $724 million and $657 million, respectively, related to certain commercial contracts. Additionally, we have approximately $39 million and $43 million of guarantees as of September 30, 2023 and December 31, 2022, respectively, primarily related to residual and credit guarantees on equipment sold to third-party finance companies. Our Condensed Consolidated and Combined Statements of Financial Position reflect a liability of $4 million and $4 million as of September 30, 2023 and December 31, 2022, respectively,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color w:val="auto"/>
        </w:rPr>
        <w:t>PENSION BENEFITS AND RETIREE HEALTH AND LIFE BENEFITS SPONSORED BY GE, TRANSFERRED TO GE HEALTHCARE IN CONNECTION WITH THE SPIN-OFF.</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231F20"/>
        </w:rPr>
        <w:t>C</w:t>
      </w:r>
      <w:r>
        <w:rPr>
          <w:rFonts w:ascii="Arial" w:cs="Arial" w:eastAsia="Arial" w:hAnsi="Arial"/>
          <w:sz w:val="16"/>
          <w:szCs w:val="16"/>
          <w:color w:val="000000"/>
        </w:rPr>
        <w:t>ertain GE HealthCare employees were covered under various pension and retiree health and life plans sponsored by GE prior to the Spin-Off, including</w:t>
      </w:r>
      <w:r>
        <w:rPr>
          <w:rFonts w:ascii="Arial" w:cs="Arial" w:eastAsia="Arial" w:hAnsi="Arial"/>
          <w:sz w:val="16"/>
          <w:szCs w:val="16"/>
          <w:color w:val="231F20"/>
        </w:rPr>
        <w:t xml:space="preserve"> </w:t>
      </w:r>
      <w:r>
        <w:rPr>
          <w:rFonts w:ascii="Arial" w:cs="Arial" w:eastAsia="Arial" w:hAnsi="Arial"/>
          <w:sz w:val="16"/>
          <w:szCs w:val="16"/>
          <w:color w:val="000000"/>
        </w:rPr>
        <w:t>principal pension plans, other pension plans, and principal retiree benefit plans. A subset of these pension plans have been closed to new participants. For the three and nine months ended September 30, 2022, relevant participation costs for these plans were allocated to the Company and recognized within the Condensed Combined Statement of Income. These included service costs for active employees in the U.S. GE Pension Plan, certain international pension plans, the U.S. GE Supplementary Pension Plan, and the U.S. retiree benefit plan. We did not record any liabilities associated with our participation in these plans in our Condensed Combined Statement of Financial Position as of December 31, 2022.</w:t>
      </w:r>
    </w:p>
    <w:p>
      <w:pPr>
        <w:spacing w:after="0" w:line="21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Expenses associated with our employees’ participation in the U.S. GE principal pension and principal retiree benefit plans, which represent the majority of related expense, were $24 million and $73 million for the three and nine months ended September 30, 2022. Expenses associated with our employees’ participation in GE’s non-U.S. based pension plans were immaterial for the three and nine months ended September 30, 2022.</w:t>
      </w:r>
    </w:p>
    <w:p>
      <w:pPr>
        <w:spacing w:after="0" w:line="203"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In connection with the Spin-Off, on January 1, 2023, these plans were separated and GE transferred certain liabilities and assets of these plans to GE HealthCare based upon measurements as of December 31, 2022. The amounts assumed by GE HealthCare on January 1, 2023, are shown in the tables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b w:val="1"/>
                <w:bCs w:val="1"/>
                <w:color w:val="454545"/>
              </w:rPr>
              <w:t>As of January 1, 2023</w:t>
            </w:r>
          </w:p>
        </w:tc>
        <w:tc>
          <w:tcPr>
            <w:tcW w:w="5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2"/>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Defined benefit plans</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60" w:type="dxa"/>
            <w:vAlign w:val="bottom"/>
          </w:tcPr>
          <w:p>
            <w:pPr>
              <w:spacing w:after="0"/>
              <w:rPr>
                <w:sz w:val="19"/>
                <w:szCs w:val="19"/>
                <w:color w:val="auto"/>
              </w:rPr>
            </w:pPr>
          </w:p>
        </w:tc>
        <w:tc>
          <w:tcPr>
            <w:tcW w:w="1720" w:type="dxa"/>
            <w:vAlign w:val="bottom"/>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0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Accumulated benefit obligations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22,906</w:t>
            </w: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Unrecognized gain to be recorded in AOCI</w:t>
            </w: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1,223</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33"/>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80"/>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b w:val="1"/>
                <w:bCs w:val="1"/>
                <w:color w:val="454545"/>
              </w:rPr>
              <w:t>As of January 1, 2023</w:t>
            </w:r>
          </w:p>
        </w:tc>
        <w:tc>
          <w:tcPr>
            <w:tcW w:w="5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2"/>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454545"/>
              </w:rPr>
              <w:t>Defined benefit plans</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60" w:type="dxa"/>
            <w:vAlign w:val="bottom"/>
          </w:tcPr>
          <w:p>
            <w:pPr>
              <w:spacing w:after="0"/>
              <w:rPr>
                <w:sz w:val="19"/>
                <w:szCs w:val="19"/>
                <w:color w:val="auto"/>
              </w:rPr>
            </w:pPr>
          </w:p>
        </w:tc>
        <w:tc>
          <w:tcPr>
            <w:tcW w:w="1720" w:type="dxa"/>
            <w:vAlign w:val="bottom"/>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0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Projected benefit obligations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22,953</w:t>
            </w: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Fair value of assets</w:t>
            </w: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33"/>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Net liability</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1,210</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PLANS SPONSORED BY GE HEALTHCARE, INCLUDING THOSE TRANSFERRED BY GE.</w:t>
      </w:r>
    </w:p>
    <w:p>
      <w:pPr>
        <w:spacing w:after="0" w:line="256"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As the pension plans were transferred by GE on January 1, 2023, there are no amounts included for these plans in the periods ended September 30, 2022. Pension plans with pension assets or obligations less than $50 million and $20 million as of September 30, 2023 and 2022, respectively, are not included in the results below.</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4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4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September 30</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bottom w:val="single" w:sz="8" w:color="454545"/>
            </w:tcBorders>
            <w:gridSpan w:val="3"/>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3000" w:type="dxa"/>
            <w:vAlign w:val="bottom"/>
            <w:tcBorders>
              <w:bottom w:val="single" w:sz="8" w:color="454545"/>
            </w:tcBorders>
            <w:gridSpan w:val="3"/>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Defined benefit plans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3"/>
          </w:tcPr>
          <w:p>
            <w:pPr>
              <w:ind w:left="280"/>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454545"/>
              </w:rPr>
              <w:t>2023</w:t>
            </w:r>
          </w:p>
        </w:tc>
        <w:tc>
          <w:tcPr>
            <w:tcW w:w="40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454545"/>
              </w:rPr>
              <w:t>2022</w:t>
            </w:r>
          </w:p>
        </w:tc>
      </w:tr>
      <w:tr>
        <w:trPr>
          <w:trHeight w:val="21"/>
        </w:trPr>
        <w:tc>
          <w:tcPr>
            <w:tcW w:w="44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08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b w:val="1"/>
                <w:bCs w:val="1"/>
                <w:color w:val="auto"/>
              </w:rPr>
              <w:t>—</w:t>
            </w: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290</w:t>
            </w: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120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color w:val="auto"/>
              </w:rPr>
              <w:t>—</w:t>
            </w: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Amortization of net loss (gain)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color w:val="auto"/>
              </w:rPr>
              <w:t>—</w:t>
            </w: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Curtailment loss (gain)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2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108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b w:val="1"/>
                <w:bCs w:val="1"/>
                <w:color w:val="auto"/>
              </w:rPr>
              <w:t>—</w:t>
            </w:r>
          </w:p>
        </w:tc>
      </w:tr>
      <w:tr>
        <w:trPr>
          <w:trHeight w:val="229"/>
        </w:trPr>
        <w:tc>
          <w:tcPr>
            <w:tcW w:w="44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b w:val="1"/>
                <w:bCs w:val="1"/>
                <w:color w:val="auto"/>
              </w:rPr>
              <w:t>—</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93"/>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gridSpan w:val="5"/>
          </w:tcPr>
          <w:p>
            <w:pPr>
              <w:jc w:val="right"/>
              <w:ind w:right="39"/>
              <w:spacing w:after="0"/>
              <w:rPr>
                <w:sz w:val="20"/>
                <w:szCs w:val="20"/>
                <w:color w:val="auto"/>
              </w:rPr>
            </w:pPr>
            <w:r>
              <w:rPr>
                <w:rFonts w:ascii="Arial" w:cs="Arial" w:eastAsia="Arial" w:hAnsi="Arial"/>
                <w:sz w:val="16"/>
                <w:szCs w:val="16"/>
                <w:b w:val="1"/>
                <w:bCs w:val="1"/>
                <w:color w:val="454545"/>
              </w:rPr>
              <w:t>For the nine months ended September 30</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
        </w:trPr>
        <w:tc>
          <w:tcPr>
            <w:tcW w:w="442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860" w:type="dxa"/>
            <w:vAlign w:val="bottom"/>
            <w:tcBorders>
              <w:bottom w:val="single" w:sz="8" w:color="454545"/>
            </w:tcBorders>
            <w:gridSpan w:val="3"/>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3000" w:type="dxa"/>
            <w:vAlign w:val="bottom"/>
            <w:tcBorders>
              <w:bottom w:val="single" w:sz="8" w:color="454545"/>
            </w:tcBorders>
            <w:gridSpan w:val="3"/>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Defined benefit plans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3"/>
          </w:tcPr>
          <w:p>
            <w:pPr>
              <w:ind w:left="280"/>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442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454545"/>
              </w:rPr>
              <w:t>2023</w:t>
            </w:r>
          </w:p>
        </w:tc>
        <w:tc>
          <w:tcPr>
            <w:tcW w:w="40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454545"/>
              </w:rPr>
              <w:t>2022</w:t>
            </w:r>
          </w:p>
        </w:tc>
      </w:tr>
      <w:tr>
        <w:trPr>
          <w:trHeight w:val="21"/>
        </w:trPr>
        <w:tc>
          <w:tcPr>
            <w:tcW w:w="44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08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b w:val="1"/>
                <w:bCs w:val="1"/>
                <w:color w:val="auto"/>
              </w:rPr>
              <w:t>—</w:t>
            </w: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872</w:t>
            </w: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(1,070)</w:t>
            </w:r>
          </w:p>
        </w:tc>
        <w:tc>
          <w:tcPr>
            <w:tcW w:w="120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color w:val="auto"/>
              </w:rPr>
              <w:t>—</w:t>
            </w: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Amortization of net loss (gain)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color w:val="auto"/>
              </w:rPr>
              <w:t>—</w:t>
            </w: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Curtailment loss (gain)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2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4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108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(271)</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ind w:left="1060"/>
              <w:spacing w:after="0"/>
              <w:rPr>
                <w:sz w:val="20"/>
                <w:szCs w:val="20"/>
                <w:color w:val="auto"/>
              </w:rPr>
            </w:pPr>
            <w:r>
              <w:rPr>
                <w:rFonts w:ascii="Arial" w:cs="Arial" w:eastAsia="Arial" w:hAnsi="Arial"/>
                <w:sz w:val="16"/>
                <w:szCs w:val="16"/>
                <w:b w:val="1"/>
                <w:bCs w:val="1"/>
                <w:color w:val="auto"/>
              </w:rPr>
              <w:t>—</w:t>
            </w:r>
          </w:p>
        </w:tc>
      </w:tr>
      <w:tr>
        <w:trPr>
          <w:trHeight w:val="229"/>
        </w:trPr>
        <w:tc>
          <w:tcPr>
            <w:tcW w:w="44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(228)</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b w:val="1"/>
                <w:bCs w:val="1"/>
                <w:color w:val="auto"/>
              </w:rPr>
              <w:t>—</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the third quarter of 2023, management approved an amendment to the U.S. based GE HealthCare Pension Plan whereby the benefits for all remaining active employees will be frozen effective December 31, 2024, and additional benefit enhancements were provided. As a result, we recognized a non-cash pre-tax curtailment loss of approximately $17 million as non-operating benefit costs and an increase to our pension liability of $23 million. As a result of the plan changes, we were required to remeasure the plan assets and the projected benefit obligation, these changes collectively decreased accumulated other comprehensive income (loss) by $305 million.</w:t>
      </w:r>
    </w:p>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For the nine months ended September 30, 2023, the Company made contributions for benefit payments totaling $157 million to the pension plans and $102 million to its postretirement plans. During 2023, the Company expects to make total benefit payments of approximately $353 million to our defined benefit pension and postretirement plans for benefit payments. The Company does not have a required minimum cash pension contribution obligation for its U.S. plans in 2023. Future contributions will depend on market conditions, interest rates, and other factors.</w:t>
      </w:r>
    </w:p>
    <w:p>
      <w:pPr>
        <w:spacing w:after="0" w:line="204" w:lineRule="exact"/>
        <w:rPr>
          <w:sz w:val="20"/>
          <w:szCs w:val="20"/>
          <w:color w:val="auto"/>
        </w:rPr>
      </w:pPr>
    </w:p>
    <w:p>
      <w:pPr>
        <w:jc w:val="both"/>
        <w:ind w:right="440"/>
        <w:spacing w:after="0" w:line="270" w:lineRule="auto"/>
        <w:rPr>
          <w:sz w:val="20"/>
          <w:szCs w:val="20"/>
          <w:color w:val="auto"/>
        </w:rPr>
      </w:pPr>
      <w:r>
        <w:rPr>
          <w:rFonts w:ascii="Arial" w:cs="Arial" w:eastAsia="Arial" w:hAnsi="Arial"/>
          <w:sz w:val="16"/>
          <w:szCs w:val="16"/>
          <w:color w:val="auto"/>
        </w:rPr>
        <w:t>Prior to the Spin-Off, we disclosed postretirement plans with assets or obligations that exceeded $20 million. As a result of the transferred liabilities and assets to GE HealthCare on January 1, 2023, we now present postretirement plans with assets or obligations that exceed $50 million. For the year, the Company expects to contribute approximately $11 million to postretirement plans that are no longer disclosed.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As a result of the Spin-Off, GE HealthCare established a defined contribution plan for its eligible U.S. employees that was largely consistent with the plan they participated in while GE HealthCare operated as a business of GE. Expenses associated with our employees’ participation in GE HealthCare’s defined contribution plan in 2023 and GE’s defined contribution plan in 2022 represent the employer matching contributions for GE HealthCare employees and were $28 million and $30 million for the three months ended September 30, 2023 and 2022, respectively, and $94 million and $96 million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INCOME TAXES</w:t>
      </w:r>
    </w:p>
    <w:p>
      <w:pPr>
        <w:spacing w:after="0" w:line="2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effective income tax rate was 39.3% and 20.7% for the three months ended September 30, 2023 and 2022, respectively, and 31.4% and 23.0% for the nine months ended September 30, 2023 and 2022, respectively. The effective tax rate for 2023 is higher than the U.S. statutory rate primarily due to the cost of global activities, including the U.S. taxation on international operations, tax effect of foreign currency movement, withholding taxes, and state taxes. Benefit (provision) for income taxes for the three and nine months ended September 30, 2023 included $105 million of deferred tax provision associated with the Tax Matters Agreement (“TMA”) with GE including the effect of completing the 2022 GE U.S. federal tax return. In addition, Other (income) expense - net for the three and nine months ended September 30, 2023 included a $30 million benefit related to change in tax indemnities with GE also associated with the TMA and the effect of completing the 2022 GE U.S. federal tax return. For more information on the TMA, see Note 18, “Related Parties.”</w:t>
      </w:r>
    </w:p>
    <w:p>
      <w:pPr>
        <w:spacing w:after="0" w:line="14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effective tax rate for the nine months ended September 30, 2022 is higher than the U.S. statutory rate primarily due to the cost of global activities, including the U.S. taxation on international operations and state taxes. The effective tax rate for the three months ended September 30, 2022 is lower than the U.S. statutory rate due to tax on foreign operations offset by the cost of global activities, including the U.S. taxation on international operations and state taxes.</w:t>
      </w:r>
    </w:p>
    <w:p>
      <w:pPr>
        <w:spacing w:after="0" w:line="1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currently being audited in a number of jurisdictions for tax years 2004-2022, including China, Egypt, France, Germany, Norway, the United Kingdom, and the U.S.</w:t>
      </w:r>
    </w:p>
    <w:p>
      <w:pPr>
        <w:spacing w:after="0" w:line="104"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In the first quarter of 2023, the Company changed its accounting policy for presentation of interest expense on uncertain tax positions from within “Interest and other financial charges – net” to within “Benefit (provision) for income taxes.” See Note 1, “Organization and Basis of Presentation” for further information.</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Post Spin-Off, the Company’s previously undistributed earnings of certain of our foreign subsidiaries are no longer indefinitely reinvested in non-U.S. businesses due to current U.S. funding needs. Therefore, in the first quarter of 2023, an incremental deferred tax liability of $30 million was recorded for withholding and other foreign taxes due upon future distribution of earnings. In addition, the Company is providing for withholding and other foreign taxes due upon future distribution of current period earnings.</w:t>
      </w:r>
    </w:p>
    <w:p>
      <w:pPr>
        <w:spacing w:after="0" w:line="12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Also, in connection with the Spin-Off, our net deferred income tax assets increased by $3,099 million primarily due to transfers from GE, including $964 million related to pension and postretirement benefits, with the remainder primarily attributable to tax attributes that were not part of the Company’s stand-alone operations, and changes to valuation on a GE HealthCare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 – NET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(“AOCI”) by component, net of income taxes,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September 30, 2023</w:t>
            </w:r>
          </w:p>
        </w:tc>
        <w:tc>
          <w:tcPr>
            <w:tcW w:w="11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5"/>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8"/>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Benefit 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r>
      <w:tr>
        <w:trPr>
          <w:trHeight w:val="213"/>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40"/>
        </w:trPr>
        <w:tc>
          <w:tcPr>
            <w:tcW w:w="5200" w:type="dxa"/>
            <w:vAlign w:val="bottom"/>
          </w:tcPr>
          <w:p>
            <w:pPr>
              <w:ind w:left="20"/>
              <w:spacing w:after="0" w:line="240" w:lineRule="exact"/>
              <w:rPr>
                <w:sz w:val="20"/>
                <w:szCs w:val="20"/>
                <w:color w:val="auto"/>
              </w:rPr>
            </w:pPr>
            <w:r>
              <w:rPr>
                <w:rFonts w:ascii="Arial" w:cs="Arial" w:eastAsia="Arial" w:hAnsi="Arial"/>
                <w:sz w:val="16"/>
                <w:szCs w:val="16"/>
                <w:color w:val="auto"/>
              </w:rPr>
              <w:t>$(16), $69, and $(6)</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$16, and $(1)</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(385)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1,583</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September 30, 2022</w:t>
            </w:r>
          </w:p>
        </w:tc>
        <w:tc>
          <w:tcPr>
            <w:tcW w:w="11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5"/>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adjustments</w:t>
            </w:r>
          </w:p>
        </w:tc>
        <w:tc>
          <w:tcPr>
            <w:tcW w:w="180" w:type="dxa"/>
            <w:vAlign w:val="bottom"/>
          </w:tcPr>
          <w:p>
            <w:pPr>
              <w:spacing w:after="0"/>
              <w:rPr>
                <w:sz w:val="19"/>
                <w:szCs w:val="19"/>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454545"/>
              </w:rPr>
              <w:t>Benefit plans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1"/>
        </w:trPr>
        <w:tc>
          <w:tcPr>
            <w:tcW w:w="52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(1,649)</w:t>
            </w:r>
          </w:p>
        </w:tc>
      </w:tr>
      <w:tr>
        <w:trPr>
          <w:trHeight w:val="213"/>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$8, $(3), and $(9)</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3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$0, and $4</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(293)</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gridSpan w:val="6"/>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3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nine months ended September 30, 2023</w:t>
            </w:r>
          </w:p>
        </w:tc>
        <w:tc>
          <w:tcPr>
            <w:tcW w:w="11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5"/>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8"/>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Benefit 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13"/>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40"/>
        </w:trPr>
        <w:tc>
          <w:tcPr>
            <w:tcW w:w="5200" w:type="dxa"/>
            <w:vAlign w:val="bottom"/>
          </w:tcPr>
          <w:p>
            <w:pPr>
              <w:ind w:left="20"/>
              <w:spacing w:after="0" w:line="240" w:lineRule="exact"/>
              <w:rPr>
                <w:sz w:val="20"/>
                <w:szCs w:val="20"/>
                <w:color w:val="auto"/>
              </w:rPr>
            </w:pPr>
            <w:r>
              <w:rPr>
                <w:rFonts w:ascii="Arial" w:cs="Arial" w:eastAsia="Arial" w:hAnsi="Arial"/>
                <w:sz w:val="16"/>
                <w:szCs w:val="16"/>
                <w:color w:val="auto"/>
              </w:rPr>
              <w:t>$1, $60, and $(4)</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$49, and $5</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(173)</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(437)</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 of $0, $(509), and $0</w:t>
            </w:r>
            <w:r>
              <w:rPr>
                <w:rFonts w:ascii="Arial" w:cs="Arial" w:eastAsia="Arial" w:hAnsi="Arial"/>
                <w:sz w:val="21"/>
                <w:szCs w:val="21"/>
                <w:color w:val="auto"/>
                <w:vertAlign w:val="superscript"/>
              </w:rPr>
              <w:t>(2)</w:t>
            </w:r>
          </w:p>
        </w:tc>
        <w:tc>
          <w:tcPr>
            <w:tcW w:w="1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640" w:type="dxa"/>
            <w:vAlign w:val="bottom"/>
            <w:shd w:val="clear" w:color="auto" w:fill="E4E4E4"/>
          </w:tcPr>
          <w:p>
            <w:pPr>
              <w:spacing w:after="0"/>
              <w:rPr>
                <w:sz w:val="21"/>
                <w:szCs w:val="21"/>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19"/>
        </w:trPr>
        <w:tc>
          <w:tcPr>
            <w:tcW w:w="520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(280)</w:t>
            </w:r>
          </w:p>
        </w:tc>
      </w:tr>
      <w:tr>
        <w:trPr>
          <w:trHeight w:val="580"/>
        </w:trPr>
        <w:tc>
          <w:tcPr>
            <w:tcW w:w="5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700" w:type="dxa"/>
            <w:vAlign w:val="bottom"/>
            <w:tcBorders>
              <w:top w:val="single" w:sz="8" w:color="auto"/>
            </w:tcBorders>
            <w:gridSpan w:val="6"/>
          </w:tcPr>
          <w:p>
            <w:pPr>
              <w:jc w:val="right"/>
              <w:spacing w:after="0"/>
              <w:rPr>
                <w:sz w:val="20"/>
                <w:szCs w:val="20"/>
                <w:color w:val="auto"/>
              </w:rPr>
            </w:pPr>
            <w:r>
              <w:rPr>
                <w:rFonts w:ascii="Arial" w:cs="Arial" w:eastAsia="Arial" w:hAnsi="Arial"/>
                <w:sz w:val="16"/>
                <w:szCs w:val="16"/>
                <w:b w:val="1"/>
                <w:bCs w:val="1"/>
                <w:color w:val="454545"/>
              </w:rPr>
              <w:t>For the nine months ended September 30, 2022</w:t>
            </w:r>
          </w:p>
        </w:tc>
        <w:tc>
          <w:tcPr>
            <w:tcW w:w="1180" w:type="dxa"/>
            <w:vAlign w:val="bottom"/>
            <w:tcBorders>
              <w:top w:val="single" w:sz="8" w:color="auto"/>
            </w:tcBorders>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5"/>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adjustments</w:t>
            </w:r>
          </w:p>
        </w:tc>
        <w:tc>
          <w:tcPr>
            <w:tcW w:w="180" w:type="dxa"/>
            <w:vAlign w:val="bottom"/>
          </w:tcPr>
          <w:p>
            <w:pPr>
              <w:spacing w:after="0"/>
              <w:rPr>
                <w:sz w:val="19"/>
                <w:szCs w:val="19"/>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454545"/>
              </w:rPr>
              <w:t>Benefit plans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1"/>
        </w:trPr>
        <w:tc>
          <w:tcPr>
            <w:tcW w:w="52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(969)</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w:t>
            </w:r>
          </w:p>
        </w:tc>
      </w:tr>
      <w:tr>
        <w:trPr>
          <w:trHeight w:val="213"/>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$(6), $(13), and $(11)</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(937)</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3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$0, and $4</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(905)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80" w:hanging="252"/>
        <w:spacing w:after="0" w:line="258"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foreign currency translation recognized in Other comprehensive income (loss) (“OCI”) during the nine months ended September 30, 2023 included net gains (losses) relating to net investment hedges, as further discussed in Note 12, “Financial Instruments and Fair Value Measurements.”</w:t>
      </w:r>
    </w:p>
    <w:p>
      <w:pPr>
        <w:ind w:left="260" w:right="140" w:hanging="252"/>
        <w:spacing w:after="0" w:line="273"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impact of $1,972 million to Benefit plans for unrecognized gain transferred from the GE pension and other postretirement plans and $28 million to Currency translation adjustments associated with other Spin-Off related adjustments. Refer to Note 9, “Postretirement Benefit Plans” for further information on the unrecognized gain transferred from the GE pension and other postretirement plans in connection with the Spin-Off.</w:t>
      </w:r>
    </w:p>
    <w:p>
      <w:pPr>
        <w:spacing w:after="0" w:line="1" w:lineRule="exact"/>
        <w:rPr>
          <w:rFonts w:ascii="Arial" w:cs="Arial" w:eastAsia="Arial" w:hAnsi="Arial"/>
          <w:sz w:val="16"/>
          <w:szCs w:val="16"/>
          <w:color w:val="auto"/>
        </w:rPr>
      </w:pPr>
    </w:p>
    <w:p>
      <w:pPr>
        <w:ind w:left="260" w:right="520" w:hanging="252"/>
        <w:spacing w:after="0" w:line="255"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Reclassifications from AOCI into earnings for Benefit plans are recognized within Non-operating benefit (income) loss, while Cash flow hedges are recognized within Cost of products or Cost of services in our Condensed Consolidated and Combined Statements of Income.</w:t>
      </w:r>
    </w:p>
    <w:p>
      <w:pPr>
        <w:ind w:left="260" w:right="660" w:hanging="252"/>
        <w:spacing w:after="0" w:line="260"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pre-tax impact to Benefit plans of $(305) million for the pension plan amendment and related remeasurement of plan assets and benefit obligations. Refer to Note 9, “Postretirement Benefit Plans” for further information.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5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primary objective in executing and holding derivatives is to reduce the earnings and cash flow volatility associated with fluctuations in foreign currency exchange rates, equity prices, and commodity prices and hedge the volatility associated with the translation of the assets and liabilities of subsidiaries with a different functional currency than USD. These hedge contracts reduce, but do not entirely eliminate, the impact of foreign currency rate, equity price, and commodity price movements. The Company does not enter into or hold derivative instruments for speculative trading purposes.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total amount in AOCI related to cash flow hedges of foreign currency-denominated forecasted transactions was a $2 million gain, net of taxes, as of September 30, 2023. We expect to reclassify $10 million of pre-tax net deferred gains associated with designated cash flow hedges to earnings in the next 12 months, contemporaneously with the earnings effects of the related forecasted transactions. Pre-tax gains (losses) reclassified from AOCI into earnings were $(5) million and $17 million, for the three months ended September 30, 2023 and 2022, respectively, and $22 million and $34 million for the nine months ended September 30, 2023 and 2022, respectively. As of September 30, 2023, the maximum length of time over which we are hedging our forecasted transactions was approximately two years.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1"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Company uses derivative instruments to hedge the currency risk associated with its net investment in foreign operations. The derivative instruments include cross-currency swaps and foreign currency forward contracts in combination with foreign currency option contracts. As of September 30, 2023, the Company had $3,093 million gross notional of derivatives consisting mainly of $2,126 million receive-fixed USD, pay-fixed Euro (“EUR”) cross-currency swaps and $871 million notional Chinese renminbi-denominated foreign currency forward and options contracts. The Company entered into each of the forward contracts concurrently with two separate foreign currency option contracts for the same notional amounts and expiration dates as the forward contracts. These instruments were each designated as the hedging instruments in net investment hedging relationships in order to mitigate the foreign currency risk attributable to the translation of its net investment in certain EUR-functional and Chinese renminbi-functional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 as of the dates indicated: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4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September 30, 2023</w:t>
            </w:r>
          </w:p>
        </w:tc>
        <w:tc>
          <w:tcPr>
            <w:tcW w:w="160" w:type="dxa"/>
            <w:vAlign w:val="bottom"/>
          </w:tcPr>
          <w:p>
            <w:pPr>
              <w:spacing w:after="0"/>
              <w:rPr>
                <w:sz w:val="22"/>
                <w:szCs w:val="22"/>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7"/>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1,113</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2,126</w:t>
            </w:r>
          </w:p>
        </w:tc>
        <w:tc>
          <w:tcPr>
            <w:tcW w:w="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2,132</w:t>
            </w:r>
          </w:p>
        </w:tc>
        <w:tc>
          <w:tcPr>
            <w:tcW w:w="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3,093</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150</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2,132</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111</w:t>
            </w:r>
          </w:p>
        </w:tc>
      </w:tr>
      <w:tr>
        <w:trPr>
          <w:trHeight w:val="217"/>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exchange contracts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441</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660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4,877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5,116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9,083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8,488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(1) Other derivatives are comprised of embedded derivatives, equity contracts, and commodity derivatives.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Condensed Consolidated and Combined Statements of Financial Position and in the table above. The fair value of the derivatives contracts is recognized within All other current assets, All other assets, All other current liabilities, and All other liabilities in the Condensed Consolidated and Combined Statements of Financial Position based upon the contractual timing of settlements for these contracts.</w:t>
      </w:r>
    </w:p>
    <w:p>
      <w:pPr>
        <w:spacing w:after="0" w:line="13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September 30, 2023, the potential effect of rights of offset associated with the derivative contracts would be an offset to both assets and liabilities by $56 million.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4060" w:type="dxa"/>
            <w:vAlign w:val="bottom"/>
          </w:tcPr>
          <w:p>
            <w:pPr>
              <w:spacing w:after="0"/>
              <w:rPr>
                <w:sz w:val="21"/>
                <w:szCs w:val="21"/>
                <w:color w:val="auto"/>
              </w:rPr>
            </w:pPr>
          </w:p>
        </w:tc>
        <w:tc>
          <w:tcPr>
            <w:tcW w:w="3580" w:type="dxa"/>
            <w:vAlign w:val="bottom"/>
            <w:gridSpan w:val="4"/>
          </w:tcPr>
          <w:p>
            <w:pPr>
              <w:ind w:left="120"/>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1"/>
                <w:szCs w:val="21"/>
                <w:color w:val="auto"/>
              </w:rPr>
            </w:pPr>
          </w:p>
        </w:tc>
        <w:tc>
          <w:tcPr>
            <w:tcW w:w="34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6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406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c>
          <w:tcPr>
            <w:tcW w:w="42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40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4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24 $</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r>
      <w:tr>
        <w:trPr>
          <w:trHeight w:val="224"/>
        </w:trPr>
        <w:tc>
          <w:tcPr>
            <w:tcW w:w="4060" w:type="dxa"/>
            <w:vAlign w:val="bottom"/>
          </w:tcPr>
          <w:p>
            <w:pPr>
              <w:ind w:left="20"/>
              <w:spacing w:after="0"/>
              <w:rPr>
                <w:sz w:val="20"/>
                <w:szCs w:val="20"/>
                <w:color w:val="auto"/>
              </w:rPr>
            </w:pPr>
            <w:r>
              <w:rPr>
                <w:rFonts w:ascii="Arial" w:cs="Arial" w:eastAsia="Arial" w:hAnsi="Arial"/>
                <w:sz w:val="16"/>
                <w:szCs w:val="16"/>
                <w:color w:val="auto"/>
              </w:rPr>
              <w:t>Net investment hedges</w:t>
            </w:r>
          </w:p>
        </w:tc>
        <w:tc>
          <w:tcPr>
            <w:tcW w:w="1260" w:type="dxa"/>
            <w:vAlign w:val="bottom"/>
          </w:tcPr>
          <w:p>
            <w:pPr>
              <w:spacing w:after="0"/>
              <w:rPr>
                <w:sz w:val="19"/>
                <w:szCs w:val="19"/>
                <w:color w:val="auto"/>
              </w:rPr>
            </w:pPr>
          </w:p>
        </w:tc>
        <w:tc>
          <w:tcPr>
            <w:tcW w:w="1880" w:type="dxa"/>
            <w:vAlign w:val="bottom"/>
          </w:tcPr>
          <w:p>
            <w:pPr>
              <w:ind w:left="220"/>
              <w:spacing w:after="0"/>
              <w:rPr>
                <w:sz w:val="20"/>
                <w:szCs w:val="20"/>
                <w:color w:val="auto"/>
              </w:rPr>
            </w:pPr>
            <w:r>
              <w:rPr>
                <w:rFonts w:ascii="Arial" w:cs="Arial" w:eastAsia="Arial" w:hAnsi="Arial"/>
                <w:sz w:val="16"/>
                <w:szCs w:val="16"/>
                <w:color w:val="auto"/>
              </w:rPr>
              <w:t>64</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the gains (losses) of our derivative financial instruments in the Condensed Consolidated and Combined Statements of Income.</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 Financial Instruments</w:t>
      </w:r>
    </w:p>
    <w:p>
      <w:pPr>
        <w:spacing w:after="0" w:line="73" w:lineRule="exact"/>
        <w:rPr>
          <w:sz w:val="20"/>
          <w:szCs w:val="20"/>
          <w:color w:val="auto"/>
        </w:rPr>
      </w:pPr>
    </w:p>
    <w:p>
      <w:pPr>
        <w:ind w:left="3520"/>
        <w:spacing w:after="0"/>
        <w:tabs>
          <w:tab w:leader="none" w:pos="7440" w:val="left"/>
        </w:tabs>
        <w:rPr>
          <w:sz w:val="20"/>
          <w:szCs w:val="20"/>
          <w:color w:val="auto"/>
        </w:rPr>
      </w:pPr>
      <w:r>
        <w:rPr>
          <w:rFonts w:ascii="Arial" w:cs="Arial" w:eastAsia="Arial" w:hAnsi="Arial"/>
          <w:sz w:val="16"/>
          <w:szCs w:val="16"/>
          <w:b w:val="1"/>
          <w:bCs w:val="1"/>
          <w:color w:val="454545"/>
        </w:rPr>
        <w:t>For the three months ended September 30, 2023</w:t>
        <w:tab/>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40640</wp:posOffset>
            </wp:positionV>
            <wp:extent cx="49549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p>
      <w:pPr>
        <w:spacing w:after="0" w:line="86"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454545"/>
        </w:rPr>
        <w:t>Selling,</w:t>
      </w:r>
    </w:p>
    <w:p>
      <w:pPr>
        <w:spacing w:after="0" w:line="39" w:lineRule="exact"/>
        <w:rPr>
          <w:sz w:val="20"/>
          <w:szCs w:val="20"/>
          <w:color w:val="auto"/>
        </w:rPr>
      </w:pPr>
    </w:p>
    <w:p>
      <w:pPr>
        <w:ind w:left="3600"/>
        <w:spacing w:after="0"/>
        <w:tabs>
          <w:tab w:leader="none" w:pos="4480" w:val="left"/>
          <w:tab w:leader="none" w:pos="5340" w:val="left"/>
        </w:tabs>
        <w:rPr>
          <w:sz w:val="20"/>
          <w:szCs w:val="20"/>
          <w:color w:val="auto"/>
        </w:rPr>
      </w:pP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general and</w:t>
      </w:r>
    </w:p>
    <w:p>
      <w:pPr>
        <w:spacing w:after="0" w:line="16" w:lineRule="exact"/>
        <w:rPr>
          <w:sz w:val="20"/>
          <w:szCs w:val="20"/>
          <w:color w:val="auto"/>
        </w:rPr>
      </w:pPr>
    </w:p>
    <w:p>
      <w:pPr>
        <w:ind w:left="3540"/>
        <w:spacing w:after="0"/>
        <w:tabs>
          <w:tab w:leader="none" w:pos="4420" w:val="left"/>
          <w:tab w:leader="none" w:pos="5240" w:val="left"/>
          <w:tab w:leader="none" w:pos="6560" w:val="left"/>
        </w:tabs>
        <w:rPr>
          <w:sz w:val="20"/>
          <w:szCs w:val="20"/>
          <w:color w:val="auto"/>
        </w:rPr>
      </w:pPr>
      <w:r>
        <w:rPr>
          <w:rFonts w:ascii="Arial" w:cs="Arial" w:eastAsia="Arial" w:hAnsi="Arial"/>
          <w:sz w:val="16"/>
          <w:szCs w:val="16"/>
          <w:b w:val="1"/>
          <w:bCs w:val="1"/>
          <w:color w:val="454545"/>
        </w:rPr>
        <w:t>products</w:t>
        <w:tab/>
        <w:t>services</w:t>
        <w:tab/>
        <w:t>administrative</w:t>
      </w:r>
      <w:r>
        <w:rPr>
          <w:sz w:val="20"/>
          <w:szCs w:val="20"/>
          <w:color w:val="auto"/>
        </w:rPr>
        <w:tab/>
      </w:r>
      <w:r>
        <w:rPr>
          <w:rFonts w:ascii="Arial" w:cs="Arial" w:eastAsia="Arial" w:hAnsi="Arial"/>
          <w:sz w:val="15"/>
          <w:szCs w:val="15"/>
          <w:b w:val="1"/>
          <w:bCs w:val="1"/>
          <w:color w:val="454545"/>
        </w:rPr>
        <w:t>Other</w:t>
      </w:r>
      <w:r>
        <w:rPr>
          <w:rFonts w:ascii="Arial" w:cs="Arial" w:eastAsia="Arial" w:hAnsi="Arial"/>
          <w:sz w:val="19"/>
          <w:szCs w:val="19"/>
          <w:b w:val="1"/>
          <w:bCs w:val="1"/>
          <w:color w:val="454545"/>
          <w:vertAlign w:val="superscript"/>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454545"/>
        </w:rPr>
        <w:t>Selling,</w:t>
      </w:r>
    </w:p>
    <w:p>
      <w:pPr>
        <w:spacing w:after="0" w:line="39" w:lineRule="exact"/>
        <w:rPr>
          <w:sz w:val="20"/>
          <w:szCs w:val="20"/>
          <w:color w:val="auto"/>
        </w:rPr>
      </w:pPr>
    </w:p>
    <w:p>
      <w:pPr>
        <w:ind w:left="60"/>
        <w:spacing w:after="0"/>
        <w:tabs>
          <w:tab w:leader="none" w:pos="940" w:val="left"/>
          <w:tab w:leader="none" w:pos="1800" w:val="left"/>
        </w:tabs>
        <w:rPr>
          <w:sz w:val="20"/>
          <w:szCs w:val="20"/>
          <w:color w:val="auto"/>
        </w:rPr>
      </w:pP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general and</w:t>
      </w:r>
    </w:p>
    <w:p>
      <w:pPr>
        <w:spacing w:after="0" w:line="16" w:lineRule="exact"/>
        <w:rPr>
          <w:sz w:val="20"/>
          <w:szCs w:val="20"/>
          <w:color w:val="auto"/>
        </w:rPr>
      </w:pPr>
    </w:p>
    <w:p>
      <w:pPr>
        <w:spacing w:after="0"/>
        <w:tabs>
          <w:tab w:leader="none" w:pos="900" w:val="left"/>
          <w:tab w:leader="none" w:pos="1700" w:val="left"/>
          <w:tab w:leader="none" w:pos="3020" w:val="left"/>
        </w:tabs>
        <w:rPr>
          <w:sz w:val="20"/>
          <w:szCs w:val="20"/>
          <w:color w:val="auto"/>
        </w:rPr>
      </w:pPr>
      <w:r>
        <w:rPr>
          <w:rFonts w:ascii="Arial" w:cs="Arial" w:eastAsia="Arial" w:hAnsi="Arial"/>
          <w:sz w:val="16"/>
          <w:szCs w:val="16"/>
          <w:b w:val="1"/>
          <w:bCs w:val="1"/>
          <w:color w:val="454545"/>
        </w:rPr>
        <w:t>products</w:t>
        <w:tab/>
        <w:t>services</w:t>
        <w:tab/>
        <w:t>administrative</w:t>
      </w:r>
      <w:r>
        <w:rPr>
          <w:sz w:val="20"/>
          <w:szCs w:val="20"/>
          <w:color w:val="auto"/>
        </w:rPr>
        <w:tab/>
      </w:r>
      <w:r>
        <w:rPr>
          <w:rFonts w:ascii="Arial" w:cs="Arial" w:eastAsia="Arial" w:hAnsi="Arial"/>
          <w:sz w:val="15"/>
          <w:szCs w:val="15"/>
          <w:b w:val="1"/>
          <w:bCs w:val="1"/>
          <w:color w:val="454545"/>
        </w:rPr>
        <w:t>Other</w:t>
      </w:r>
      <w:r>
        <w:rPr>
          <w:rFonts w:ascii="Arial" w:cs="Arial" w:eastAsia="Arial" w:hAnsi="Arial"/>
          <w:sz w:val="19"/>
          <w:szCs w:val="19"/>
          <w:b w:val="1"/>
          <w:bCs w:val="1"/>
          <w:color w:val="454545"/>
          <w:vertAlign w:val="superscript"/>
        </w:rPr>
        <w:t>(2)</w:t>
      </w:r>
    </w:p>
    <w:p>
      <w:pPr>
        <w:spacing w:after="0" w:line="10" w:lineRule="exact"/>
        <w:rPr>
          <w:sz w:val="20"/>
          <w:szCs w:val="20"/>
          <w:color w:val="auto"/>
        </w:rPr>
      </w:pPr>
    </w:p>
    <w:p>
      <w:pPr>
        <w:sectPr>
          <w:pgSz w:w="11900" w:h="16838" w:orient="portrait"/>
          <w:cols w:equalWidth="0" w:num="2">
            <w:col w:w="7140" w:space="340"/>
            <w:col w:w="3760"/>
          </w:cols>
          <w:pgMar w:left="320" w:top="110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3260" w:type="dxa"/>
            <w:vAlign w:val="bottom"/>
            <w:tcBorders>
              <w:top w:val="single" w:sz="8" w:color="6022A6"/>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top w:val="single" w:sz="8" w:color="6022A6"/>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6022A6"/>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(1)</w:t>
            </w:r>
          </w:p>
        </w:tc>
        <w:tc>
          <w:tcPr>
            <w:tcW w:w="540" w:type="dxa"/>
            <w:vAlign w:val="bottom"/>
            <w:tcBorders>
              <w:top w:val="single" w:sz="8" w:color="6022A6"/>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6022A6"/>
              <w:bottom w:val="single" w:sz="8" w:color="E4E4E4"/>
            </w:tcBorders>
            <w:gridSpan w:val="2"/>
            <w:shd w:val="clear" w:color="auto" w:fill="E4E4E4"/>
          </w:tcPr>
          <w:p>
            <w:pPr>
              <w:ind w:left="420"/>
              <w:spacing w:after="0"/>
              <w:rPr>
                <w:sz w:val="20"/>
                <w:szCs w:val="20"/>
                <w:color w:val="auto"/>
              </w:rPr>
            </w:pPr>
            <w:r>
              <w:rPr>
                <w:rFonts w:ascii="Arial" w:cs="Arial" w:eastAsia="Arial" w:hAnsi="Arial"/>
                <w:sz w:val="16"/>
                <w:szCs w:val="16"/>
                <w:color w:val="auto"/>
              </w:rPr>
              <w:t>— $</w:t>
            </w:r>
          </w:p>
        </w:tc>
        <w:tc>
          <w:tcPr>
            <w:tcW w:w="540" w:type="dxa"/>
            <w:vAlign w:val="bottom"/>
            <w:tcBorders>
              <w:top w:val="single" w:sz="8" w:color="6022A6"/>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top w:val="single" w:sz="8" w:color="6022A6"/>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top w:val="single" w:sz="8" w:color="6022A6"/>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6022A6"/>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 $</w:t>
            </w:r>
          </w:p>
        </w:tc>
        <w:tc>
          <w:tcPr>
            <w:tcW w:w="5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(1)</w:t>
            </w:r>
          </w:p>
        </w:tc>
        <w:tc>
          <w:tcPr>
            <w:tcW w:w="5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3"/>
        </w:trPr>
        <w:tc>
          <w:tcPr>
            <w:tcW w:w="3260" w:type="dxa"/>
            <w:vAlign w:val="bottom"/>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 and</w:t>
            </w:r>
          </w:p>
        </w:tc>
        <w:tc>
          <w:tcPr>
            <w:tcW w:w="28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38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520" w:type="dxa"/>
            <w:vAlign w:val="bottom"/>
            <w:shd w:val="clear" w:color="auto" w:fill="E4E4E4"/>
          </w:tcPr>
          <w:p>
            <w:pPr>
              <w:spacing w:after="0"/>
              <w:rPr>
                <w:sz w:val="18"/>
                <w:szCs w:val="18"/>
                <w:color w:val="auto"/>
              </w:rPr>
            </w:pPr>
          </w:p>
        </w:tc>
      </w:tr>
      <w:tr>
        <w:trPr>
          <w:trHeight w:val="245"/>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options</w:t>
            </w:r>
          </w:p>
        </w:tc>
        <w:tc>
          <w:tcPr>
            <w:tcW w:w="28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net investment hedges</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8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5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5"/>
        </w:trPr>
        <w:tc>
          <w:tcPr>
            <w:tcW w:w="3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w:t>
            </w:r>
          </w:p>
        </w:tc>
        <w:tc>
          <w:tcPr>
            <w:tcW w:w="28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5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64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5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520" w:type="dxa"/>
            <w:vAlign w:val="bottom"/>
            <w:shd w:val="clear" w:color="auto" w:fill="E4E4E4"/>
          </w:tcPr>
          <w:p>
            <w:pPr>
              <w:spacing w:after="0"/>
              <w:rPr>
                <w:sz w:val="17"/>
                <w:szCs w:val="17"/>
                <w:color w:val="auto"/>
              </w:rPr>
            </w:pPr>
          </w:p>
        </w:tc>
      </w:tr>
      <w:tr>
        <w:trPr>
          <w:trHeight w:val="253"/>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b w:val="1"/>
                <w:bCs w:val="1"/>
                <w:color w:val="auto"/>
              </w:rPr>
              <w:t>(9)</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b w:val="1"/>
                <w:bCs w:val="1"/>
                <w:color w:val="auto"/>
              </w:rPr>
              <w:t>(2)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b w:val="1"/>
                <w:bCs w:val="1"/>
                <w:color w:val="auto"/>
              </w:rPr>
              <w:t>— $</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r>
      <w:tr>
        <w:trPr>
          <w:trHeight w:val="567"/>
        </w:trPr>
        <w:tc>
          <w:tcPr>
            <w:tcW w:w="3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7"/>
          </w:tcPr>
          <w:p>
            <w:pPr>
              <w:jc w:val="right"/>
              <w:ind w:right="59"/>
              <w:spacing w:after="0"/>
              <w:rPr>
                <w:sz w:val="20"/>
                <w:szCs w:val="20"/>
                <w:color w:val="auto"/>
              </w:rPr>
            </w:pPr>
            <w:r>
              <w:rPr>
                <w:rFonts w:ascii="Arial" w:cs="Arial" w:eastAsia="Arial" w:hAnsi="Arial"/>
                <w:sz w:val="16"/>
                <w:szCs w:val="16"/>
                <w:b w:val="1"/>
                <w:bCs w:val="1"/>
                <w:color w:val="454545"/>
              </w:rPr>
              <w:t>For the nine months ended September 30, 2023</w:t>
            </w:r>
          </w:p>
        </w:tc>
        <w:tc>
          <w:tcPr>
            <w:tcW w:w="16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454545"/>
              </w:rPr>
              <w:t>For the nine months ended September 30,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13335</wp:posOffset>
            </wp:positionV>
            <wp:extent cx="4954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p>
      <w:pPr>
        <w:spacing w:after="0" w:line="43"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454545"/>
        </w:rPr>
        <w:t>Selling,</w:t>
      </w:r>
    </w:p>
    <w:p>
      <w:pPr>
        <w:spacing w:after="0" w:line="39" w:lineRule="exact"/>
        <w:rPr>
          <w:sz w:val="20"/>
          <w:szCs w:val="20"/>
          <w:color w:val="auto"/>
        </w:rPr>
      </w:pPr>
    </w:p>
    <w:p>
      <w:pPr>
        <w:ind w:left="3600"/>
        <w:spacing w:after="0"/>
        <w:tabs>
          <w:tab w:leader="none" w:pos="4480" w:val="left"/>
          <w:tab w:leader="none" w:pos="5340" w:val="left"/>
        </w:tabs>
        <w:rPr>
          <w:sz w:val="20"/>
          <w:szCs w:val="20"/>
          <w:color w:val="auto"/>
        </w:rPr>
      </w:pP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general and</w:t>
      </w:r>
    </w:p>
    <w:p>
      <w:pPr>
        <w:spacing w:after="0" w:line="16" w:lineRule="exact"/>
        <w:rPr>
          <w:sz w:val="20"/>
          <w:szCs w:val="20"/>
          <w:color w:val="auto"/>
        </w:rPr>
      </w:pPr>
    </w:p>
    <w:p>
      <w:pPr>
        <w:ind w:left="3540"/>
        <w:spacing w:after="0"/>
        <w:tabs>
          <w:tab w:leader="none" w:pos="4420" w:val="left"/>
          <w:tab w:leader="none" w:pos="5240" w:val="left"/>
          <w:tab w:leader="none" w:pos="6560" w:val="left"/>
        </w:tabs>
        <w:rPr>
          <w:sz w:val="20"/>
          <w:szCs w:val="20"/>
          <w:color w:val="auto"/>
        </w:rPr>
      </w:pPr>
      <w:r>
        <w:rPr>
          <w:rFonts w:ascii="Arial" w:cs="Arial" w:eastAsia="Arial" w:hAnsi="Arial"/>
          <w:sz w:val="16"/>
          <w:szCs w:val="16"/>
          <w:b w:val="1"/>
          <w:bCs w:val="1"/>
          <w:color w:val="454545"/>
        </w:rPr>
        <w:t>products</w:t>
        <w:tab/>
        <w:t>services</w:t>
        <w:tab/>
        <w:t>administrative</w:t>
      </w:r>
      <w:r>
        <w:rPr>
          <w:sz w:val="20"/>
          <w:szCs w:val="20"/>
          <w:color w:val="auto"/>
        </w:rPr>
        <w:tab/>
      </w:r>
      <w:r>
        <w:rPr>
          <w:rFonts w:ascii="Arial" w:cs="Arial" w:eastAsia="Arial" w:hAnsi="Arial"/>
          <w:sz w:val="15"/>
          <w:szCs w:val="15"/>
          <w:b w:val="1"/>
          <w:bCs w:val="1"/>
          <w:color w:val="454545"/>
        </w:rPr>
        <w:t>Other</w:t>
      </w:r>
      <w:r>
        <w:rPr>
          <w:rFonts w:ascii="Arial" w:cs="Arial" w:eastAsia="Arial" w:hAnsi="Arial"/>
          <w:sz w:val="19"/>
          <w:szCs w:val="19"/>
          <w:b w:val="1"/>
          <w:bCs w:val="1"/>
          <w:color w:val="454545"/>
          <w:vertAlign w:val="superscript"/>
        </w:rPr>
        <w:t>(2)</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454545"/>
        </w:rPr>
        <w:t>Selling,</w:t>
      </w:r>
    </w:p>
    <w:p>
      <w:pPr>
        <w:spacing w:after="0" w:line="39" w:lineRule="exact"/>
        <w:rPr>
          <w:sz w:val="20"/>
          <w:szCs w:val="20"/>
          <w:color w:val="auto"/>
        </w:rPr>
      </w:pPr>
    </w:p>
    <w:p>
      <w:pPr>
        <w:ind w:left="60"/>
        <w:spacing w:after="0"/>
        <w:tabs>
          <w:tab w:leader="none" w:pos="940" w:val="left"/>
          <w:tab w:leader="none" w:pos="1800" w:val="left"/>
        </w:tabs>
        <w:rPr>
          <w:sz w:val="20"/>
          <w:szCs w:val="20"/>
          <w:color w:val="auto"/>
        </w:rPr>
      </w:pP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Cost of</w:t>
      </w:r>
      <w:r>
        <w:rPr>
          <w:sz w:val="20"/>
          <w:szCs w:val="20"/>
          <w:color w:val="auto"/>
        </w:rPr>
        <w:tab/>
      </w:r>
      <w:r>
        <w:rPr>
          <w:rFonts w:ascii="Arial" w:cs="Arial" w:eastAsia="Arial" w:hAnsi="Arial"/>
          <w:sz w:val="16"/>
          <w:szCs w:val="16"/>
          <w:b w:val="1"/>
          <w:bCs w:val="1"/>
          <w:color w:val="454545"/>
        </w:rPr>
        <w:t>general and</w:t>
      </w:r>
    </w:p>
    <w:p>
      <w:pPr>
        <w:spacing w:after="0" w:line="16" w:lineRule="exact"/>
        <w:rPr>
          <w:sz w:val="20"/>
          <w:szCs w:val="20"/>
          <w:color w:val="auto"/>
        </w:rPr>
      </w:pPr>
    </w:p>
    <w:p>
      <w:pPr>
        <w:spacing w:after="0"/>
        <w:tabs>
          <w:tab w:leader="none" w:pos="900" w:val="left"/>
          <w:tab w:leader="none" w:pos="1700" w:val="left"/>
          <w:tab w:leader="none" w:pos="3020" w:val="left"/>
        </w:tabs>
        <w:rPr>
          <w:sz w:val="20"/>
          <w:szCs w:val="20"/>
          <w:color w:val="auto"/>
        </w:rPr>
      </w:pPr>
      <w:r>
        <w:rPr>
          <w:rFonts w:ascii="Arial" w:cs="Arial" w:eastAsia="Arial" w:hAnsi="Arial"/>
          <w:sz w:val="16"/>
          <w:szCs w:val="16"/>
          <w:b w:val="1"/>
          <w:bCs w:val="1"/>
          <w:color w:val="454545"/>
        </w:rPr>
        <w:t>products</w:t>
        <w:tab/>
        <w:t>services</w:t>
        <w:tab/>
        <w:t>administrative</w:t>
      </w:r>
      <w:r>
        <w:rPr>
          <w:sz w:val="20"/>
          <w:szCs w:val="20"/>
          <w:color w:val="auto"/>
        </w:rPr>
        <w:tab/>
      </w:r>
      <w:r>
        <w:rPr>
          <w:rFonts w:ascii="Arial" w:cs="Arial" w:eastAsia="Arial" w:hAnsi="Arial"/>
          <w:sz w:val="15"/>
          <w:szCs w:val="15"/>
          <w:b w:val="1"/>
          <w:bCs w:val="1"/>
          <w:color w:val="454545"/>
        </w:rPr>
        <w:t>Other</w:t>
      </w:r>
      <w:r>
        <w:rPr>
          <w:rFonts w:ascii="Arial" w:cs="Arial" w:eastAsia="Arial" w:hAnsi="Arial"/>
          <w:sz w:val="19"/>
          <w:szCs w:val="19"/>
          <w:b w:val="1"/>
          <w:bCs w:val="1"/>
          <w:color w:val="454545"/>
          <w:vertAlign w:val="superscript"/>
        </w:rPr>
        <w:t>(2)</w:t>
      </w:r>
    </w:p>
    <w:p>
      <w:pPr>
        <w:spacing w:after="0" w:line="10" w:lineRule="exact"/>
        <w:rPr>
          <w:sz w:val="20"/>
          <w:szCs w:val="20"/>
          <w:color w:val="auto"/>
        </w:rPr>
      </w:pPr>
    </w:p>
    <w:p>
      <w:pPr>
        <w:sectPr>
          <w:pgSz w:w="11900" w:h="16838" w:orient="portrait"/>
          <w:cols w:equalWidth="0" w:num="2">
            <w:col w:w="7140" w:space="340"/>
            <w:col w:w="3760"/>
          </w:cols>
          <w:pgMar w:left="320" w:top="110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3260" w:type="dxa"/>
            <w:vAlign w:val="bottom"/>
            <w:tcBorders>
              <w:top w:val="single" w:sz="8" w:color="6022A6"/>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520" w:type="dxa"/>
            <w:vAlign w:val="bottom"/>
            <w:tcBorders>
              <w:top w:val="single" w:sz="8" w:color="6022A6"/>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top w:val="single" w:sz="8" w:color="6022A6"/>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top w:val="single" w:sz="8" w:color="6022A6"/>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6022A6"/>
              <w:bottom w:val="single" w:sz="8" w:color="E4E4E4"/>
            </w:tcBorders>
            <w:gridSpan w:val="2"/>
            <w:shd w:val="clear" w:color="auto" w:fill="E4E4E4"/>
          </w:tcPr>
          <w:p>
            <w:pPr>
              <w:jc w:val="right"/>
              <w:ind w:right="179"/>
              <w:spacing w:after="0"/>
              <w:rPr>
                <w:sz w:val="20"/>
                <w:szCs w:val="20"/>
                <w:color w:val="auto"/>
              </w:rPr>
            </w:pPr>
            <w:r>
              <w:rPr>
                <w:rFonts w:ascii="Arial" w:cs="Arial" w:eastAsia="Arial" w:hAnsi="Arial"/>
                <w:sz w:val="16"/>
                <w:szCs w:val="16"/>
                <w:color w:val="auto"/>
              </w:rPr>
              <w:t>— $</w:t>
            </w:r>
          </w:p>
        </w:tc>
        <w:tc>
          <w:tcPr>
            <w:tcW w:w="540" w:type="dxa"/>
            <w:vAlign w:val="bottom"/>
            <w:tcBorders>
              <w:top w:val="single" w:sz="8" w:color="6022A6"/>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6022A6"/>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60" w:type="dxa"/>
            <w:vAlign w:val="bottom"/>
            <w:tcBorders>
              <w:top w:val="single" w:sz="8" w:color="6022A6"/>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540" w:type="dxa"/>
            <w:vAlign w:val="bottom"/>
            <w:tcBorders>
              <w:top w:val="single" w:sz="8" w:color="6022A6"/>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6022A6"/>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 $</w:t>
            </w:r>
          </w:p>
        </w:tc>
        <w:tc>
          <w:tcPr>
            <w:tcW w:w="5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5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5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 and</w:t>
            </w:r>
          </w:p>
        </w:tc>
        <w:tc>
          <w:tcPr>
            <w:tcW w:w="520" w:type="dxa"/>
            <w:vAlign w:val="bottom"/>
            <w:shd w:val="clear" w:color="auto" w:fill="E4E4E4"/>
          </w:tcPr>
          <w:p>
            <w:pPr>
              <w:spacing w:after="0"/>
              <w:rPr>
                <w:sz w:val="18"/>
                <w:szCs w:val="18"/>
                <w:color w:val="auto"/>
              </w:rPr>
            </w:pPr>
          </w:p>
        </w:tc>
        <w:tc>
          <w:tcPr>
            <w:tcW w:w="54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4E4E4"/>
          </w:tcPr>
          <w:p>
            <w:pPr>
              <w:spacing w:after="0"/>
              <w:rPr>
                <w:sz w:val="18"/>
                <w:szCs w:val="18"/>
                <w:color w:val="auto"/>
              </w:rPr>
            </w:pPr>
          </w:p>
        </w:tc>
        <w:tc>
          <w:tcPr>
            <w:tcW w:w="50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E4E4E4"/>
          </w:tcPr>
          <w:p>
            <w:pPr>
              <w:spacing w:after="0"/>
              <w:rPr>
                <w:sz w:val="18"/>
                <w:szCs w:val="18"/>
                <w:color w:val="auto"/>
              </w:rPr>
            </w:pPr>
          </w:p>
        </w:tc>
        <w:tc>
          <w:tcPr>
            <w:tcW w:w="62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54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E4E4E4"/>
          </w:tcPr>
          <w:p>
            <w:pPr>
              <w:spacing w:after="0"/>
              <w:rPr>
                <w:sz w:val="18"/>
                <w:szCs w:val="18"/>
                <w:color w:val="auto"/>
              </w:rPr>
            </w:pPr>
          </w:p>
        </w:tc>
        <w:tc>
          <w:tcPr>
            <w:tcW w:w="54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E4E4E4"/>
          </w:tcPr>
          <w:p>
            <w:pPr>
              <w:spacing w:after="0"/>
              <w:rPr>
                <w:sz w:val="18"/>
                <w:szCs w:val="18"/>
                <w:color w:val="auto"/>
              </w:rPr>
            </w:pPr>
          </w:p>
        </w:tc>
        <w:tc>
          <w:tcPr>
            <w:tcW w:w="1020" w:type="dxa"/>
            <w:vAlign w:val="bottom"/>
            <w:vMerge w:val="restart"/>
            <w:shd w:val="clear" w:color="auto" w:fill="E4E4E4"/>
          </w:tcPr>
          <w:p>
            <w:pPr>
              <w:ind w:left="420"/>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options</w:t>
            </w:r>
          </w:p>
        </w:tc>
        <w:tc>
          <w:tcPr>
            <w:tcW w:w="5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vMerge w:val="continue"/>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vMerge w:val="continue"/>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vMerge w:val="continue"/>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vMerge w:val="continue"/>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vMerge w:val="continue"/>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vMerge w:val="continue"/>
            <w:shd w:val="clear" w:color="auto" w:fill="E4E4E4"/>
          </w:tcPr>
          <w:p>
            <w:pPr>
              <w:spacing w:after="0"/>
              <w:rPr>
                <w:sz w:val="20"/>
                <w:szCs w:val="20"/>
                <w:color w:val="auto"/>
              </w:rPr>
            </w:pPr>
          </w:p>
        </w:tc>
        <w:tc>
          <w:tcPr>
            <w:tcW w:w="520" w:type="dxa"/>
            <w:vAlign w:val="bottom"/>
            <w:tcBorders>
              <w:bottom w:val="single" w:sz="8" w:color="E4E4E4"/>
            </w:tcBorders>
            <w:vMerge w:val="continue"/>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net investment hedges</w:t>
            </w:r>
          </w:p>
        </w:tc>
        <w:tc>
          <w:tcPr>
            <w:tcW w:w="5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5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40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54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3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4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5"/>
        </w:trPr>
        <w:tc>
          <w:tcPr>
            <w:tcW w:w="3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w:t>
            </w:r>
          </w:p>
        </w:tc>
        <w:tc>
          <w:tcPr>
            <w:tcW w:w="52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5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62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36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5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5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46</w:t>
            </w:r>
          </w:p>
        </w:tc>
        <w:tc>
          <w:tcPr>
            <w:tcW w:w="40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ind w:left="420"/>
              <w:spacing w:after="0"/>
              <w:rPr>
                <w:sz w:val="20"/>
                <w:szCs w:val="20"/>
                <w:color w:val="auto"/>
              </w:rPr>
            </w:pPr>
            <w:r>
              <w:rPr>
                <w:rFonts w:ascii="Arial" w:cs="Arial" w:eastAsia="Arial" w:hAnsi="Arial"/>
                <w:sz w:val="16"/>
                <w:szCs w:val="16"/>
                <w:b w:val="1"/>
                <w:bCs w:val="1"/>
                <w:color w:val="auto"/>
              </w:rPr>
              <w:t>— $</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equity contracts, and commodity derivatives.</w:t>
      </w:r>
    </w:p>
    <w:p>
      <w:pPr>
        <w:spacing w:after="0" w:line="22" w:lineRule="exact"/>
        <w:rPr>
          <w:rFonts w:ascii="Arial" w:cs="Arial" w:eastAsia="Arial" w:hAnsi="Arial"/>
          <w:sz w:val="16"/>
          <w:szCs w:val="16"/>
          <w:color w:val="auto"/>
        </w:rPr>
      </w:pPr>
    </w:p>
    <w:p>
      <w:pPr>
        <w:ind w:left="260" w:right="540" w:hanging="252"/>
        <w:spacing w:after="0" w:line="278"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Amounts inclusive of Other income (expense) </w:t>
      </w:r>
      <w:r>
        <w:rPr>
          <w:rFonts w:ascii="Arial" w:cs="Arial" w:eastAsia="Arial" w:hAnsi="Arial"/>
          <w:sz w:val="19"/>
          <w:szCs w:val="19"/>
          <w:color w:val="auto"/>
        </w:rPr>
        <w:t>–</w:t>
      </w:r>
      <w:r>
        <w:rPr>
          <w:rFonts w:ascii="Arial" w:cs="Arial" w:eastAsia="Arial" w:hAnsi="Arial"/>
          <w:sz w:val="16"/>
          <w:szCs w:val="16"/>
          <w:color w:val="auto"/>
        </w:rPr>
        <w:t xml:space="preserve"> net and Interest and other financial charges </w:t>
      </w:r>
      <w:r>
        <w:rPr>
          <w:rFonts w:ascii="Arial" w:cs="Arial" w:eastAsia="Arial" w:hAnsi="Arial"/>
          <w:sz w:val="19"/>
          <w:szCs w:val="19"/>
          <w:color w:val="auto"/>
        </w:rPr>
        <w:t>–</w:t>
      </w:r>
      <w:r>
        <w:rPr>
          <w:rFonts w:ascii="Arial" w:cs="Arial" w:eastAsia="Arial" w:hAnsi="Arial"/>
          <w:sz w:val="16"/>
          <w:szCs w:val="16"/>
          <w:color w:val="auto"/>
        </w:rPr>
        <w:t xml:space="preserve"> net on the Condensed Consolidated and Combined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financial assets and liabilities that are recorded and measured at fair value on a recurring basis.</w:t>
      </w:r>
    </w:p>
    <w:p>
      <w:pPr>
        <w:sectPr>
          <w:pgSz w:w="11900" w:h="16838" w:orient="portrait"/>
          <w:cols w:equalWidth="0" w:num="1">
            <w:col w:w="11240"/>
          </w:cols>
          <w:pgMar w:left="320" w:top="11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7"/>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Fair Value of Financial Assets and Liabilities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1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As of September 30, 2023</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As of December 31, 2022</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454545"/>
              </w:rPr>
              <w:t>Level 1</w:t>
            </w:r>
          </w:p>
        </w:tc>
        <w:tc>
          <w:tcPr>
            <w:tcW w:w="20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Level 1</w:t>
            </w:r>
          </w:p>
        </w:tc>
        <w:tc>
          <w:tcPr>
            <w:tcW w:w="20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126</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66</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35"/>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7"/>
        </w:trPr>
        <w:tc>
          <w:tcPr>
            <w:tcW w:w="370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Deferred compensation</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236</w:t>
            </w:r>
          </w:p>
        </w:tc>
        <w:tc>
          <w:tcPr>
            <w:tcW w:w="200" w:type="dxa"/>
            <w:vAlign w:val="bottom"/>
            <w:shd w:val="clear" w:color="auto" w:fill="E4E4E4"/>
          </w:tcPr>
          <w:p>
            <w:pPr>
              <w:spacing w:after="0"/>
              <w:rPr>
                <w:sz w:val="22"/>
                <w:szCs w:val="22"/>
                <w:color w:val="auto"/>
              </w:rPr>
            </w:pPr>
          </w:p>
        </w:tc>
        <w:tc>
          <w:tcPr>
            <w:tcW w:w="94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3</w:t>
            </w:r>
          </w:p>
        </w:tc>
        <w:tc>
          <w:tcPr>
            <w:tcW w:w="980" w:type="dxa"/>
            <w:vAlign w:val="bottom"/>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E4E4E4"/>
          </w:tcPr>
          <w:p>
            <w:pPr>
              <w:spacing w:after="0"/>
              <w:rPr>
                <w:sz w:val="22"/>
                <w:szCs w:val="22"/>
                <w:color w:val="auto"/>
              </w:rPr>
            </w:pPr>
          </w:p>
        </w:tc>
        <w:tc>
          <w:tcPr>
            <w:tcW w:w="92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2</w:t>
            </w:r>
          </w:p>
        </w:tc>
        <w:tc>
          <w:tcPr>
            <w:tcW w:w="980" w:type="dxa"/>
            <w:vAlign w:val="bottom"/>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24"/>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49</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(1) Certain deferred compensation plans whose value is derived from market-based securities values were transferred from GE as part of the Spin-Off.</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The contingent consideration liabilities as of September 30, 2023 and December 31, 2022 were recorded in connection with business acquisitions. Changes in the Level 3 fair value measurement of contingent consideration were not material during the nine months ended September 30, 2023.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long-term debt (including the current portion) as of September 30, 2023 and December 31, 2022 was $10,465 million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$8,512 million compared to a carrying value (which includes a reduction for amortized debt issuance costs and discounts) of $10,260 million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$8,241 million, respectively. The fair value of our borrowings is determined based on observable and quoted prices and spreads of comparable debt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benchmark securities and is considered Level 2 in the fair value hierarchy. See Note 8, “Borrowings” for further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7" w:lineRule="exact"/>
        <w:rPr>
          <w:sz w:val="20"/>
          <w:szCs w:val="20"/>
          <w:color w:val="auto"/>
        </w:rPr>
      </w:pPr>
    </w:p>
    <w:p>
      <w:pPr>
        <w:ind w:right="860"/>
        <w:spacing w:after="0" w:line="270" w:lineRule="auto"/>
        <w:rPr>
          <w:sz w:val="20"/>
          <w:szCs w:val="20"/>
          <w:color w:val="auto"/>
        </w:rPr>
      </w:pPr>
      <w:r>
        <w:rPr>
          <w:rFonts w:ascii="Arial" w:cs="Arial" w:eastAsia="Arial" w:hAnsi="Arial"/>
          <w:sz w:val="16"/>
          <w:szCs w:val="16"/>
          <w:color w:val="auto"/>
        </w:rPr>
        <w:t>Equity investments without readily determinable fair value as of September 30, 2023 and December 31, 2022 were $129 million and $117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 In addition, prior to Spin-Off GE had provided performance guarantees in certain jurisdictions where we lacked the legal structure to issue the requisite guarantees required on certain projects.</w:t>
      </w:r>
    </w:p>
    <w:p>
      <w:pPr>
        <w:spacing w:after="0" w:line="20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Following the Spin-Off, which was completed pursuant to a Separation and Distribution Agreement (the "Separation and Distribution Agreement"), the Company has remaining performance guarantees on behalf of GE. Under the Separation and Distribution Agreement, GE is obligated to use reasonable best efforts to replace the Company as the guarantor or terminate all such performance guarantees. Until such termination or replacement, in the event of non-fulfillment of contractual obligations by the relevant obligors, the Company could be obligated to make payments under the applicable instruments for which GE is obligated to reimburse and indemnify the Company. As of September 30, 2023 the Company’s maximum aggregate exposure, subject to GE reimbursement, is approximately $114 million.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175"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7"/>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Product Warranties</w:t>
            </w: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7380" w:type="dxa"/>
            <w:vAlign w:val="bottom"/>
          </w:tcPr>
          <w:p>
            <w:pPr>
              <w:spacing w:after="0"/>
              <w:rPr>
                <w:sz w:val="22"/>
                <w:szCs w:val="22"/>
                <w:color w:val="auto"/>
              </w:rPr>
            </w:pPr>
          </w:p>
        </w:tc>
        <w:tc>
          <w:tcPr>
            <w:tcW w:w="38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38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2022</w:t>
            </w: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7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c>
          <w:tcPr>
            <w:tcW w:w="4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(151)</w:t>
            </w: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7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189</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180</w:t>
            </w:r>
          </w:p>
        </w:tc>
      </w:tr>
      <w:tr>
        <w:trPr>
          <w:trHeight w:val="20"/>
        </w:trPr>
        <w:tc>
          <w:tcPr>
            <w:tcW w:w="7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and Combined Statements of Financial Position.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Also in February 2023, defendants filed a motion for a temporary, partial stay of further district court proceedings until the Supreme Court issues its decision in a separate case, Twitter, Inc. v. Taamneh, which also involves the U.S. Anti-Terrorism Act. In March 2023, the District Court granted the motion for a temporary, partial stay. In May 2023, the Supreme Court issued its opinion in Twitter, Inc. v. Taamneh, and the stay currently remains in effect. In June 2023, defendants petitioned the Supreme Court to review the D.C. Circuit’s decision. On October 2, 2023, the Supreme Court invited the Solicitor General to file a brief in this case expressing the views of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2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voluntarily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RESTRUCTURING AND OTHER ACTIVITIES – NET</w:t>
      </w:r>
    </w:p>
    <w:p>
      <w:pPr>
        <w:spacing w:after="0" w:line="265"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as a stand-alone company and mostly involve workforce reductions, organizational realignments, and revisions to our real estate footprint. Specifically, restructuring and other charges (gains) primarily include facility exit costs, employee-related termination benefits associated with workforce reductions, asset write-downs, and cease-use costs. For segment reporting, restructuring and other activities are not allocated.</w:t>
      </w:r>
    </w:p>
    <w:p>
      <w:pPr>
        <w:spacing w:after="0" w:line="22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As a result of committed restructuring initiatives, we recorded net expenses of $3 million and $88 million for the three months ended September 30, 2023 and 2022 and $34 million and $110 million for the nine months ended September 30, 2023 and 2022. These restructuring initiatives are expected to result in additional expenses of approximately $23 million, to be incurred primarily over the next 12 months, substantially related to employee-related termination benefits and facility exit costs. Restructuring expenses (gains) are recognized within Cost of products, Cost of services, or Selling, general, and administrative ("SG&amp;A"), as appropriate, in the Condensed Consolidated and Combined Statements of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7"/>
        </w:trPr>
        <w:tc>
          <w:tcPr>
            <w:tcW w:w="4000" w:type="dxa"/>
            <w:vAlign w:val="bottom"/>
          </w:tcPr>
          <w:p>
            <w:pPr>
              <w:spacing w:after="0"/>
              <w:rPr>
                <w:sz w:val="22"/>
                <w:szCs w:val="22"/>
                <w:color w:val="auto"/>
              </w:rPr>
            </w:pPr>
          </w:p>
        </w:tc>
        <w:tc>
          <w:tcPr>
            <w:tcW w:w="3640" w:type="dxa"/>
            <w:vAlign w:val="bottom"/>
            <w:gridSpan w:val="5"/>
          </w:tcPr>
          <w:p>
            <w:pPr>
              <w:ind w:left="160"/>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2"/>
                <w:szCs w:val="22"/>
                <w:color w:val="auto"/>
              </w:rPr>
            </w:pPr>
          </w:p>
        </w:tc>
        <w:tc>
          <w:tcPr>
            <w:tcW w:w="34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0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r>
      <w:tr>
        <w:trPr>
          <w:trHeight w:val="229"/>
        </w:trPr>
        <w:tc>
          <w:tcPr>
            <w:tcW w:w="4000" w:type="dxa"/>
            <w:vAlign w:val="bottom"/>
          </w:tcPr>
          <w:p>
            <w:pPr>
              <w:spacing w:after="0"/>
              <w:rPr>
                <w:sz w:val="19"/>
                <w:szCs w:val="19"/>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2023</w:t>
            </w:r>
          </w:p>
        </w:tc>
        <w:tc>
          <w:tcPr>
            <w:tcW w:w="44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400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r>
      <w:tr>
        <w:trPr>
          <w:trHeight w:val="230"/>
        </w:trPr>
        <w:tc>
          <w:tcPr>
            <w:tcW w:w="4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4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1"/>
        </w:trPr>
        <w:tc>
          <w:tcPr>
            <w:tcW w:w="4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4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E4E4E4"/>
            </w:tcBorders>
            <w:shd w:val="clear" w:color="auto" w:fill="E4E4E4"/>
          </w:tcPr>
          <w:p>
            <w:pPr>
              <w:spacing w:after="0"/>
              <w:rPr>
                <w:sz w:val="22"/>
                <w:szCs w:val="22"/>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 – net</w:t>
            </w: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 connection with the Spin-Off, GE transferred employee termination obligations for services already rendered of $31 million to GE HealthCare of which $5 million was remaining as of September 30, 2023. Liabilities related to restructuring are recognized within All other current liabilities and All other liabilities in the Condensed Consolidated and Combined Statements of Financial Position and totaled $70 million and $75 million as of September 30, 2023 and December 31,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grant stock options, restricted stock units (“RSU”), and performance share units (“PSU”)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w:t>
      </w:r>
    </w:p>
    <w:p>
      <w:pPr>
        <w:spacing w:after="0" w:line="22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Stock options provide employees the opportunity to purchase GE HealthCare shares in the future at the market price of our stock on the date the award is granted (the strike price). The options become exercisable over the vesting period, typically becoming fully vested in three to three and a half years, and expire ten years from the grant date if not exercised. RSUs provide an employee the right to shares of GE HealthCare stock when the restrictions lapse over the vesting period. Upon vesting, each RSU is converted into one share of GE HealthCare common stock. PSUs provide an employee with the right to receive shares of GE HealthCare stock based upon achievement of certain performance and market metrics. Upon vesting, each PSU earned is converted into one share of GE HealthCare common stock. We value stock options using a Black-Scholes option pricing model, RSUs using the market price on the grant date, and PSUs using the market price on the grant date and a Monte Carlo simulation as needed based on performance metrics.</w:t>
      </w:r>
    </w:p>
    <w:p>
      <w:pPr>
        <w:spacing w:after="0" w:line="227"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following tables provide the weighted average fair value of options, RSUs, and PSUs granted to employees during the nine months ended September 30, 2023 and the related weighted average stock option valuation assumptions used in the Black-Scholes model.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Weighted Average Grant Date Fair Value</w:t>
            </w:r>
          </w:p>
        </w:tc>
        <w:tc>
          <w:tcPr>
            <w:tcW w:w="3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4"/>
        </w:trPr>
        <w:tc>
          <w:tcPr>
            <w:tcW w:w="62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dollars)</w:t>
            </w:r>
          </w:p>
        </w:tc>
        <w:tc>
          <w:tcPr>
            <w:tcW w:w="3280" w:type="dxa"/>
            <w:vAlign w:val="bottom"/>
            <w:tcBorders>
              <w:bottom w:val="single" w:sz="8" w:color="6022A6"/>
            </w:tcBorders>
          </w:tcPr>
          <w:p>
            <w:pPr>
              <w:spacing w:after="0"/>
              <w:rPr>
                <w:sz w:val="23"/>
                <w:szCs w:val="23"/>
                <w:color w:val="auto"/>
              </w:rPr>
            </w:pPr>
          </w:p>
        </w:tc>
        <w:tc>
          <w:tcPr>
            <w:tcW w:w="16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September 30, 2023</w:t>
            </w:r>
          </w:p>
        </w:tc>
      </w:tr>
      <w:tr>
        <w:trPr>
          <w:trHeight w:val="234"/>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Stock options</w:t>
            </w:r>
          </w:p>
        </w:tc>
        <w:tc>
          <w:tcPr>
            <w:tcW w:w="3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6280" w:type="dxa"/>
            <w:vAlign w:val="bottom"/>
          </w:tcPr>
          <w:p>
            <w:pPr>
              <w:ind w:left="20"/>
              <w:spacing w:after="0"/>
              <w:rPr>
                <w:sz w:val="20"/>
                <w:szCs w:val="20"/>
                <w:color w:val="auto"/>
              </w:rPr>
            </w:pPr>
            <w:r>
              <w:rPr>
                <w:rFonts w:ascii="Arial" w:cs="Arial" w:eastAsia="Arial" w:hAnsi="Arial"/>
                <w:sz w:val="16"/>
                <w:szCs w:val="16"/>
                <w:color w:val="auto"/>
              </w:rPr>
              <w:t>RSUs</w:t>
            </w:r>
          </w:p>
        </w:tc>
        <w:tc>
          <w:tcPr>
            <w:tcW w:w="3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6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PSUs</w:t>
            </w:r>
          </w:p>
        </w:tc>
        <w:tc>
          <w:tcPr>
            <w:tcW w:w="3280" w:type="dxa"/>
            <w:vAlign w:val="bottom"/>
            <w:tcBorders>
              <w:bottom w:val="single" w:sz="8" w:color="E4E4E4"/>
            </w:tcBorders>
            <w:shd w:val="clear" w:color="auto" w:fill="E4E4E4"/>
          </w:tcPr>
          <w:p>
            <w:pPr>
              <w:spacing w:after="0"/>
              <w:rPr>
                <w:sz w:val="20"/>
                <w:szCs w:val="20"/>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628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Key Assumptions in the Black-Scholes Valuation for Stock Options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2023</w:t>
            </w:r>
          </w:p>
        </w:tc>
      </w:tr>
      <w:tr>
        <w:trPr>
          <w:trHeight w:val="21"/>
        </w:trPr>
        <w:tc>
          <w:tcPr>
            <w:tcW w:w="5560" w:type="dxa"/>
            <w:vAlign w:val="bottom"/>
            <w:tcBorders>
              <w:bottom w:val="single" w:sz="8" w:color="6022A6"/>
            </w:tcBorders>
          </w:tcPr>
          <w:p>
            <w:pPr>
              <w:spacing w:after="0" w:line="20" w:lineRule="exact"/>
              <w:rPr>
                <w:sz w:val="1"/>
                <w:szCs w:val="1"/>
                <w:color w:val="auto"/>
              </w:rPr>
            </w:pPr>
          </w:p>
        </w:tc>
        <w:tc>
          <w:tcPr>
            <w:tcW w:w="390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Risk free rate</w:t>
            </w:r>
          </w:p>
        </w:tc>
        <w:tc>
          <w:tcPr>
            <w:tcW w:w="3900" w:type="dxa"/>
            <w:vAlign w:val="bottom"/>
            <w:tcBorders>
              <w:bottom w:val="single" w:sz="8" w:color="E4E4E4"/>
            </w:tcBorders>
            <w:shd w:val="clear" w:color="auto" w:fill="E4E4E4"/>
          </w:tcPr>
          <w:p>
            <w:pPr>
              <w:spacing w:after="0"/>
              <w:rPr>
                <w:sz w:val="20"/>
                <w:szCs w:val="20"/>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39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0.01 %</w:t>
            </w:r>
          </w:p>
        </w:tc>
      </w:tr>
      <w:tr>
        <w:trPr>
          <w:trHeight w:val="33"/>
        </w:trPr>
        <w:tc>
          <w:tcPr>
            <w:tcW w:w="55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volatility</w:t>
            </w:r>
          </w:p>
        </w:tc>
        <w:tc>
          <w:tcPr>
            <w:tcW w:w="3900" w:type="dxa"/>
            <w:vAlign w:val="bottom"/>
            <w:tcBorders>
              <w:bottom w:val="single" w:sz="8" w:color="E4E4E4"/>
            </w:tcBorders>
            <w:shd w:val="clear" w:color="auto" w:fill="E4E4E4"/>
          </w:tcPr>
          <w:p>
            <w:pPr>
              <w:spacing w:after="0"/>
              <w:rPr>
                <w:sz w:val="20"/>
                <w:szCs w:val="20"/>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9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55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Strike price (in dollars)</w:t>
            </w:r>
          </w:p>
        </w:tc>
        <w:tc>
          <w:tcPr>
            <w:tcW w:w="3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72</w:t>
            </w:r>
          </w:p>
        </w:tc>
      </w:tr>
      <w:tr>
        <w:trPr>
          <w:trHeight w:val="20"/>
        </w:trPr>
        <w:tc>
          <w:tcPr>
            <w:tcW w:w="556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For new awards granted in 2023,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input was calculated using an annualized rate based on actual dividends declared.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Share-Based Compensation Activity</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2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454545"/>
              </w:rPr>
              <w:t>Stock options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454545"/>
              </w:rPr>
              <w:t>RSUs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r>
      <w:tr>
        <w:trPr>
          <w:trHeight w:val="205"/>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Weighted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w w:val="99"/>
              </w:rPr>
              <w:t>Weighted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Weighted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w w:val="99"/>
              </w:rPr>
              <w:t>Weighted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average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average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w w:val="99"/>
              </w:rPr>
              <w:t>average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exercise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contractual</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454545"/>
              </w:rPr>
              <w:t>Intrinsic</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grant date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contractual</w:t>
            </w:r>
          </w:p>
        </w:tc>
        <w:tc>
          <w:tcPr>
            <w:tcW w:w="16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6"/>
                <w:szCs w:val="16"/>
                <w:b w:val="1"/>
                <w:bCs w:val="1"/>
                <w:color w:val="454545"/>
              </w:rPr>
              <w:t>Intrinsic</w:t>
            </w:r>
          </w:p>
        </w:tc>
      </w:tr>
      <w:tr>
        <w:trPr>
          <w:trHeight w:val="203"/>
        </w:trPr>
        <w:tc>
          <w:tcPr>
            <w:tcW w:w="27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454545"/>
              </w:rPr>
              <w:t>price (in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term (in</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value (in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454545"/>
              </w:rPr>
              <w:t>Shares (in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(in</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term (in</w:t>
            </w:r>
          </w:p>
        </w:tc>
        <w:tc>
          <w:tcPr>
            <w:tcW w:w="16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454545"/>
              </w:rPr>
              <w:t>value (in</w:t>
            </w:r>
          </w:p>
        </w:tc>
      </w:tr>
      <w:tr>
        <w:trPr>
          <w:trHeight w:val="227"/>
        </w:trPr>
        <w:tc>
          <w:tcPr>
            <w:tcW w:w="27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40" w:type="dxa"/>
            <w:vAlign w:val="bottom"/>
          </w:tcPr>
          <w:p>
            <w:pPr>
              <w:spacing w:after="0"/>
              <w:rPr>
                <w:sz w:val="19"/>
                <w:szCs w:val="19"/>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454545"/>
              </w:rPr>
              <w:t>dollars)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millions)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thousands)</w:t>
            </w:r>
          </w:p>
        </w:tc>
        <w:tc>
          <w:tcPr>
            <w:tcW w:w="140" w:type="dxa"/>
            <w:vAlign w:val="bottom"/>
          </w:tcPr>
          <w:p>
            <w:pPr>
              <w:spacing w:after="0"/>
              <w:rPr>
                <w:sz w:val="19"/>
                <w:szCs w:val="19"/>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dollars)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6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r>
      <w:tr>
        <w:trPr>
          <w:trHeight w:val="213"/>
        </w:trPr>
        <w:tc>
          <w:tcPr>
            <w:tcW w:w="2720" w:type="dxa"/>
            <w:vAlign w:val="bottom"/>
            <w:shd w:val="clear" w:color="auto" w:fill="E4E4E4"/>
          </w:tcPr>
          <w:p>
            <w:pPr>
              <w:ind w:left="20"/>
              <w:spacing w:after="0"/>
              <w:rPr>
                <w:sz w:val="20"/>
                <w:szCs w:val="20"/>
                <w:color w:val="auto"/>
              </w:rPr>
            </w:pPr>
            <w:r>
              <w:rPr>
                <w:rFonts w:ascii="Arial" w:cs="Arial" w:eastAsia="Arial" w:hAnsi="Arial"/>
                <w:sz w:val="16"/>
                <w:szCs w:val="16"/>
                <w:color w:val="auto"/>
              </w:rPr>
              <w:t>Outstanding as of</w:t>
            </w:r>
          </w:p>
        </w:tc>
        <w:tc>
          <w:tcPr>
            <w:tcW w:w="10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r>
      <w:tr>
        <w:trPr>
          <w:trHeight w:val="240"/>
        </w:trPr>
        <w:tc>
          <w:tcPr>
            <w:tcW w:w="272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January 4, 2023</w:t>
            </w:r>
            <w:r>
              <w:rPr>
                <w:rFonts w:ascii="Arial" w:cs="Arial" w:eastAsia="Arial" w:hAnsi="Arial"/>
                <w:sz w:val="21"/>
                <w:szCs w:val="21"/>
                <w:color w:val="auto"/>
                <w:vertAlign w:val="superscript"/>
              </w:rPr>
              <w:t>(1)</w:t>
            </w: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3,738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10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3,551</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58</w:t>
            </w:r>
          </w:p>
        </w:tc>
        <w:tc>
          <w:tcPr>
            <w:tcW w:w="100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2,156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1,860</w:t>
            </w: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(524)</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04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(1,201)</w:t>
            </w:r>
          </w:p>
        </w:tc>
        <w:tc>
          <w:tcPr>
            <w:tcW w:w="1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56</w:t>
            </w:r>
          </w:p>
        </w:tc>
        <w:tc>
          <w:tcPr>
            <w:tcW w:w="100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r>
      <w:tr>
        <w:trPr>
          <w:trHeight w:val="223"/>
        </w:trPr>
        <w:tc>
          <w:tcPr>
            <w:tcW w:w="27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104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r>
      <w:tr>
        <w:trPr>
          <w:trHeight w:val="205"/>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w:t>
            </w: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September 30, 2023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5,042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3,940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268</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5"/>
        </w:trPr>
        <w:tc>
          <w:tcPr>
            <w:tcW w:w="27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Exercisable as of</w:t>
            </w:r>
          </w:p>
        </w:tc>
        <w:tc>
          <w:tcPr>
            <w:tcW w:w="106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92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9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900" w:type="dxa"/>
            <w:vAlign w:val="bottom"/>
            <w:shd w:val="clear" w:color="auto" w:fill="E4E4E4"/>
          </w:tcPr>
          <w:p>
            <w:pPr>
              <w:spacing w:after="0"/>
              <w:rPr>
                <w:sz w:val="17"/>
                <w:szCs w:val="17"/>
                <w:color w:val="auto"/>
              </w:rPr>
            </w:pPr>
          </w:p>
        </w:tc>
      </w:tr>
      <w:tr>
        <w:trPr>
          <w:trHeight w:val="253"/>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September 30, 2023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4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6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b w:val="1"/>
                <w:bCs w:val="1"/>
                <w:color w:val="auto"/>
              </w:rPr>
              <w:t>N/A</w:t>
            </w:r>
          </w:p>
        </w:tc>
      </w:tr>
      <w:tr>
        <w:trPr>
          <w:trHeight w:val="22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Expected to vest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3,363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60" w:right="340" w:hanging="252"/>
        <w:spacing w:after="0" w:line="270"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common stock began “regular way” trading on Nasdaq on January 4, 2023. The shares outstanding as of January 4, 2023 pertain to GE equity-based awards issued by GE in prior periods to employees of the Company that were converted to GE HealthCare equity-based awards as part of the Spin-Off.</w:t>
      </w:r>
    </w:p>
    <w:p>
      <w:pPr>
        <w:spacing w:after="0" w:line="162"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Total outstanding PSUs as of September 30, 2023 were 1,256 thousand shares. The intrinsic value and weighted average contractual term of PSUs outstanding were $85 million and 1.6 years, respectively.</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Share-based compensation expense is recognized within Cost of products, Cost of services, SG&amp;A, or Research and development (“R&amp;D”), as appropriate, in the Condensed Consolidated Statement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Share-based Compensation Expense</w:t>
            </w:r>
          </w:p>
        </w:tc>
        <w:tc>
          <w:tcPr>
            <w:tcW w:w="2280" w:type="dxa"/>
            <w:vAlign w:val="bottom"/>
            <w:gridSpan w:val="3"/>
          </w:tcPr>
          <w:p>
            <w:pPr>
              <w:ind w:left="20"/>
              <w:spacing w:after="0"/>
              <w:rPr>
                <w:sz w:val="20"/>
                <w:szCs w:val="20"/>
                <w:color w:val="auto"/>
              </w:rPr>
            </w:pPr>
            <w:r>
              <w:rPr>
                <w:rFonts w:ascii="Arial" w:cs="Arial" w:eastAsia="Arial" w:hAnsi="Arial"/>
                <w:sz w:val="16"/>
                <w:szCs w:val="16"/>
                <w:b w:val="1"/>
                <w:bCs w:val="1"/>
                <w:color w:val="454545"/>
              </w:rPr>
              <w:t>For the three months ended</w:t>
            </w: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For the nine months ended</w:t>
            </w:r>
          </w:p>
        </w:tc>
      </w:tr>
      <w:tr>
        <w:trPr>
          <w:trHeight w:val="225"/>
        </w:trPr>
        <w:tc>
          <w:tcPr>
            <w:tcW w:w="6780" w:type="dxa"/>
            <w:vAlign w:val="bottom"/>
            <w:tcBorders>
              <w:bottom w:val="single" w:sz="8" w:color="6022A6"/>
            </w:tcBorders>
          </w:tcPr>
          <w:p>
            <w:pPr>
              <w:spacing w:after="0"/>
              <w:rPr>
                <w:sz w:val="19"/>
                <w:szCs w:val="19"/>
                <w:color w:val="auto"/>
              </w:rPr>
            </w:pPr>
          </w:p>
        </w:tc>
        <w:tc>
          <w:tcPr>
            <w:tcW w:w="1900" w:type="dxa"/>
            <w:vAlign w:val="bottom"/>
            <w:tcBorders>
              <w:top w:val="single" w:sz="8" w:color="454545"/>
              <w:bottom w:val="single" w:sz="8" w:color="6022A6"/>
            </w:tcBorders>
          </w:tcPr>
          <w:p>
            <w:pPr>
              <w:ind w:left="340"/>
              <w:spacing w:after="0"/>
              <w:rPr>
                <w:sz w:val="20"/>
                <w:szCs w:val="20"/>
                <w:color w:val="auto"/>
              </w:rPr>
            </w:pPr>
            <w:r>
              <w:rPr>
                <w:rFonts w:ascii="Arial" w:cs="Arial" w:eastAsia="Arial" w:hAnsi="Arial"/>
                <w:sz w:val="16"/>
                <w:szCs w:val="16"/>
                <w:b w:val="1"/>
                <w:bCs w:val="1"/>
                <w:color w:val="454545"/>
              </w:rPr>
              <w:t>September 30, 2023</w:t>
            </w:r>
          </w:p>
        </w:tc>
        <w:tc>
          <w:tcPr>
            <w:tcW w:w="300" w:type="dxa"/>
            <w:vAlign w:val="bottom"/>
            <w:tcBorders>
              <w:top w:val="single" w:sz="8" w:color="454545"/>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1840" w:type="dxa"/>
            <w:vAlign w:val="bottom"/>
            <w:tcBorders>
              <w:top w:val="single" w:sz="8" w:color="454545"/>
              <w:bottom w:val="single" w:sz="8" w:color="6022A6"/>
            </w:tcBorders>
          </w:tcPr>
          <w:p>
            <w:pPr>
              <w:ind w:left="320"/>
              <w:spacing w:after="0"/>
              <w:rPr>
                <w:sz w:val="20"/>
                <w:szCs w:val="20"/>
                <w:color w:val="auto"/>
              </w:rPr>
            </w:pPr>
            <w:r>
              <w:rPr>
                <w:rFonts w:ascii="Arial" w:cs="Arial" w:eastAsia="Arial" w:hAnsi="Arial"/>
                <w:sz w:val="16"/>
                <w:szCs w:val="16"/>
                <w:b w:val="1"/>
                <w:bCs w:val="1"/>
                <w:color w:val="454545"/>
              </w:rPr>
              <w:t>September 30, 2023</w:t>
            </w:r>
          </w:p>
        </w:tc>
        <w:tc>
          <w:tcPr>
            <w:tcW w:w="340" w:type="dxa"/>
            <w:vAlign w:val="bottom"/>
            <w:tcBorders>
              <w:top w:val="single" w:sz="8" w:color="454545"/>
              <w:bottom w:val="single" w:sz="8" w:color="6022A6"/>
            </w:tcBorders>
          </w:tcPr>
          <w:p>
            <w:pPr>
              <w:spacing w:after="0"/>
              <w:rPr>
                <w:sz w:val="19"/>
                <w:szCs w:val="19"/>
                <w:color w:val="auto"/>
              </w:rPr>
            </w:pPr>
          </w:p>
        </w:tc>
      </w:tr>
      <w:tr>
        <w:trPr>
          <w:trHeight w:val="231"/>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 (pre-tax)</w:t>
            </w:r>
          </w:p>
        </w:tc>
        <w:tc>
          <w:tcPr>
            <w:tcW w:w="1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ind w:right="16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r>
      <w:tr>
        <w:trPr>
          <w:trHeight w:val="223"/>
        </w:trPr>
        <w:tc>
          <w:tcPr>
            <w:tcW w:w="6780" w:type="dxa"/>
            <w:vAlign w:val="bottom"/>
          </w:tcPr>
          <w:p>
            <w:pPr>
              <w:ind w:left="20"/>
              <w:spacing w:after="0"/>
              <w:rPr>
                <w:sz w:val="20"/>
                <w:szCs w:val="20"/>
                <w:color w:val="auto"/>
              </w:rPr>
            </w:pPr>
            <w:r>
              <w:rPr>
                <w:rFonts w:ascii="Arial" w:cs="Arial" w:eastAsia="Arial" w:hAnsi="Arial"/>
                <w:sz w:val="16"/>
                <w:szCs w:val="16"/>
                <w:color w:val="auto"/>
              </w:rPr>
              <w:t>Income tax benefits</w:t>
            </w:r>
          </w:p>
        </w:tc>
        <w:tc>
          <w:tcPr>
            <w:tcW w:w="1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5"/>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Share-based compensation expense (after-tax)</w:t>
            </w:r>
          </w:p>
        </w:tc>
        <w:tc>
          <w:tcPr>
            <w:tcW w:w="1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E4E4E4"/>
            </w:tcBorders>
            <w:shd w:val="clear" w:color="auto" w:fill="E4E4E4"/>
          </w:tcPr>
          <w:p>
            <w:pPr>
              <w:spacing w:after="0"/>
              <w:rPr>
                <w:sz w:val="21"/>
                <w:szCs w:val="21"/>
                <w:color w:val="auto"/>
              </w:rPr>
            </w:pPr>
          </w:p>
        </w:tc>
        <w:tc>
          <w:tcPr>
            <w:tcW w:w="1840" w:type="dxa"/>
            <w:vAlign w:val="bottom"/>
            <w:tcBorders>
              <w:bottom w:val="single" w:sz="8" w:color="E4E4E4"/>
            </w:tcBorders>
            <w:shd w:val="clear" w:color="auto" w:fill="E4E4E4"/>
          </w:tcPr>
          <w:p>
            <w:pPr>
              <w:jc w:val="right"/>
              <w:ind w:right="16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r>
      <w:tr>
        <w:trPr>
          <w:trHeight w:val="593"/>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Share-based Compensation Data</w:t>
            </w:r>
          </w:p>
        </w:tc>
        <w:tc>
          <w:tcPr>
            <w:tcW w:w="1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91"/>
        </w:trPr>
        <w:tc>
          <w:tcPr>
            <w:tcW w:w="6780" w:type="dxa"/>
            <w:vAlign w:val="bottom"/>
            <w:tcBorders>
              <w:bottom w:val="single" w:sz="8" w:color="6022A6"/>
            </w:tcBorders>
          </w:tcPr>
          <w:p>
            <w:pPr>
              <w:spacing w:after="0"/>
              <w:rPr>
                <w:sz w:val="24"/>
                <w:szCs w:val="24"/>
                <w:color w:val="auto"/>
              </w:rPr>
            </w:pPr>
          </w:p>
        </w:tc>
        <w:tc>
          <w:tcPr>
            <w:tcW w:w="1900" w:type="dxa"/>
            <w:vAlign w:val="bottom"/>
            <w:tcBorders>
              <w:bottom w:val="single" w:sz="8" w:color="6022A6"/>
            </w:tcBorders>
          </w:tcPr>
          <w:p>
            <w:pPr>
              <w:spacing w:after="0"/>
              <w:rPr>
                <w:sz w:val="24"/>
                <w:szCs w:val="24"/>
                <w:color w:val="auto"/>
              </w:rPr>
            </w:pPr>
          </w:p>
        </w:tc>
        <w:tc>
          <w:tcPr>
            <w:tcW w:w="300" w:type="dxa"/>
            <w:vAlign w:val="bottom"/>
            <w:tcBorders>
              <w:bottom w:val="single" w:sz="8" w:color="6022A6"/>
            </w:tcBorders>
          </w:tcPr>
          <w:p>
            <w:pPr>
              <w:spacing w:after="0"/>
              <w:rPr>
                <w:sz w:val="24"/>
                <w:szCs w:val="24"/>
                <w:color w:val="auto"/>
              </w:rPr>
            </w:pPr>
          </w:p>
        </w:tc>
        <w:tc>
          <w:tcPr>
            <w:tcW w:w="80" w:type="dxa"/>
            <w:vAlign w:val="bottom"/>
            <w:tcBorders>
              <w:bottom w:val="single" w:sz="8" w:color="6022A6"/>
            </w:tcBorders>
          </w:tcPr>
          <w:p>
            <w:pPr>
              <w:spacing w:after="0"/>
              <w:rPr>
                <w:sz w:val="24"/>
                <w:szCs w:val="24"/>
                <w:color w:val="auto"/>
              </w:rPr>
            </w:pPr>
          </w:p>
        </w:tc>
        <w:tc>
          <w:tcPr>
            <w:tcW w:w="1840" w:type="dxa"/>
            <w:vAlign w:val="bottom"/>
            <w:tcBorders>
              <w:bottom w:val="single" w:sz="8" w:color="6022A6"/>
            </w:tcBorders>
          </w:tcPr>
          <w:p>
            <w:pPr>
              <w:spacing w:after="0"/>
              <w:rPr>
                <w:sz w:val="24"/>
                <w:szCs w:val="24"/>
                <w:color w:val="auto"/>
              </w:rPr>
            </w:pPr>
          </w:p>
        </w:tc>
        <w:tc>
          <w:tcPr>
            <w:tcW w:w="340" w:type="dxa"/>
            <w:vAlign w:val="bottom"/>
            <w:tcBorders>
              <w:bottom w:val="single" w:sz="8" w:color="6022A6"/>
            </w:tcBorders>
          </w:tcPr>
          <w:p>
            <w:pPr>
              <w:spacing w:after="0"/>
              <w:rPr>
                <w:sz w:val="24"/>
                <w:szCs w:val="24"/>
                <w:color w:val="auto"/>
              </w:rPr>
            </w:pPr>
          </w:p>
        </w:tc>
      </w:tr>
      <w:tr>
        <w:trPr>
          <w:trHeight w:val="250"/>
        </w:trPr>
        <w:tc>
          <w:tcPr>
            <w:tcW w:w="6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Unrecognized compensation expense as of September 30, 2023</w:t>
            </w:r>
            <w:r>
              <w:rPr>
                <w:rFonts w:ascii="Arial" w:cs="Arial" w:eastAsia="Arial" w:hAnsi="Arial"/>
                <w:sz w:val="21"/>
                <w:szCs w:val="21"/>
                <w:color w:val="auto"/>
                <w:vertAlign w:val="superscript"/>
              </w:rPr>
              <w:t>(1)</w:t>
            </w:r>
          </w:p>
        </w:tc>
        <w:tc>
          <w:tcPr>
            <w:tcW w:w="19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840" w:type="dxa"/>
            <w:vAlign w:val="bottom"/>
            <w:shd w:val="clear" w:color="auto" w:fill="E4E4E4"/>
          </w:tcPr>
          <w:p>
            <w:pPr>
              <w:ind w:lef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174</w:t>
            </w:r>
          </w:p>
        </w:tc>
      </w:tr>
      <w:tr>
        <w:trPr>
          <w:trHeight w:val="223"/>
        </w:trPr>
        <w:tc>
          <w:tcPr>
            <w:tcW w:w="6780" w:type="dxa"/>
            <w:vAlign w:val="bottom"/>
          </w:tcPr>
          <w:p>
            <w:pPr>
              <w:ind w:left="20"/>
              <w:spacing w:after="0"/>
              <w:rPr>
                <w:sz w:val="20"/>
                <w:szCs w:val="20"/>
                <w:color w:val="auto"/>
              </w:rPr>
            </w:pPr>
            <w:r>
              <w:rPr>
                <w:rFonts w:ascii="Arial" w:cs="Arial" w:eastAsia="Arial" w:hAnsi="Arial"/>
                <w:sz w:val="16"/>
                <w:szCs w:val="16"/>
                <w:color w:val="auto"/>
              </w:rPr>
              <w:t>Cash received from stock options exercised for the nine months ended September 30, 2023</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86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1"/>
        </w:trPr>
        <w:tc>
          <w:tcPr>
            <w:tcW w:w="86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Intrinsic value of stock options exercised and RSU/PSUs vested in the nine months ended September 30, 2023</w:t>
            </w:r>
          </w:p>
        </w:tc>
        <w:tc>
          <w:tcPr>
            <w:tcW w:w="30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84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w:t>
            </w:r>
          </w:p>
        </w:tc>
      </w:tr>
      <w:tr>
        <w:trPr>
          <w:trHeight w:val="284"/>
        </w:trPr>
        <w:tc>
          <w:tcPr>
            <w:tcW w:w="6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 Amortized over a weighted average period of 2.0 years.</w:t>
            </w:r>
          </w:p>
        </w:tc>
        <w:tc>
          <w:tcPr>
            <w:tcW w:w="1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8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858"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16. EARNINGS PER SHARE</w:t>
      </w:r>
    </w:p>
    <w:p>
      <w:pPr>
        <w:spacing w:after="0" w:line="2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January 3, 2023, there were approximately 454 million shares of GE HealthCare common stock outstanding, including the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 which is fully associated with continuing operations. Subsequent to the Spin-Off, the dilutive effect of outstanding stock options, RSUs, and PSUs are reflected in the denominator for diluted earnings per share using the treasury stock method.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For the three months ended</w:t>
            </w:r>
          </w:p>
        </w:tc>
        <w:tc>
          <w:tcPr>
            <w:tcW w:w="260" w:type="dxa"/>
            <w:vAlign w:val="bottom"/>
          </w:tcPr>
          <w:p>
            <w:pPr>
              <w:spacing w:after="0"/>
              <w:rPr>
                <w:sz w:val="17"/>
                <w:szCs w:val="17"/>
                <w:color w:val="auto"/>
              </w:rPr>
            </w:pPr>
          </w:p>
        </w:tc>
        <w:tc>
          <w:tcPr>
            <w:tcW w:w="26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54"/>
        </w:trPr>
        <w:tc>
          <w:tcPr>
            <w:tcW w:w="5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September 30</w:t>
            </w:r>
          </w:p>
        </w:tc>
        <w:tc>
          <w:tcPr>
            <w:tcW w:w="26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54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Arial" w:cs="Arial" w:eastAsia="Arial" w:hAnsi="Arial"/>
                <w:sz w:val="16"/>
                <w:szCs w:val="16"/>
                <w:b w:val="1"/>
                <w:bCs w:val="1"/>
                <w:color w:val="454545"/>
                <w:w w:val="95"/>
              </w:rPr>
              <w:t>2022</w:t>
            </w:r>
          </w:p>
        </w:tc>
        <w:tc>
          <w:tcPr>
            <w:tcW w:w="0" w:type="dxa"/>
            <w:vAlign w:val="bottom"/>
          </w:tcPr>
          <w:p>
            <w:pPr>
              <w:spacing w:after="0"/>
              <w:rPr>
                <w:sz w:val="1"/>
                <w:szCs w:val="1"/>
                <w:color w:val="auto"/>
              </w:rPr>
            </w:pPr>
          </w:p>
        </w:tc>
      </w:tr>
      <w:tr>
        <w:trPr>
          <w:trHeight w:val="21"/>
        </w:trPr>
        <w:tc>
          <w:tcPr>
            <w:tcW w:w="54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common stockholders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986</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33"/>
        </w:trPr>
        <w:tc>
          <w:tcPr>
            <w:tcW w:w="5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0.83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0.83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2.16</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SUPPLEMENTAL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2"/>
        </w:trPr>
        <w:tc>
          <w:tcPr>
            <w:tcW w:w="730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2023</w:t>
            </w:r>
          </w:p>
        </w:tc>
        <w:tc>
          <w:tcPr>
            <w:tcW w:w="26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2,408</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1,440</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160" w:type="dxa"/>
            <w:vAlign w:val="bottom"/>
            <w:shd w:val="clear" w:color="auto" w:fill="E4E4E4"/>
          </w:tcPr>
          <w:p>
            <w:pPr>
              <w:spacing w:after="0"/>
              <w:rPr>
                <w:sz w:val="17"/>
                <w:szCs w:val="17"/>
                <w:color w:val="auto"/>
              </w:rPr>
            </w:pPr>
          </w:p>
        </w:tc>
        <w:tc>
          <w:tcPr>
            <w:tcW w:w="17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740" w:type="dxa"/>
            <w:vAlign w:val="bottom"/>
            <w:shd w:val="clear" w:color="auto" w:fill="E4E4E4"/>
          </w:tcPr>
          <w:p>
            <w:pPr>
              <w:spacing w:after="0"/>
              <w:rPr>
                <w:sz w:val="17"/>
                <w:szCs w:val="17"/>
                <w:color w:val="auto"/>
              </w:rPr>
            </w:pPr>
          </w:p>
        </w:tc>
      </w:tr>
      <w:tr>
        <w:trPr>
          <w:trHeight w:val="253"/>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and Combined Statements of Financial Position</w:t>
            </w:r>
          </w:p>
        </w:tc>
        <w:tc>
          <w:tcPr>
            <w:tcW w:w="160" w:type="dxa"/>
            <w:vAlign w:val="bottom"/>
            <w:tcBorders>
              <w:bottom w:val="single" w:sz="8" w:color="E4E4E4"/>
            </w:tcBorders>
            <w:shd w:val="clear" w:color="auto" w:fill="E4E4E4"/>
          </w:tcPr>
          <w:p>
            <w:pPr>
              <w:spacing w:after="0"/>
              <w:rPr>
                <w:sz w:val="21"/>
                <w:szCs w:val="21"/>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2,418</w:t>
            </w:r>
          </w:p>
        </w:tc>
        <w:tc>
          <w:tcPr>
            <w:tcW w:w="26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1,445</w:t>
            </w:r>
          </w:p>
        </w:tc>
      </w:tr>
      <w:tr>
        <w:trPr>
          <w:trHeight w:val="250"/>
        </w:trPr>
        <w:tc>
          <w:tcPr>
            <w:tcW w:w="73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(1)</w:t>
            </w: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1"/>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16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8"/>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and Combined Statements of Cash Flows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2,420</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1,451</w:t>
            </w:r>
          </w:p>
        </w:tc>
      </w:tr>
      <w:tr>
        <w:trPr>
          <w:trHeight w:val="20"/>
        </w:trPr>
        <w:tc>
          <w:tcPr>
            <w:tcW w:w="7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Long-term restricted cash is recognized within All other assets in the Condensed Consolidated and Combined Statements of Financial Position.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2"/>
        </w:trPr>
        <w:tc>
          <w:tcPr>
            <w:tcW w:w="732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2023</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1,053</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1,039</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1,011</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w:t>
            </w:r>
          </w:p>
        </w:tc>
      </w:tr>
    </w:tbl>
    <w:p>
      <w:pPr>
        <w:spacing w:after="0" w:line="84" w:lineRule="exact"/>
        <w:rPr>
          <w:sz w:val="20"/>
          <w:szCs w:val="20"/>
          <w:color w:val="auto"/>
        </w:rPr>
      </w:pPr>
    </w:p>
    <w:p>
      <w:pPr>
        <w:ind w:left="260" w:right="760" w:hanging="252"/>
        <w:spacing w:after="0" w:line="29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assets in the Condensed Consolidated and Combined Statements of Financial Position.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2023</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Original cost</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5,011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4,989</w:t>
            </w: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(2,995)</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(2,988)</w:t>
            </w: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w:t>
            </w:r>
          </w:p>
        </w:tc>
        <w:tc>
          <w:tcPr>
            <w:tcW w:w="160" w:type="dxa"/>
            <w:vAlign w:val="bottom"/>
            <w:tcBorders>
              <w:bottom w:val="single" w:sz="8" w:color="E4E4E4"/>
            </w:tcBorders>
            <w:shd w:val="clear" w:color="auto" w:fill="E4E4E4"/>
          </w:tcPr>
          <w:p>
            <w:pPr>
              <w:spacing w:after="0"/>
              <w:rPr>
                <w:sz w:val="22"/>
                <w:szCs w:val="22"/>
                <w:color w:val="auto"/>
              </w:rPr>
            </w:pP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339</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2,355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2,314</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CURRENT AND NON-CURRENT ASSETS.</w:t>
      </w:r>
    </w:p>
    <w:p>
      <w:pPr>
        <w:spacing w:after="0" w:line="25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All other current assets primarily include prepaid expenses and deferred costs, derivative instruments, and financing receivables – net. All other non-current assets primarily include pension assets, equity method and other investments, financing receivables – net, contract and other deferred assets, inventories, and customer and sundry receivables – net. All other current and non-current assets increased in the nine months ended September 30, 2023, primarily due to assets transferred from GE as a result of the Spin-Off. Refer to Note 1, “Organization and Basis of Presentation” for further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CURRENT AND NON-CURRENT LIABILITIES.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All other current liabilities primarily include employee compensation and benefits liabilities, sales allowances, equipment projects and other commercial liabilities, uncertain and other income tax payable, product warranties, interest payable, accrued freight and utilities, operating lease liabilities, and derivative instruments. All other non-current liabilities primarily include contract liabilities, operating lease liabilities, environmental, health and safety obligations, uncertain and other income tax payable, and derivative instruments. All other current and non-current liabilities increased in the nine months ended September 30, 2023, primarily due to liabilities transferred from GE as a result of the Spin-Off. Refer to Note 1, “Organization and Basis of Presentation”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70"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programs, payment terms normally range from 30 to 150 days, not exceeding 180 days, depending on the underlying supplier agreements. Included in Accounts payable as of September 30, 2023 and December 31, 2022 were $396 million and $392 million, respectively, of confirmed supplier invoices that are outstanding and subject to the third-party programs.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such as a change of control of the Company. All noncontrolling interests with redemption features that are not solely within our control are recognized within the Condensed Consolidated and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 change of control is generally not considered probable until it occurs.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nine months ended September 30, 2023 and 2022 is presented below.</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356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c>
          <w:tcPr>
            <w:tcW w:w="36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r>
      <w:tr>
        <w:trPr>
          <w:trHeight w:val="222"/>
        </w:trPr>
        <w:tc>
          <w:tcPr>
            <w:tcW w:w="732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600" w:type="dxa"/>
            <w:vAlign w:val="bottom"/>
            <w:tcBorders>
              <w:bottom w:val="single" w:sz="8" w:color="6022A6"/>
            </w:tcBorders>
          </w:tcPr>
          <w:p>
            <w:pPr>
              <w:spacing w:after="0"/>
              <w:rPr>
                <w:sz w:val="19"/>
                <w:szCs w:val="19"/>
                <w:color w:val="auto"/>
              </w:rPr>
            </w:pPr>
          </w:p>
        </w:tc>
        <w:tc>
          <w:tcPr>
            <w:tcW w:w="1580" w:type="dxa"/>
            <w:vAlign w:val="bottom"/>
            <w:tcBorders>
              <w:bottom w:val="single" w:sz="8" w:color="6022A6"/>
            </w:tcBorders>
          </w:tcPr>
          <w:p>
            <w:pPr>
              <w:jc w:val="right"/>
              <w:ind w:right="339"/>
              <w:spacing w:after="0"/>
              <w:rPr>
                <w:sz w:val="20"/>
                <w:szCs w:val="20"/>
                <w:color w:val="auto"/>
              </w:rPr>
            </w:pPr>
            <w:r>
              <w:rPr>
                <w:rFonts w:ascii="Arial" w:cs="Arial" w:eastAsia="Arial" w:hAnsi="Arial"/>
                <w:sz w:val="16"/>
                <w:szCs w:val="16"/>
                <w:b w:val="1"/>
                <w:bCs w:val="1"/>
                <w:color w:val="454545"/>
              </w:rPr>
              <w:t>2022</w:t>
            </w:r>
          </w:p>
        </w:tc>
        <w:tc>
          <w:tcPr>
            <w:tcW w:w="360" w:type="dxa"/>
            <w:vAlign w:val="bottom"/>
            <w:tcBorders>
              <w:bottom w:val="single" w:sz="8" w:color="6022A6"/>
            </w:tcBorders>
          </w:tcPr>
          <w:p>
            <w:pPr>
              <w:spacing w:after="0"/>
              <w:rPr>
                <w:sz w:val="19"/>
                <w:szCs w:val="19"/>
                <w:color w:val="auto"/>
              </w:rPr>
            </w:pPr>
          </w:p>
        </w:tc>
      </w:tr>
      <w:tr>
        <w:trPr>
          <w:trHeight w:val="23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80" w:type="dxa"/>
            <w:vAlign w:val="bottom"/>
            <w:tcBorders>
              <w:bottom w:val="single" w:sz="8" w:color="E4E4E4"/>
            </w:tcBorders>
            <w:shd w:val="clear" w:color="auto" w:fill="E4E4E4"/>
          </w:tcPr>
          <w:p>
            <w:pPr>
              <w:jc w:val="right"/>
              <w:ind w:right="1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158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7"/>
              </w:rPr>
              <w:t>220</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5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1380" w:type="dxa"/>
            <w:vAlign w:val="bottom"/>
            <w:shd w:val="clear" w:color="auto" w:fill="E4E4E4"/>
          </w:tcPr>
          <w:p>
            <w:pPr>
              <w:spacing w:after="0"/>
              <w:rPr>
                <w:sz w:val="22"/>
                <w:szCs w:val="22"/>
                <w:color w:val="auto"/>
              </w:rPr>
            </w:pPr>
          </w:p>
        </w:tc>
        <w:tc>
          <w:tcPr>
            <w:tcW w:w="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1580" w:type="dxa"/>
            <w:vAlign w:val="bottom"/>
            <w:shd w:val="clear" w:color="auto" w:fill="E4E4E4"/>
          </w:tcPr>
          <w:p>
            <w:pPr>
              <w:spacing w:after="0"/>
              <w:rPr>
                <w:sz w:val="22"/>
                <w:szCs w:val="22"/>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1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80" w:type="dxa"/>
            <w:vAlign w:val="bottom"/>
            <w:tcBorders>
              <w:bottom w:val="single" w:sz="8" w:color="E4E4E4"/>
            </w:tcBorders>
            <w:shd w:val="clear" w:color="auto" w:fill="E4E4E4"/>
          </w:tcPr>
          <w:p>
            <w:pPr>
              <w:jc w:val="right"/>
              <w:ind w:right="1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c>
          <w:tcPr>
            <w:tcW w:w="158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7"/>
              </w:rPr>
              <w:t>198</w:t>
            </w:r>
          </w:p>
        </w:tc>
      </w:tr>
      <w:tr>
        <w:trPr>
          <w:trHeight w:val="20"/>
        </w:trPr>
        <w:tc>
          <w:tcPr>
            <w:tcW w:w="7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ind w:left="260" w:right="20" w:hanging="252"/>
        <w:spacing w:after="0" w:line="254"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These redeemable noncontrolling interests were remeasured to their current redemption value resulting in a redemption value adjustment of $183 million. The remeasurement was accounted for as a deemed preferred stock dividend of redeemable noncontrolling interest and recorded as an adjustment to retained earnings.</w:t>
      </w:r>
    </w:p>
    <w:p>
      <w:pPr>
        <w:spacing w:after="0" w:line="2" w:lineRule="exact"/>
        <w:rPr>
          <w:rFonts w:ascii="Arial" w:cs="Arial" w:eastAsia="Arial" w:hAnsi="Arial"/>
          <w:sz w:val="16"/>
          <w:szCs w:val="16"/>
          <w:color w:val="auto"/>
        </w:rPr>
      </w:pPr>
    </w:p>
    <w:p>
      <w:pPr>
        <w:ind w:left="260" w:right="420" w:hanging="252"/>
        <w:spacing w:after="0" w:line="278"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4080" w:type="dxa"/>
            <w:vAlign w:val="bottom"/>
          </w:tcPr>
          <w:p>
            <w:pPr>
              <w:spacing w:after="0"/>
              <w:rPr>
                <w:sz w:val="21"/>
                <w:szCs w:val="21"/>
                <w:color w:val="auto"/>
              </w:rPr>
            </w:pPr>
          </w:p>
        </w:tc>
        <w:tc>
          <w:tcPr>
            <w:tcW w:w="3620" w:type="dxa"/>
            <w:vAlign w:val="bottom"/>
            <w:gridSpan w:val="5"/>
          </w:tcPr>
          <w:p>
            <w:pPr>
              <w:jc w:val="center"/>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1"/>
                <w:szCs w:val="21"/>
                <w:color w:val="auto"/>
              </w:rPr>
            </w:pPr>
          </w:p>
        </w:tc>
        <w:tc>
          <w:tcPr>
            <w:tcW w:w="338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8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2"/>
        </w:trPr>
        <w:tc>
          <w:tcPr>
            <w:tcW w:w="408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460" w:type="dxa"/>
            <w:vAlign w:val="bottom"/>
            <w:tcBorders>
              <w:bottom w:val="single" w:sz="8" w:color="6022A6"/>
            </w:tcBorders>
          </w:tcPr>
          <w:p>
            <w:pPr>
              <w:spacing w:after="0"/>
              <w:rPr>
                <w:sz w:val="19"/>
                <w:szCs w:val="19"/>
                <w:color w:val="auto"/>
              </w:rPr>
            </w:pPr>
          </w:p>
        </w:tc>
        <w:tc>
          <w:tcPr>
            <w:tcW w:w="420" w:type="dxa"/>
            <w:vAlign w:val="bottom"/>
            <w:tcBorders>
              <w:bottom w:val="single" w:sz="8" w:color="6022A6"/>
            </w:tcBorders>
          </w:tcPr>
          <w:p>
            <w:pPr>
              <w:spacing w:after="0"/>
              <w:rPr>
                <w:sz w:val="19"/>
                <w:szCs w:val="19"/>
                <w:color w:val="auto"/>
              </w:rPr>
            </w:pPr>
          </w:p>
        </w:tc>
        <w:tc>
          <w:tcPr>
            <w:tcW w:w="136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2022</w:t>
            </w:r>
          </w:p>
        </w:tc>
        <w:tc>
          <w:tcPr>
            <w:tcW w:w="8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60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2023</w:t>
            </w:r>
          </w:p>
        </w:tc>
        <w:tc>
          <w:tcPr>
            <w:tcW w:w="420" w:type="dxa"/>
            <w:vAlign w:val="bottom"/>
            <w:tcBorders>
              <w:bottom w:val="single" w:sz="8" w:color="6022A6"/>
            </w:tcBorders>
          </w:tcPr>
          <w:p>
            <w:pPr>
              <w:spacing w:after="0"/>
              <w:rPr>
                <w:sz w:val="19"/>
                <w:szCs w:val="19"/>
                <w:color w:val="auto"/>
              </w:rPr>
            </w:pPr>
          </w:p>
        </w:tc>
        <w:tc>
          <w:tcPr>
            <w:tcW w:w="136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2022</w:t>
            </w:r>
          </w:p>
        </w:tc>
      </w:tr>
      <w:tr>
        <w:trPr>
          <w:trHeight w:val="231"/>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interest and investment income (expense)</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E4E4E4"/>
            </w:tcBorders>
            <w:shd w:val="clear" w:color="auto" w:fill="E4E4E4"/>
          </w:tcPr>
          <w:p>
            <w:pPr>
              <w:jc w:val="center"/>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E4E4E4"/>
            </w:tcBorders>
            <w:shd w:val="clear" w:color="auto" w:fill="E4E4E4"/>
          </w:tcPr>
          <w:p>
            <w:pPr>
              <w:jc w:val="center"/>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Equity method investment income</w:t>
            </w:r>
          </w:p>
        </w:tc>
        <w:tc>
          <w:tcPr>
            <w:tcW w:w="1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30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4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13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w:t>
            </w:r>
          </w:p>
        </w:tc>
        <w:tc>
          <w:tcPr>
            <w:tcW w:w="420" w:type="dxa"/>
            <w:vAlign w:val="bottom"/>
            <w:tcBorders>
              <w:bottom w:val="single" w:sz="8" w:color="E4E4E4"/>
            </w:tcBorders>
            <w:shd w:val="clear" w:color="auto" w:fill="E4E4E4"/>
          </w:tcPr>
          <w:p>
            <w:pPr>
              <w:jc w:val="center"/>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w:t>
            </w:r>
          </w:p>
        </w:tc>
        <w:tc>
          <w:tcPr>
            <w:tcW w:w="420" w:type="dxa"/>
            <w:vAlign w:val="bottom"/>
            <w:tcBorders>
              <w:bottom w:val="single" w:sz="8" w:color="E4E4E4"/>
            </w:tcBorders>
            <w:shd w:val="clear" w:color="auto" w:fill="E4E4E4"/>
          </w:tcPr>
          <w:p>
            <w:pPr>
              <w:jc w:val="center"/>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w:t>
            </w:r>
          </w:p>
        </w:tc>
      </w:tr>
      <w:tr>
        <w:trPr>
          <w:trHeight w:val="20"/>
        </w:trPr>
        <w:tc>
          <w:tcPr>
            <w:tcW w:w="4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ind w:left="260" w:right="80" w:hanging="252"/>
        <w:spacing w:after="0" w:line="270"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items, net primarily consists of change in tax indemnity, lease income, gains and losses related to derivatives, and licensing and royalty income for the three and nine months ended September 30, 2023, and licensing and royalty income, and gains and losses related to derivatives for the three and nine months ended September 30,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TO SPIN-OFF.</w:t>
      </w:r>
    </w:p>
    <w:p>
      <w:pPr>
        <w:spacing w:after="0" w:line="162"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Prior to the Spin-Off, GE provided the Company with significant corporate infrastructure and shared services. Some of these services continue to be provided by GE to the Company on a temporary basis under the Transition Services Agreement, as discussed below. The following disclosures summarize related party activity between GE HealthCare and GE. This activity, which occurred prior to the Spin-Off, is included in the condensed combined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Pensions, Benefit, and Contribution Plans</w:t>
      </w:r>
    </w:p>
    <w:p>
      <w:pPr>
        <w:spacing w:after="0" w:line="27"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As discussed in Note 9, “Postretirement Benefit Plans”, employees of the Company participated in pensions, benefit, and contribution plans that were sponsored by GE. The Company was charged $59 million and $182 million for the three and nine months ended September 30, 2022 related to employee participation in these plans. In connection with the Spin-Off, a portion of these plans were transferred to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Compensation</w:t>
      </w:r>
    </w:p>
    <w:p>
      <w:pPr>
        <w:spacing w:after="0" w:line="27"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GE granted various employee benefits to its group employees, including those of the Company, under the GE Long-Term Incentive Plan. These benefits primarily included stock options and restricted stock units. Compensation expense allocated to the Company was $19 million and $58 million for the three and nine months ended September 30, 2022, respectively, and is recognized within SG&amp;A in the Condensed Combined Statement of Income.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Overhead and Other Allocations from GE</w:t>
      </w:r>
    </w:p>
    <w:p>
      <w:pPr>
        <w:spacing w:after="0" w:line="27" w:lineRule="exact"/>
        <w:rPr>
          <w:sz w:val="20"/>
          <w:szCs w:val="20"/>
          <w:color w:val="auto"/>
        </w:rPr>
      </w:pPr>
    </w:p>
    <w:p>
      <w:pPr>
        <w:ind w:right="1100"/>
        <w:spacing w:after="0" w:line="270" w:lineRule="auto"/>
        <w:rPr>
          <w:sz w:val="20"/>
          <w:szCs w:val="20"/>
          <w:color w:val="auto"/>
        </w:rPr>
      </w:pPr>
      <w:r>
        <w:rPr>
          <w:rFonts w:ascii="Arial" w:cs="Arial" w:eastAsia="Arial" w:hAnsi="Arial"/>
          <w:sz w:val="16"/>
          <w:szCs w:val="16"/>
          <w:color w:val="auto"/>
        </w:rPr>
        <w:t>GE provided certain services described below that were charged to the Company based on employee headcount, revenue, or other allocation methodologies.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4"/>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Corporate Allocations from GE</w:t>
            </w:r>
          </w:p>
        </w:tc>
        <w:tc>
          <w:tcPr>
            <w:tcW w:w="2380" w:type="dxa"/>
            <w:vAlign w:val="bottom"/>
            <w:gridSpan w:val="3"/>
          </w:tcPr>
          <w:p>
            <w:pPr>
              <w:ind w:left="80"/>
              <w:spacing w:after="0"/>
              <w:rPr>
                <w:sz w:val="20"/>
                <w:szCs w:val="20"/>
                <w:color w:val="auto"/>
              </w:rPr>
            </w:pPr>
            <w:r>
              <w:rPr>
                <w:rFonts w:ascii="Arial" w:cs="Arial" w:eastAsia="Arial" w:hAnsi="Arial"/>
                <w:sz w:val="16"/>
                <w:szCs w:val="16"/>
                <w:b w:val="1"/>
                <w:bCs w:val="1"/>
                <w:color w:val="454545"/>
              </w:rPr>
              <w:t>For the three months ended</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For the nine months ended</w:t>
            </w:r>
          </w:p>
        </w:tc>
      </w:tr>
      <w:tr>
        <w:trPr>
          <w:trHeight w:val="225"/>
        </w:trPr>
        <w:tc>
          <w:tcPr>
            <w:tcW w:w="6560" w:type="dxa"/>
            <w:vAlign w:val="bottom"/>
            <w:tcBorders>
              <w:bottom w:val="single" w:sz="8" w:color="6022A6"/>
            </w:tcBorders>
          </w:tcPr>
          <w:p>
            <w:pPr>
              <w:spacing w:after="0"/>
              <w:rPr>
                <w:sz w:val="19"/>
                <w:szCs w:val="19"/>
                <w:color w:val="auto"/>
              </w:rPr>
            </w:pPr>
          </w:p>
        </w:tc>
        <w:tc>
          <w:tcPr>
            <w:tcW w:w="260" w:type="dxa"/>
            <w:vAlign w:val="bottom"/>
            <w:tcBorders>
              <w:top w:val="single" w:sz="8" w:color="454545"/>
              <w:bottom w:val="single" w:sz="8" w:color="6022A6"/>
            </w:tcBorders>
          </w:tcPr>
          <w:p>
            <w:pPr>
              <w:spacing w:after="0"/>
              <w:rPr>
                <w:sz w:val="19"/>
                <w:szCs w:val="19"/>
                <w:color w:val="auto"/>
              </w:rPr>
            </w:pPr>
          </w:p>
        </w:tc>
        <w:tc>
          <w:tcPr>
            <w:tcW w:w="2040" w:type="dxa"/>
            <w:vAlign w:val="bottom"/>
            <w:tcBorders>
              <w:top w:val="single" w:sz="8" w:color="454545"/>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September 30, 2022</w:t>
            </w:r>
          </w:p>
        </w:tc>
        <w:tc>
          <w:tcPr>
            <w:tcW w:w="80" w:type="dxa"/>
            <w:vAlign w:val="bottom"/>
            <w:tcBorders>
              <w:bottom w:val="single" w:sz="8" w:color="6022A6"/>
            </w:tcBorders>
          </w:tcPr>
          <w:p>
            <w:pPr>
              <w:spacing w:after="0"/>
              <w:rPr>
                <w:sz w:val="19"/>
                <w:szCs w:val="19"/>
                <w:color w:val="auto"/>
              </w:rPr>
            </w:pPr>
          </w:p>
        </w:tc>
        <w:tc>
          <w:tcPr>
            <w:tcW w:w="260" w:type="dxa"/>
            <w:vAlign w:val="bottom"/>
            <w:tcBorders>
              <w:top w:val="single" w:sz="8" w:color="454545"/>
              <w:bottom w:val="single" w:sz="8" w:color="6022A6"/>
            </w:tcBorders>
          </w:tcPr>
          <w:p>
            <w:pPr>
              <w:spacing w:after="0"/>
              <w:rPr>
                <w:sz w:val="19"/>
                <w:szCs w:val="19"/>
                <w:color w:val="auto"/>
              </w:rPr>
            </w:pPr>
          </w:p>
        </w:tc>
        <w:tc>
          <w:tcPr>
            <w:tcW w:w="2040" w:type="dxa"/>
            <w:vAlign w:val="bottom"/>
            <w:tcBorders>
              <w:top w:val="single" w:sz="8" w:color="454545"/>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September 30, 2022</w:t>
            </w:r>
          </w:p>
        </w:tc>
      </w:tr>
      <w:tr>
        <w:trPr>
          <w:trHeight w:val="238"/>
        </w:trPr>
        <w:tc>
          <w:tcPr>
            <w:tcW w:w="6560" w:type="dxa"/>
            <w:vAlign w:val="bottom"/>
            <w:shd w:val="clear" w:color="auto" w:fill="E4E4E4"/>
          </w:tcPr>
          <w:p>
            <w:pPr>
              <w:ind w:left="20"/>
              <w:spacing w:after="0" w:line="238" w:lineRule="exact"/>
              <w:rPr>
                <w:sz w:val="20"/>
                <w:szCs w:val="20"/>
                <w:color w:val="auto"/>
              </w:rPr>
            </w:pPr>
            <w:r>
              <w:rPr>
                <w:rFonts w:ascii="Arial" w:cs="Arial" w:eastAsia="Arial" w:hAnsi="Arial"/>
                <w:sz w:val="16"/>
                <w:szCs w:val="16"/>
                <w:color w:val="auto"/>
              </w:rPr>
              <w:t>Costs for centralized services</w:t>
            </w:r>
            <w:r>
              <w:rPr>
                <w:rFonts w:ascii="Arial" w:cs="Arial" w:eastAsia="Arial" w:hAnsi="Arial"/>
                <w:sz w:val="21"/>
                <w:szCs w:val="21"/>
                <w:color w:val="auto"/>
                <w:vertAlign w:val="superscript"/>
              </w:rPr>
              <w:t>(1)</w:t>
            </w:r>
          </w:p>
        </w:tc>
        <w:tc>
          <w:tcPr>
            <w:tcW w:w="26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43"/>
        </w:trPr>
        <w:tc>
          <w:tcPr>
            <w:tcW w:w="6560" w:type="dxa"/>
            <w:vAlign w:val="bottom"/>
          </w:tcPr>
          <w:p>
            <w:pPr>
              <w:ind w:left="20"/>
              <w:spacing w:after="0"/>
              <w:rPr>
                <w:sz w:val="20"/>
                <w:szCs w:val="20"/>
                <w:color w:val="auto"/>
              </w:rPr>
            </w:pPr>
            <w:r>
              <w:rPr>
                <w:rFonts w:ascii="Arial" w:cs="Arial" w:eastAsia="Arial" w:hAnsi="Arial"/>
                <w:sz w:val="16"/>
                <w:szCs w:val="16"/>
                <w:color w:val="auto"/>
              </w:rPr>
              <w:t>Costs associated with employee medical insurance</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43"/>
        </w:trPr>
        <w:tc>
          <w:tcPr>
            <w:tcW w:w="65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Costs for corporate and shared services</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E4E4E4"/>
          </w:tcPr>
          <w:p>
            <w:pPr>
              <w:spacing w:after="0"/>
              <w:rPr>
                <w:sz w:val="21"/>
                <w:szCs w:val="21"/>
                <w:color w:val="auto"/>
              </w:rPr>
            </w:pPr>
          </w:p>
        </w:tc>
        <w:tc>
          <w:tcPr>
            <w:tcW w:w="2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spacing w:after="0"/>
              <w:rPr>
                <w:sz w:val="21"/>
                <w:szCs w:val="21"/>
                <w:color w:val="auto"/>
              </w:rPr>
            </w:pPr>
          </w:p>
        </w:tc>
        <w:tc>
          <w:tcPr>
            <w:tcW w:w="2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343</w:t>
            </w:r>
          </w:p>
        </w:tc>
      </w:tr>
    </w:tbl>
    <w:p>
      <w:pPr>
        <w:spacing w:after="0" w:line="84" w:lineRule="exact"/>
        <w:rPr>
          <w:sz w:val="20"/>
          <w:szCs w:val="20"/>
          <w:color w:val="auto"/>
        </w:rPr>
      </w:pPr>
    </w:p>
    <w:p>
      <w:pPr>
        <w:ind w:left="260" w:right="740" w:hanging="252"/>
        <w:spacing w:after="0" w:line="258"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for centralized services such as public relations, treasury and cash management, and other services were recognized within SG&amp;A in the Condensed Combined Statement of Income.</w:t>
      </w:r>
    </w:p>
    <w:p>
      <w:pPr>
        <w:ind w:left="260" w:right="560" w:hanging="252"/>
        <w:spacing w:after="0" w:line="251"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employee medical insurance were recognized within Cost of products, Cost of services, SG&amp;A, and R&amp;D in the Condensed Combined Statement of Income based on the employee population.</w:t>
      </w:r>
    </w:p>
    <w:p>
      <w:pPr>
        <w:spacing w:after="0" w:line="1" w:lineRule="exact"/>
        <w:rPr>
          <w:rFonts w:ascii="Arial" w:cs="Arial" w:eastAsia="Arial" w:hAnsi="Arial"/>
          <w:sz w:val="16"/>
          <w:szCs w:val="16"/>
          <w:color w:val="auto"/>
        </w:rPr>
      </w:pPr>
    </w:p>
    <w:p>
      <w:pPr>
        <w:ind w:left="260" w:right="160" w:hanging="252"/>
        <w:spacing w:after="0" w:line="278"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for corporate and shared services such as information technology, finance and other services were primarily recognized in SG&amp;A and R&amp;D in the Condensed Combined Statement of Income.</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the three and nine months ended September 30, 2022. The amounts that would have been, or will be incurred, on a stand-alone basis could materially differ from the amounts allocated due to economies of scale, difference in management judgment, a requirement for more or fewer employees, or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SPIN-OFF.</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and GE, including, but not limited to the following which had activity during the first nine months of 2023:</w:t>
      </w:r>
    </w:p>
    <w:p>
      <w:pPr>
        <w:spacing w:after="0" w:line="240" w:lineRule="exact"/>
        <w:rPr>
          <w:sz w:val="20"/>
          <w:szCs w:val="20"/>
          <w:color w:val="auto"/>
        </w:rPr>
      </w:pPr>
    </w:p>
    <w:p>
      <w:pPr>
        <w:ind w:left="660" w:right="100" w:hanging="328"/>
        <w:spacing w:after="0" w:line="272"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Spin-Off, including the transfer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assumption of liabilities, and establishes certain rights and obligations between the Company and GE following the Distribution, including procedures with respect to claims subject to indemnification and related matters.</w:t>
      </w:r>
    </w:p>
    <w:p>
      <w:pPr>
        <w:spacing w:after="0" w:line="197"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governs all matters relating to the provision of services between the Company and GE on a transitional basis.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Company receives include support for digital technology, human resources, supply chain, finance, and real estate services, among others. Some of these costs were included in the Corporate allocations from GE prior to Spin-Off. The services generally commenced on the date of the Spin-Off and will terminate up to 36 months following the Distribution Date depending upon the related transitional service. For the three and nine months ended September 30, 2023, we incurred $94 million and $286 million, net, which represents fees charged from GE to the Company primarily for information technology, human resources, and R&amp;D and is net of fees charged from the Company to GE for facilities and other shared services.</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w:t>
      </w:r>
      <w:r>
        <w:rPr>
          <w:rFonts w:ascii="Arial" w:cs="Arial" w:eastAsia="Arial" w:hAnsi="Arial"/>
          <w:sz w:val="16"/>
          <w:szCs w:val="16"/>
          <w:color w:val="auto"/>
        </w:rPr>
        <w:t>– governs the respective rights, responsibilities, and obligations between the Company and GE with respect to all tax</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TMA specifies the portion of tax liability for which the Company will bear contractual responsibility, and the Company and GE will each agree to indemnify each other against any amounts for which such indemnified party is not responsible. See Note 10, “Income Taxes” for further information on quarter to date and year to date TMA activity.</w:t>
      </w:r>
    </w:p>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Current amounts due from and to GE under the various agreements described above are recognized within Due from related parties or Due to related parties, as applicable, in the Condensed Consolidated and Combined Statements of Financial Position. Non-current amounts due from GE were $82 million and due to GE were $28 million, and were recognized within All other assets or All other liabilities, as applicable, in the Condensed Consolidated Statement of Financial Position as of September 30, 2023. These amounts primarily relate to tax and other indemnities.</w:t>
      </w:r>
    </w:p>
    <w:p>
      <w:pPr>
        <w:spacing w:after="0" w:line="209" w:lineRule="exact"/>
        <w:rPr>
          <w:sz w:val="20"/>
          <w:szCs w:val="20"/>
          <w:color w:val="auto"/>
        </w:rPr>
      </w:pPr>
    </w:p>
    <w:p>
      <w:pPr>
        <w:jc w:val="both"/>
        <w:ind w:right="380"/>
        <w:spacing w:after="0" w:line="270" w:lineRule="auto"/>
        <w:rPr>
          <w:sz w:val="20"/>
          <w:szCs w:val="20"/>
          <w:color w:val="auto"/>
        </w:rPr>
      </w:pPr>
      <w:r>
        <w:rPr>
          <w:rFonts w:ascii="Arial" w:cs="Arial" w:eastAsia="Arial" w:hAnsi="Arial"/>
          <w:sz w:val="16"/>
          <w:szCs w:val="16"/>
          <w:color w:val="auto"/>
        </w:rPr>
        <w:t>GE HealthCare sells products and services in the ordinary course of business to certain entities associated with two members of our Board of Directors. During the three and nine months ended September 30, 2023, we recognized revenue of $26 million and $73 million, respectively, from these entities in connection with providing products and services. Current amounts due from these entities as of September 30, 2023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(“MD&amp;A”)</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6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48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32</w:t>
            </w:r>
          </w:p>
        </w:tc>
        <w:tc>
          <w:tcPr>
            <w:tcW w:w="20" w:type="dxa"/>
            <w:vAlign w:val="bottom"/>
          </w:tcPr>
          <w:p>
            <w:pPr>
              <w:spacing w:after="0"/>
              <w:rPr>
                <w:sz w:val="15"/>
                <w:szCs w:val="15"/>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33</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33</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37</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38</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41</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6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condensed consolidated and combined financial statements and corresponding notes included elsewhere in this Quarterly Report on Form 10-Q. The following discussion and analysis provides information management believes to be relevant to understanding the financial condition and results of operations of GE HealthCare Technologies Inc. (“GE HealthCare,” the “Company,” “our,” or “we”) for the three and nine months ended September 30, 2023 and 2022.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2022.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2022. Actual results may differ materially from these expectations; see “Forward-Looking Statements.”</w:t>
      </w:r>
    </w:p>
    <w:p>
      <w:pPr>
        <w:spacing w:after="0" w:line="2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w:t>
      </w:r>
    </w:p>
    <w:p>
      <w:pPr>
        <w:spacing w:after="0" w:line="18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(1) General Electric Company's ("GE's") healthcare business prior to the previously announced spin-off of the Company on January 3, 2023 (the “Spin-Off”) as a carve-out business of GE with related condensed combined financial statements and (2) GE HealthCare Technologies Inc. and its subsidiaries following the Spin-Off with related condensed consolidated financial statements.</w:t>
      </w:r>
    </w:p>
    <w:p>
      <w:pPr>
        <w:spacing w:after="0" w:line="223"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and we evaluate their operating performance using revenue and Segment EBIT.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7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We had $131 million and $143 million of assets in, or directly related to, these two countries as of September 30, 2023 and December 31, 2022, respectively, none of which are subject to sanctions that impact the carrying value of the assets. We generated revenues of $228 million and $241 million from customers in these two countries for the </w:t>
      </w:r>
      <w:r>
        <w:rPr>
          <w:rFonts w:ascii="Arial" w:cs="Arial" w:eastAsia="Arial" w:hAnsi="Arial"/>
          <w:sz w:val="16"/>
          <w:szCs w:val="16"/>
          <w:color w:val="231F20"/>
        </w:rPr>
        <w:t>nine months ended</w:t>
      </w:r>
      <w:r>
        <w:rPr>
          <w:rFonts w:ascii="Arial" w:cs="Arial" w:eastAsia="Arial" w:hAnsi="Arial"/>
          <w:sz w:val="16"/>
          <w:szCs w:val="16"/>
          <w:color w:val="auto"/>
        </w:rPr>
        <w:t xml:space="preserve"> September 30, 2023 and September 30, 2022, respectively. The potential inability to repatriate earnings from these two countries will not have a material impact on our ability to operate.</w:t>
      </w:r>
    </w:p>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 us to obtain a license for the export, re-export to, or transfer of specified medical equipment and spare parts to customers in Russia. The European Union and other countries have also expanded licensing requirements for certain spare parts and other items. We have applied and are applying for the licenses needed to continue supplying these customers. The implementation of these measures affected our ability to supply customers in Russia in the second and third quarters of 2023 and will continue to do so as we continue to obtain licenses. There is no guarantee we will obtain all of the licenses for which we applied, that any approvals we obtain will be on a timely basis, or that our business in Russia will not be further disrupted due to evolving legal or operational considerations. Our board of directors (the "Board"), with management, will continue to assess whether developments related to the conflict have had, or are reasonably likely to have, a material impact on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TRANSITION TO STAND-ALONE COMPANY.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Presentation Under GE Ownership</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GE HealthCare utilized allocations and carve-out methodologies through the date of the Spin-Off to prepare historical condensed combined financial statements. The condensed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 to the condensed consolidated and combined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8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231F20"/>
        </w:rPr>
        <w:t xml:space="preserve">Management reviews and analyzes several key performance measures including Total revenues, Remaining Performance Obligations (“RPO”), Operating income, Net income attributable to GE HealthCare, Earnings per share </w:t>
      </w:r>
      <w:r>
        <w:rPr>
          <w:rFonts w:ascii="Arial" w:cs="Arial" w:eastAsia="Arial" w:hAnsi="Arial"/>
          <w:sz w:val="19"/>
          <w:szCs w:val="19"/>
          <w:color w:val="000000"/>
        </w:rPr>
        <w:t>–</w:t>
      </w:r>
      <w:r>
        <w:rPr>
          <w:rFonts w:ascii="Arial" w:cs="Arial" w:eastAsia="Arial" w:hAnsi="Arial"/>
          <w:sz w:val="16"/>
          <w:szCs w:val="16"/>
          <w:color w:val="231F20"/>
        </w:rPr>
        <w:t xml:space="preserve"> continuing operations, and Cash flow from operations. Management also reviews</w:t>
      </w:r>
    </w:p>
    <w:p>
      <w:pPr>
        <w:spacing w:after="0" w:line="1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231F20"/>
        </w:rPr>
        <w:t>and analyzes Organic revenue*, Adjusted Earnings Before Interest and Taxes* (“Adjusted EBIT*”), Adjusted net income*,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6"/>
          <w:szCs w:val="16"/>
          <w:color w:val="231F20"/>
        </w:rPr>
        <w:t>The non-GAAP financial measures should be considered along with the most directly comparable U.S. generally accepted accounting principles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tables set forth our results of operations for each of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Income</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0"/>
        </w:trPr>
        <w:tc>
          <w:tcPr>
            <w:tcW w:w="5780" w:type="dxa"/>
            <w:vAlign w:val="bottom"/>
          </w:tcPr>
          <w:p>
            <w:pPr>
              <w:spacing w:after="0"/>
              <w:rPr>
                <w:sz w:val="18"/>
                <w:szCs w:val="18"/>
                <w:color w:val="auto"/>
              </w:rPr>
            </w:pPr>
          </w:p>
        </w:tc>
        <w:tc>
          <w:tcPr>
            <w:tcW w:w="2760" w:type="dxa"/>
            <w:vAlign w:val="bottom"/>
            <w:gridSpan w:val="5"/>
          </w:tcPr>
          <w:p>
            <w:pPr>
              <w:ind w:left="28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8"/>
                <w:szCs w:val="18"/>
                <w:color w:val="auto"/>
              </w:rPr>
            </w:pPr>
          </w:p>
        </w:tc>
        <w:tc>
          <w:tcPr>
            <w:tcW w:w="25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For the nine months ended</w:t>
            </w:r>
          </w:p>
        </w:tc>
      </w:tr>
      <w:tr>
        <w:trPr>
          <w:trHeight w:val="236"/>
        </w:trPr>
        <w:tc>
          <w:tcPr>
            <w:tcW w:w="5780" w:type="dxa"/>
            <w:vAlign w:val="bottom"/>
          </w:tcPr>
          <w:p>
            <w:pPr>
              <w:spacing w:after="0"/>
              <w:rPr>
                <w:sz w:val="20"/>
                <w:szCs w:val="20"/>
                <w:color w:val="auto"/>
              </w:rPr>
            </w:pPr>
          </w:p>
        </w:tc>
        <w:tc>
          <w:tcPr>
            <w:tcW w:w="22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September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5780" w:type="dxa"/>
            <w:vAlign w:val="bottom"/>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5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2022</w:t>
            </w:r>
          </w:p>
        </w:tc>
      </w:tr>
      <w:tr>
        <w:trPr>
          <w:trHeight w:val="21"/>
        </w:trPr>
        <w:tc>
          <w:tcPr>
            <w:tcW w:w="57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r>
      <w:tr>
        <w:trPr>
          <w:trHeight w:val="230"/>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860" w:type="dxa"/>
            <w:vAlign w:val="bottom"/>
            <w:tcBorders>
              <w:bottom w:val="single" w:sz="8" w:color="E4E4E4"/>
            </w:tcBorders>
            <w:shd w:val="clear" w:color="auto" w:fill="E4E4E4"/>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3,186</w:t>
            </w:r>
          </w:p>
        </w:tc>
        <w:tc>
          <w:tcPr>
            <w:tcW w:w="880" w:type="dxa"/>
            <w:vAlign w:val="bottom"/>
            <w:tcBorders>
              <w:bottom w:val="single" w:sz="8" w:color="E4E4E4"/>
            </w:tcBorders>
            <w:shd w:val="clear" w:color="auto" w:fill="E4E4E4"/>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3,012</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9,530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8,702</w:t>
            </w:r>
          </w:p>
        </w:tc>
      </w:tr>
      <w:tr>
        <w:trPr>
          <w:trHeight w:val="224"/>
        </w:trPr>
        <w:tc>
          <w:tcPr>
            <w:tcW w:w="5780" w:type="dxa"/>
            <w:vAlign w:val="bottom"/>
          </w:tcPr>
          <w:p>
            <w:pPr>
              <w:ind w:left="100"/>
              <w:spacing w:after="0"/>
              <w:rPr>
                <w:sz w:val="20"/>
                <w:szCs w:val="20"/>
                <w:color w:val="auto"/>
              </w:rPr>
            </w:pPr>
            <w:r>
              <w:rPr>
                <w:rFonts w:ascii="Arial" w:cs="Arial" w:eastAsia="Arial" w:hAnsi="Arial"/>
                <w:sz w:val="16"/>
                <w:szCs w:val="16"/>
                <w:color w:val="auto"/>
              </w:rPr>
              <w:t>Sales of services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1,636</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4,816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4,701</w:t>
            </w:r>
          </w:p>
        </w:tc>
      </w:tr>
      <w:tr>
        <w:trPr>
          <w:trHeight w:val="33"/>
        </w:trPr>
        <w:tc>
          <w:tcPr>
            <w:tcW w:w="5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86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4,822</w:t>
            </w:r>
          </w:p>
        </w:tc>
        <w:tc>
          <w:tcPr>
            <w:tcW w:w="88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4,576</w:t>
            </w: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c>
          <w:tcPr>
            <w:tcW w:w="34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13,403</w:t>
            </w:r>
          </w:p>
        </w:tc>
      </w:tr>
      <w:tr>
        <w:trPr>
          <w:trHeight w:val="217"/>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Cost of products</w:t>
            </w: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2,076</w:t>
            </w: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1,995</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5,825</w:t>
            </w:r>
          </w:p>
        </w:tc>
      </w:tr>
      <w:tr>
        <w:trPr>
          <w:trHeight w:val="33"/>
        </w:trPr>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86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811</w:t>
            </w:r>
          </w:p>
        </w:tc>
        <w:tc>
          <w:tcPr>
            <w:tcW w:w="8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2,383</w:t>
            </w:r>
          </w:p>
        </w:tc>
        <w:tc>
          <w:tcPr>
            <w:tcW w:w="3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2,331</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Gross profit</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1,935</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1,773</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5,766</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5,247</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996</w:t>
            </w:r>
          </w:p>
        </w:tc>
        <w:tc>
          <w:tcPr>
            <w:tcW w:w="8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3,130</w:t>
            </w:r>
          </w:p>
        </w:tc>
        <w:tc>
          <w:tcPr>
            <w:tcW w:w="3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2,747</w:t>
            </w:r>
          </w:p>
        </w:tc>
      </w:tr>
      <w:tr>
        <w:trPr>
          <w:trHeight w:val="223"/>
        </w:trPr>
        <w:tc>
          <w:tcPr>
            <w:tcW w:w="57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322</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33"/>
        </w:trPr>
        <w:tc>
          <w:tcPr>
            <w:tcW w:w="5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86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1,318</w:t>
            </w:r>
          </w:p>
        </w:tc>
        <w:tc>
          <w:tcPr>
            <w:tcW w:w="88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1,168</w:t>
            </w: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4,020</w:t>
            </w:r>
          </w:p>
        </w:tc>
        <w:tc>
          <w:tcPr>
            <w:tcW w:w="34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3,502</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Operating income</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605</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1,745</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8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c>
          <w:tcPr>
            <w:tcW w:w="3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5780" w:type="dxa"/>
            <w:vAlign w:val="bottom"/>
          </w:tcPr>
          <w:p>
            <w:pPr>
              <w:ind w:left="100"/>
              <w:spacing w:after="0"/>
              <w:rPr>
                <w:sz w:val="20"/>
                <w:szCs w:val="20"/>
                <w:color w:val="auto"/>
              </w:rPr>
            </w:pPr>
            <w:r>
              <w:rPr>
                <w:rFonts w:ascii="Arial" w:cs="Arial" w:eastAsia="Arial" w:hAnsi="Arial"/>
                <w:sz w:val="16"/>
                <w:szCs w:val="16"/>
                <w:color w:val="auto"/>
              </w:rPr>
              <w:t>Non-operating benefit (income) costs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86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8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3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622</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r>
      <w:tr>
        <w:trPr>
          <w:trHeight w:val="21"/>
        </w:trPr>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1"/>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86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8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c>
          <w:tcPr>
            <w:tcW w:w="3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 from continuing operations</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1,202</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1,382</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5"/>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Income (loss) from discontinued operations, net of taxes</w:t>
            </w:r>
          </w:p>
        </w:tc>
        <w:tc>
          <w:tcPr>
            <w:tcW w:w="86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8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8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1,394</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5"/>
        </w:trPr>
        <w:tc>
          <w:tcPr>
            <w:tcW w:w="578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Net (income) loss attributable to noncontrolling interests</w:t>
            </w:r>
          </w:p>
        </w:tc>
        <w:tc>
          <w:tcPr>
            <w:tcW w:w="86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5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8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c>
          <w:tcPr>
            <w:tcW w:w="3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1,362</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TOTAL REVENUES AND RPO.</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99"/>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6"/>
          </w:tcPr>
          <w:p>
            <w:pPr>
              <w:ind w:left="400"/>
              <w:spacing w:after="0"/>
              <w:rPr>
                <w:sz w:val="20"/>
                <w:szCs w:val="20"/>
                <w:color w:val="auto"/>
              </w:rPr>
            </w:pPr>
            <w:r>
              <w:rPr>
                <w:rFonts w:ascii="Arial" w:cs="Arial" w:eastAsia="Arial" w:hAnsi="Arial"/>
                <w:sz w:val="16"/>
                <w:szCs w:val="16"/>
                <w:b w:val="1"/>
                <w:bCs w:val="1"/>
                <w:color w:val="454545"/>
              </w:rPr>
              <w:t>For the three months ended September 30</w:t>
            </w:r>
          </w:p>
        </w:tc>
        <w:tc>
          <w:tcPr>
            <w:tcW w:w="220" w:type="dxa"/>
            <w:vAlign w:val="bottom"/>
          </w:tcPr>
          <w:p>
            <w:pPr>
              <w:spacing w:after="0"/>
              <w:rPr>
                <w:sz w:val="24"/>
                <w:szCs w:val="24"/>
                <w:color w:val="auto"/>
              </w:rPr>
            </w:pPr>
          </w:p>
        </w:tc>
        <w:tc>
          <w:tcPr>
            <w:tcW w:w="42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22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r>
      <w:tr>
        <w:trPr>
          <w:trHeight w:val="229"/>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organic* change</w:t>
            </w:r>
          </w:p>
        </w:tc>
        <w:tc>
          <w:tcPr>
            <w:tcW w:w="22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2022</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22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r>
      <w:tr>
        <w:trPr>
          <w:trHeight w:val="230"/>
        </w:trPr>
        <w:tc>
          <w:tcPr>
            <w:tcW w:w="220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spacing w:after="0"/>
              <w:rPr>
                <w:sz w:val="20"/>
                <w:szCs w:val="20"/>
                <w:color w:val="auto"/>
              </w:rPr>
            </w:pPr>
          </w:p>
        </w:tc>
      </w:tr>
      <w:tr>
        <w:trPr>
          <w:trHeight w:val="264"/>
        </w:trPr>
        <w:tc>
          <w:tcPr>
            <w:tcW w:w="2200" w:type="dxa"/>
            <w:vAlign w:val="bottom"/>
          </w:tcPr>
          <w:p>
            <w:pPr>
              <w:ind w:left="300"/>
              <w:spacing w:after="0"/>
              <w:rPr>
                <w:sz w:val="20"/>
                <w:szCs w:val="20"/>
                <w:color w:val="auto"/>
              </w:rPr>
            </w:pPr>
            <w:r>
              <w:rPr>
                <w:rFonts w:ascii="Arial" w:cs="Arial" w:eastAsia="Arial" w:hAnsi="Arial"/>
                <w:sz w:val="16"/>
                <w:szCs w:val="16"/>
                <w:color w:val="auto"/>
              </w:rPr>
              <w:t>Imaging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2,516</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7,751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7,276</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22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815</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823</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2,513</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2,466</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2200" w:type="dxa"/>
            <w:vAlign w:val="bottom"/>
          </w:tcPr>
          <w:p>
            <w:pPr>
              <w:ind w:left="300"/>
              <w:spacing w:after="0"/>
              <w:rPr>
                <w:sz w:val="20"/>
                <w:szCs w:val="20"/>
                <w:color w:val="auto"/>
              </w:rPr>
            </w:pPr>
            <w:r>
              <w:rPr>
                <w:rFonts w:ascii="Arial" w:cs="Arial" w:eastAsia="Arial" w:hAnsi="Arial"/>
                <w:sz w:val="16"/>
                <w:szCs w:val="16"/>
                <w:color w:val="auto"/>
              </w:rPr>
              <w:t>PCS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764</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2,315</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2,130</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22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522</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1,715</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1,485</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91"/>
        </w:trPr>
        <w:tc>
          <w:tcPr>
            <w:tcW w:w="2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77"/>
        </w:trPr>
        <w:tc>
          <w:tcPr>
            <w:tcW w:w="2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4,822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4,576</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13,403</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r>
      <w:tr>
        <w:trPr>
          <w:trHeight w:val="20"/>
        </w:trPr>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ind w:left="260" w:right="460" w:hanging="252"/>
        <w:spacing w:after="0" w:line="293"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83"/>
        </w:trPr>
        <w:tc>
          <w:tcPr>
            <w:tcW w:w="2940" w:type="dxa"/>
            <w:vAlign w:val="bottom"/>
          </w:tcPr>
          <w:p>
            <w:pPr>
              <w:spacing w:after="0"/>
              <w:rPr>
                <w:sz w:val="24"/>
                <w:szCs w:val="24"/>
                <w:color w:val="auto"/>
              </w:rPr>
            </w:pPr>
          </w:p>
        </w:tc>
        <w:tc>
          <w:tcPr>
            <w:tcW w:w="4160" w:type="dxa"/>
            <w:vAlign w:val="bottom"/>
            <w:gridSpan w:val="6"/>
          </w:tcPr>
          <w:p>
            <w:pPr>
              <w:ind w:left="420"/>
              <w:spacing w:after="0"/>
              <w:rPr>
                <w:sz w:val="20"/>
                <w:szCs w:val="20"/>
                <w:color w:val="auto"/>
              </w:rPr>
            </w:pPr>
            <w:r>
              <w:rPr>
                <w:rFonts w:ascii="Arial" w:cs="Arial" w:eastAsia="Arial" w:hAnsi="Arial"/>
                <w:sz w:val="16"/>
                <w:szCs w:val="16"/>
                <w:b w:val="1"/>
                <w:bCs w:val="1"/>
                <w:color w:val="454545"/>
              </w:rPr>
              <w:t>For the three months ended September 30</w:t>
            </w:r>
          </w:p>
        </w:tc>
        <w:tc>
          <w:tcPr>
            <w:tcW w:w="300" w:type="dxa"/>
            <w:vAlign w:val="bottom"/>
          </w:tcPr>
          <w:p>
            <w:pPr>
              <w:spacing w:after="0"/>
              <w:rPr>
                <w:sz w:val="24"/>
                <w:szCs w:val="24"/>
                <w:color w:val="auto"/>
              </w:rPr>
            </w:pPr>
          </w:p>
        </w:tc>
        <w:tc>
          <w:tcPr>
            <w:tcW w:w="38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294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29"/>
        </w:trPr>
        <w:tc>
          <w:tcPr>
            <w:tcW w:w="2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454545"/>
              </w:rPr>
              <w:t>% change</w:t>
            </w:r>
          </w:p>
        </w:tc>
        <w:tc>
          <w:tcPr>
            <w:tcW w:w="300" w:type="dxa"/>
            <w:vAlign w:val="bottom"/>
          </w:tcPr>
          <w:p>
            <w:pPr>
              <w:spacing w:after="0"/>
              <w:rPr>
                <w:sz w:val="19"/>
                <w:szCs w:val="19"/>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9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r>
      <w:tr>
        <w:trPr>
          <w:trHeight w:val="257"/>
        </w:trPr>
        <w:tc>
          <w:tcPr>
            <w:tcW w:w="2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USCAN</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2,075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2,034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6,297</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6,004</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2940" w:type="dxa"/>
            <w:vAlign w:val="bottom"/>
          </w:tcPr>
          <w:p>
            <w:pPr>
              <w:ind w:left="80"/>
              <w:spacing w:after="0"/>
              <w:rPr>
                <w:sz w:val="20"/>
                <w:szCs w:val="20"/>
                <w:color w:val="auto"/>
              </w:rPr>
            </w:pPr>
            <w:r>
              <w:rPr>
                <w:rFonts w:ascii="Arial" w:cs="Arial" w:eastAsia="Arial" w:hAnsi="Arial"/>
                <w:sz w:val="16"/>
                <w:szCs w:val="16"/>
                <w:color w:val="auto"/>
              </w:rPr>
              <w:t>EMEA</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1,249</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1,144</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3,633</w:t>
            </w:r>
          </w:p>
        </w:tc>
        <w:tc>
          <w:tcPr>
            <w:tcW w:w="34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3,354</w:t>
            </w: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6"/>
        </w:trPr>
        <w:tc>
          <w:tcPr>
            <w:tcW w:w="2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63"/>
        </w:trPr>
        <w:tc>
          <w:tcPr>
            <w:tcW w:w="2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9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719</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668</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2,105</w:t>
            </w:r>
          </w:p>
        </w:tc>
        <w:tc>
          <w:tcPr>
            <w:tcW w:w="34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1,873</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294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779</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730</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2,311</w:t>
            </w:r>
          </w:p>
        </w:tc>
        <w:tc>
          <w:tcPr>
            <w:tcW w:w="34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2,172</w:t>
            </w: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7"/>
        </w:trPr>
        <w:tc>
          <w:tcPr>
            <w:tcW w:w="2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4,822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4,576</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13,403</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0"/>
        </w:trPr>
        <w:tc>
          <w:tcPr>
            <w:tcW w:w="2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September 30, 2023</w:t>
      </w:r>
    </w:p>
    <w:p>
      <w:pPr>
        <w:spacing w:after="0" w:line="266"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Total revenues were $4,822 million, growing 5% or $246 million as reported and 6% organically*. The reported growth was primarily due to Sales of products growing 6% or $174 million as reported, driven primarily by growth in Imaging, PDx, and PCS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jc w:val="both"/>
        <w:ind w:left="660" w:right="500" w:hanging="328"/>
        <w:spacing w:after="0" w:line="26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Imaging segment revenues were $2,635 million, growing 5% or $119 million due to growth in Molecular Imaging and Computed Tomography (“MI/CT”) and Magnetic Resonance (“MR”) product lines, due to supply chain fulfillment improvements, an increase in price, and new product introductions;</w:t>
      </w:r>
    </w:p>
    <w:p>
      <w:pPr>
        <w:spacing w:after="0" w:line="61" w:lineRule="exact"/>
        <w:rPr>
          <w:rFonts w:ascii="Arial" w:cs="Arial" w:eastAsia="Arial" w:hAnsi="Arial"/>
          <w:sz w:val="16"/>
          <w:szCs w:val="16"/>
          <w:color w:val="auto"/>
        </w:rPr>
      </w:pPr>
    </w:p>
    <w:p>
      <w:pPr>
        <w:ind w:left="660" w:right="400" w:hanging="328"/>
        <w:spacing w:after="0" w:line="29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Ultrasound segment revenues were $815 million, decreasing 1% or $8 million primarily due to improved fulfillment in the comparable prior year following an easing of supply chain constraints;</w:t>
      </w:r>
    </w:p>
    <w:p>
      <w:pPr>
        <w:spacing w:after="0" w:line="36" w:lineRule="exact"/>
        <w:rPr>
          <w:rFonts w:ascii="Arial" w:cs="Arial" w:eastAsia="Arial" w:hAnsi="Arial"/>
          <w:sz w:val="16"/>
          <w:szCs w:val="16"/>
          <w:color w:val="auto"/>
        </w:rPr>
      </w:pPr>
    </w:p>
    <w:p>
      <w:pPr>
        <w:ind w:left="660" w:right="600" w:hanging="328"/>
        <w:spacing w:after="0" w:line="27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PCS segment revenues were $764 million, growing 9% or $63 million due to growth in Monitoring Solutions and Consumables and Services product lines due to supply chain fulfillment improvements and an increase in price; and</w:t>
      </w:r>
    </w:p>
    <w:p>
      <w:pPr>
        <w:spacing w:after="0" w:line="49" w:lineRule="exact"/>
        <w:rPr>
          <w:rFonts w:ascii="Arial" w:cs="Arial" w:eastAsia="Arial" w:hAnsi="Arial"/>
          <w:sz w:val="16"/>
          <w:szCs w:val="16"/>
          <w:color w:val="auto"/>
        </w:rPr>
      </w:pPr>
    </w:p>
    <w:p>
      <w:pPr>
        <w:ind w:left="660" w:right="280" w:hanging="328"/>
        <w:spacing w:after="0" w:line="29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PDx segment revenues were $589 million, growing 13% or $67 million as reported with growth in EMEA and Rest of World due to an increase in price and improved demand.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USCAN revenues were $2,075 million, growing 2% or $41 million due to growth in PCS revenues;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EMEA revenues were $1,249 million, growing 9% or $105 million due to growth in Imaging, PDx, and PCS revenues;</w:t>
      </w:r>
    </w:p>
    <w:p>
      <w:pPr>
        <w:spacing w:after="0" w:line="99" w:lineRule="exact"/>
        <w:rPr>
          <w:rFonts w:ascii="Arial" w:cs="Arial" w:eastAsia="Arial" w:hAnsi="Arial"/>
          <w:sz w:val="16"/>
          <w:szCs w:val="16"/>
          <w:color w:val="auto"/>
        </w:rPr>
      </w:pPr>
    </w:p>
    <w:p>
      <w:pPr>
        <w:ind w:left="660" w:right="440" w:hanging="328"/>
        <w:spacing w:after="0" w:line="27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China region revenues were $719 million, growing 8% or $51 million due to growth in Imaging revenues, partially offset by unfavorable foreign currency impacts; and</w:t>
      </w:r>
    </w:p>
    <w:p>
      <w:pPr>
        <w:spacing w:after="0" w:line="49" w:lineRule="exact"/>
        <w:rPr>
          <w:rFonts w:ascii="Arial" w:cs="Arial" w:eastAsia="Arial" w:hAnsi="Arial"/>
          <w:sz w:val="16"/>
          <w:szCs w:val="16"/>
          <w:color w:val="auto"/>
        </w:rPr>
      </w:pPr>
    </w:p>
    <w:p>
      <w:pPr>
        <w:ind w:left="660" w:right="260" w:hanging="328"/>
        <w:spacing w:after="0" w:line="29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 of World revenues were $779 million, growing 7% or $49 million due to growth in Imaging and PDx revenues, partially offset by unfavorable foreign currency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5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507"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i w:val="1"/>
          <w:iCs w:val="1"/>
          <w:color w:val="231F20"/>
        </w:rPr>
        <w:t>For the nine months ended September 30, 2023</w:t>
      </w:r>
    </w:p>
    <w:p>
      <w:pPr>
        <w:spacing w:after="0" w:line="171"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Total revenues were $14,346 million</w:t>
      </w:r>
      <w:r>
        <w:rPr>
          <w:rFonts w:ascii="Arial" w:cs="Arial" w:eastAsia="Arial" w:hAnsi="Arial"/>
          <w:sz w:val="16"/>
          <w:szCs w:val="16"/>
          <w:color w:val="231F20"/>
        </w:rPr>
        <w:t>, growing 7% or $943 million as reported and 9% organically*. The reported growth was primarily due to Sales of</w:t>
      </w:r>
      <w:r>
        <w:rPr>
          <w:rFonts w:ascii="Arial" w:cs="Arial" w:eastAsia="Arial" w:hAnsi="Arial"/>
          <w:sz w:val="16"/>
          <w:szCs w:val="16"/>
          <w:color w:val="auto"/>
        </w:rPr>
        <w:t xml:space="preserve"> </w:t>
      </w:r>
      <w:r>
        <w:rPr>
          <w:rFonts w:ascii="Arial" w:cs="Arial" w:eastAsia="Arial" w:hAnsi="Arial"/>
          <w:sz w:val="16"/>
          <w:szCs w:val="16"/>
          <w:color w:val="231F20"/>
        </w:rPr>
        <w:t>products growing 10% or $828 million as reported, with growth across all segments.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140" w:hanging="328"/>
        <w:spacing w:after="0" w:line="270"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$7,751 million, growing 7% or $475 million as reported due to an increase in Organic revenue*, partially offset by unfavorable foreign currency impacts. Organic revenue* grew 9% primarily due to growth in MI/CT and MR product lines, due to supply chain fulfillment improvements, stable demand in the past few quarters, new product introductions, and an increase in price;</w:t>
      </w:r>
    </w:p>
    <w:p>
      <w:pPr>
        <w:spacing w:after="0" w:line="54" w:lineRule="exact"/>
        <w:rPr>
          <w:rFonts w:ascii="Arial" w:cs="Arial" w:eastAsia="Arial" w:hAnsi="Arial"/>
          <w:sz w:val="16"/>
          <w:szCs w:val="16"/>
          <w:color w:val="231F20"/>
        </w:rPr>
      </w:pPr>
    </w:p>
    <w:p>
      <w:pPr>
        <w:ind w:left="660" w:right="20" w:hanging="328"/>
        <w:spacing w:after="0" w:line="261"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Ultrasound segment revenues were $2,513 million, growing 2% or $47 million as reported due to an increase in Organic revenue*, partially offset by unfavorable foreign currency impacts. Organic revenue* grew 4% primarily due to growth in Cardiovascular and Point of Care and Handheld product lines due to new product introductions and supply chain fulfillment improvements;</w:t>
      </w:r>
    </w:p>
    <w:p>
      <w:pPr>
        <w:spacing w:after="0" w:line="61" w:lineRule="exact"/>
        <w:rPr>
          <w:rFonts w:ascii="Arial" w:cs="Arial" w:eastAsia="Arial" w:hAnsi="Arial"/>
          <w:sz w:val="16"/>
          <w:szCs w:val="16"/>
          <w:color w:val="231F20"/>
        </w:rPr>
      </w:pPr>
    </w:p>
    <w:p>
      <w:pPr>
        <w:ind w:left="660" w:right="380" w:hanging="328"/>
        <w:spacing w:after="0" w:line="270"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$2,315 million, growing 9% or $185 million as reported due to an increase in Organic revenue*, partially offset by unfavorable foreign currency impacts. Organic revenue* grew 10% with growth across all product lines driven by supply chain fulfillment improvements and an increase in price; and</w:t>
      </w:r>
    </w:p>
    <w:p>
      <w:pPr>
        <w:spacing w:after="0" w:line="54" w:lineRule="exact"/>
        <w:rPr>
          <w:rFonts w:ascii="Arial" w:cs="Arial" w:eastAsia="Arial" w:hAnsi="Arial"/>
          <w:sz w:val="16"/>
          <w:szCs w:val="16"/>
          <w:color w:val="231F20"/>
        </w:rPr>
      </w:pPr>
    </w:p>
    <w:p>
      <w:pPr>
        <w:ind w:left="660" w:right="320" w:hanging="328"/>
        <w:spacing w:after="0" w:line="270"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$1,715 million, growing 15% or $230 million as reported due to an increase in Organic revenue*, partially offset by unfavorable foreign currency impacts. Organic revenue* grew 17%, with growth across all regions due to an increase in price and improved demand.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$6,297 million, growing 5% or $293 million due to growth across all segment revenues;</w:t>
      </w:r>
    </w:p>
    <w:p>
      <w:pPr>
        <w:spacing w:after="0" w:line="99" w:lineRule="exact"/>
        <w:rPr>
          <w:rFonts w:ascii="Arial" w:cs="Arial" w:eastAsia="Arial" w:hAnsi="Arial"/>
          <w:sz w:val="16"/>
          <w:szCs w:val="16"/>
          <w:color w:val="231F20"/>
        </w:rPr>
      </w:pPr>
    </w:p>
    <w:p>
      <w:pPr>
        <w:ind w:left="660" w:right="20" w:hanging="328"/>
        <w:spacing w:after="0" w:line="27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$3,633 million, growing 8% or $279 million due to growth in Imaging and PDx revenues, partially offset by unfavorable foreign currency impacts;</w:t>
      </w:r>
    </w:p>
    <w:p>
      <w:pPr>
        <w:spacing w:after="0" w:line="49" w:lineRule="exact"/>
        <w:rPr>
          <w:rFonts w:ascii="Arial" w:cs="Arial" w:eastAsia="Arial" w:hAnsi="Arial"/>
          <w:sz w:val="16"/>
          <w:szCs w:val="16"/>
          <w:color w:val="231F20"/>
        </w:rPr>
      </w:pPr>
    </w:p>
    <w:p>
      <w:pPr>
        <w:ind w:left="660" w:right="80" w:hanging="328"/>
        <w:spacing w:after="0" w:line="293"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$2,105 million, growing 12% or $232 million due to growth across all segment revenues, partially offset by unfavorable foreign currency impacts; and</w:t>
      </w:r>
    </w:p>
    <w:p>
      <w:pPr>
        <w:spacing w:after="0" w:line="36" w:lineRule="exact"/>
        <w:rPr>
          <w:rFonts w:ascii="Arial" w:cs="Arial" w:eastAsia="Arial" w:hAnsi="Arial"/>
          <w:sz w:val="16"/>
          <w:szCs w:val="16"/>
          <w:color w:val="231F20"/>
        </w:rPr>
      </w:pPr>
    </w:p>
    <w:p>
      <w:pPr>
        <w:ind w:left="660" w:right="60" w:hanging="328"/>
        <w:spacing w:after="0" w:line="27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Rest of World revenues were $2,311 million, growing 6% or $139 million due to growth in Imaging and PDx revenues, partially offset by unfavorable foreign currency impacts.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22"/>
                <w:szCs w:val="22"/>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199"/>
              <w:spacing w:after="0"/>
              <w:rPr>
                <w:sz w:val="20"/>
                <w:szCs w:val="20"/>
                <w:color w:val="auto"/>
              </w:rPr>
            </w:pPr>
            <w:r>
              <w:rPr>
                <w:rFonts w:ascii="Arial" w:cs="Arial" w:eastAsia="Arial" w:hAnsi="Arial"/>
                <w:sz w:val="16"/>
                <w:szCs w:val="16"/>
                <w:b w:val="1"/>
                <w:bCs w:val="1"/>
                <w:color w:val="454545"/>
              </w:rPr>
              <w:t>September 30, 2023</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2022</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4,865</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4,992</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5320" w:type="dxa"/>
            <w:vAlign w:val="bottom"/>
          </w:tcPr>
          <w:p>
            <w:pPr>
              <w:ind w:left="8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9,297</w:t>
            </w:r>
          </w:p>
        </w:tc>
        <w:tc>
          <w:tcPr>
            <w:tcW w:w="240" w:type="dxa"/>
            <w:vAlign w:val="bottom"/>
          </w:tcPr>
          <w:p>
            <w:pPr>
              <w:spacing w:after="0"/>
              <w:rPr>
                <w:sz w:val="22"/>
                <w:szCs w:val="22"/>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9,351</w:t>
            </w: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14,162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14,343</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September 30, 2023 decreased 1% from December 31, 2022, primarily due to strong product fulfillment driven by the U.S., China, and Europe as well as unfavorable foreign currency impacts.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gridSpan w:val="7"/>
          </w:tcPr>
          <w:p>
            <w:pPr>
              <w:ind w:left="28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19"/>
                <w:szCs w:val="19"/>
                <w:color w:val="auto"/>
              </w:rPr>
            </w:pPr>
          </w:p>
        </w:tc>
        <w:tc>
          <w:tcPr>
            <w:tcW w:w="4040" w:type="dxa"/>
            <w:vAlign w:val="bottom"/>
            <w:gridSpan w:val="6"/>
          </w:tcPr>
          <w:p>
            <w:pPr>
              <w:jc w:val="right"/>
              <w:ind w:right="43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454545"/>
                <w:w w:val="99"/>
              </w:rPr>
              <w:t>% of Total</w:t>
            </w:r>
          </w:p>
        </w:tc>
        <w:tc>
          <w:tcPr>
            <w:tcW w:w="6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454545"/>
                <w:w w:val="99"/>
              </w:rPr>
              <w:t>% of Total</w:t>
            </w:r>
          </w:p>
        </w:tc>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7"/>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10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454545"/>
                <w:w w:val="99"/>
              </w:rPr>
              <w:t>revenues</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454545"/>
                <w:w w:val="99"/>
              </w:rPr>
              <w:t>revenues</w:t>
            </w: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106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454545"/>
              </w:rPr>
              <w:t>revenues</w:t>
            </w: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454545"/>
                <w:w w:val="99"/>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c>
          <w:tcPr>
            <w:tcW w:w="800" w:type="dxa"/>
            <w:vAlign w:val="bottom"/>
            <w:tcBorders>
              <w:bottom w:val="single" w:sz="8" w:color="E4E4E4"/>
            </w:tcBorders>
            <w:shd w:val="clear" w:color="auto" w:fill="E4E4E4"/>
          </w:tcPr>
          <w:p>
            <w:pPr>
              <w:jc w:val="center"/>
              <w:ind w:left="19"/>
              <w:spacing w:after="0"/>
              <w:rPr>
                <w:sz w:val="20"/>
                <w:szCs w:val="20"/>
                <w:color w:val="auto"/>
              </w:rPr>
            </w:pPr>
            <w:r>
              <w:rPr>
                <w:rFonts w:ascii="Arial" w:cs="Arial" w:eastAsia="Arial" w:hAnsi="Arial"/>
                <w:sz w:val="16"/>
                <w:szCs w:val="16"/>
                <w:color w:val="auto"/>
              </w:rPr>
              <w:t>12.8%</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605</w:t>
            </w:r>
          </w:p>
        </w:tc>
        <w:tc>
          <w:tcPr>
            <w:tcW w:w="8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13.2%</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1,746</w:t>
            </w:r>
          </w:p>
        </w:tc>
        <w:tc>
          <w:tcPr>
            <w:tcW w:w="780" w:type="dxa"/>
            <w:vAlign w:val="bottom"/>
            <w:tcBorders>
              <w:bottom w:val="single" w:sz="8" w:color="E4E4E4"/>
            </w:tcBorders>
            <w:shd w:val="clear" w:color="auto" w:fill="E4E4E4"/>
          </w:tcPr>
          <w:p>
            <w:pPr>
              <w:jc w:val="center"/>
              <w:ind w:left="39"/>
              <w:spacing w:after="0"/>
              <w:rPr>
                <w:sz w:val="20"/>
                <w:szCs w:val="20"/>
                <w:color w:val="auto"/>
              </w:rPr>
            </w:pPr>
            <w:r>
              <w:rPr>
                <w:rFonts w:ascii="Arial" w:cs="Arial" w:eastAsia="Arial" w:hAnsi="Arial"/>
                <w:sz w:val="16"/>
                <w:szCs w:val="16"/>
                <w:color w:val="auto"/>
              </w:rPr>
              <w:t>12.2%</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1,745</w:t>
            </w:r>
          </w:p>
        </w:tc>
        <w:tc>
          <w:tcPr>
            <w:tcW w:w="90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13.0%</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740" w:type="dxa"/>
            <w:vAlign w:val="bottom"/>
          </w:tcPr>
          <w:p>
            <w:pPr>
              <w:ind w:left="80"/>
              <w:spacing w:after="0"/>
              <w:rPr>
                <w:sz w:val="20"/>
                <w:szCs w:val="20"/>
                <w:color w:val="auto"/>
              </w:rPr>
            </w:pPr>
            <w:r>
              <w:rPr>
                <w:rFonts w:ascii="Arial" w:cs="Arial" w:eastAsia="Arial" w:hAnsi="Arial"/>
                <w:sz w:val="16"/>
                <w:szCs w:val="16"/>
                <w:color w:val="auto"/>
              </w:rPr>
              <w:t>Net income attributable to GE</w:t>
            </w: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800" w:type="dxa"/>
            <w:vAlign w:val="bottom"/>
            <w:vMerge w:val="restart"/>
          </w:tcPr>
          <w:p>
            <w:pPr>
              <w:jc w:val="center"/>
              <w:ind w:left="19"/>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487</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10.6%</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1,165</w:t>
            </w:r>
          </w:p>
        </w:tc>
        <w:tc>
          <w:tcPr>
            <w:tcW w:w="78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8.1%</w:t>
            </w:r>
          </w:p>
        </w:tc>
        <w:tc>
          <w:tcPr>
            <w:tcW w:w="2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1,362</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12"/>
        </w:trPr>
        <w:tc>
          <w:tcPr>
            <w:tcW w:w="2740" w:type="dxa"/>
            <w:vAlign w:val="bottom"/>
            <w:vMerge w:val="restart"/>
          </w:tcPr>
          <w:p>
            <w:pPr>
              <w:ind w:left="26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w:t>
            </w:r>
          </w:p>
        </w:tc>
        <w:tc>
          <w:tcPr>
            <w:tcW w:w="800" w:type="dxa"/>
            <w:vAlign w:val="bottom"/>
            <w:tcBorders>
              <w:bottom w:val="single" w:sz="8" w:color="E4E4E4"/>
            </w:tcBorders>
            <w:shd w:val="clear" w:color="auto" w:fill="E4E4E4"/>
          </w:tcPr>
          <w:p>
            <w:pPr>
              <w:jc w:val="center"/>
              <w:ind w:left="19"/>
              <w:spacing w:after="0"/>
              <w:rPr>
                <w:sz w:val="20"/>
                <w:szCs w:val="20"/>
                <w:color w:val="auto"/>
              </w:rPr>
            </w:pPr>
            <w:r>
              <w:rPr>
                <w:rFonts w:ascii="Arial" w:cs="Arial" w:eastAsia="Arial" w:hAnsi="Arial"/>
                <w:sz w:val="16"/>
                <w:szCs w:val="16"/>
                <w:color w:val="auto"/>
              </w:rPr>
              <w:t>15.4%</w:t>
            </w:r>
          </w:p>
        </w:tc>
        <w:tc>
          <w:tcPr>
            <w:tcW w:w="2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700</w:t>
            </w:r>
          </w:p>
        </w:tc>
        <w:tc>
          <w:tcPr>
            <w:tcW w:w="8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15.3%</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2,119</w:t>
            </w:r>
          </w:p>
        </w:tc>
        <w:tc>
          <w:tcPr>
            <w:tcW w:w="780" w:type="dxa"/>
            <w:vAlign w:val="bottom"/>
            <w:tcBorders>
              <w:bottom w:val="single" w:sz="8" w:color="E4E4E4"/>
            </w:tcBorders>
            <w:shd w:val="clear" w:color="auto" w:fill="E4E4E4"/>
          </w:tcPr>
          <w:p>
            <w:pPr>
              <w:jc w:val="center"/>
              <w:ind w:left="39"/>
              <w:spacing w:after="0"/>
              <w:rPr>
                <w:sz w:val="20"/>
                <w:szCs w:val="20"/>
                <w:color w:val="auto"/>
              </w:rPr>
            </w:pPr>
            <w:r>
              <w:rPr>
                <w:rFonts w:ascii="Arial" w:cs="Arial" w:eastAsia="Arial" w:hAnsi="Arial"/>
                <w:sz w:val="16"/>
                <w:szCs w:val="16"/>
                <w:color w:val="auto"/>
              </w:rPr>
              <w:t>14.8%</w:t>
            </w:r>
          </w:p>
        </w:tc>
        <w:tc>
          <w:tcPr>
            <w:tcW w:w="2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2,017</w:t>
            </w:r>
          </w:p>
        </w:tc>
        <w:tc>
          <w:tcPr>
            <w:tcW w:w="90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15.0%</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274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451</w:t>
            </w:r>
          </w:p>
        </w:tc>
        <w:tc>
          <w:tcPr>
            <w:tcW w:w="800" w:type="dxa"/>
            <w:vAlign w:val="bottom"/>
          </w:tcPr>
          <w:p>
            <w:pPr>
              <w:jc w:val="center"/>
              <w:ind w:left="19"/>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w:t>
            </w:r>
          </w:p>
        </w:tc>
        <w:tc>
          <w:tcPr>
            <w:tcW w:w="880" w:type="dxa"/>
            <w:vAlign w:val="bottom"/>
          </w:tcPr>
          <w:p>
            <w:pPr>
              <w:jc w:val="center"/>
              <w:spacing w:after="0"/>
              <w:rPr>
                <w:sz w:val="20"/>
                <w:szCs w:val="20"/>
                <w:color w:val="auto"/>
              </w:rPr>
            </w:pPr>
            <w:r>
              <w:rPr>
                <w:rFonts w:ascii="Arial" w:cs="Arial" w:eastAsia="Arial" w:hAnsi="Arial"/>
                <w:sz w:val="16"/>
                <w:szCs w:val="16"/>
                <w:color w:val="auto"/>
              </w:rPr>
              <w:t>11.9%</w:t>
            </w: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1,258</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w w:val="98"/>
              </w:rPr>
              <w:t>8.8%</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1,507</w:t>
            </w:r>
          </w:p>
        </w:tc>
        <w:tc>
          <w:tcPr>
            <w:tcW w:w="900" w:type="dxa"/>
            <w:vAlign w:val="bottom"/>
          </w:tcPr>
          <w:p>
            <w:pPr>
              <w:jc w:val="center"/>
              <w:spacing w:after="0"/>
              <w:rPr>
                <w:sz w:val="20"/>
                <w:szCs w:val="20"/>
                <w:color w:val="auto"/>
              </w:rPr>
            </w:pPr>
            <w:r>
              <w:rPr>
                <w:rFonts w:ascii="Arial" w:cs="Arial" w:eastAsia="Arial" w:hAnsi="Arial"/>
                <w:sz w:val="16"/>
                <w:szCs w:val="16"/>
                <w:color w:val="auto"/>
              </w:rPr>
              <w:t>11.2%</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i w:val="1"/>
          <w:iCs w:val="1"/>
          <w:color w:val="231F20"/>
        </w:rPr>
        <w:t>For the three months ended September 30, 2023</w:t>
      </w:r>
    </w:p>
    <w:p>
      <w:pPr>
        <w:spacing w:after="0" w:line="26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Operating income was $617 million, an increase of $12 million but a decrease of 40 basis points as a percent of Total revenues. The decrease as a percent of Total revenues was due to the following factors:</w:t>
      </w:r>
    </w:p>
    <w:p>
      <w:pPr>
        <w:spacing w:after="0" w:line="211" w:lineRule="exact"/>
        <w:rPr>
          <w:sz w:val="20"/>
          <w:szCs w:val="20"/>
          <w:color w:val="auto"/>
        </w:rPr>
      </w:pPr>
    </w:p>
    <w:p>
      <w:pPr>
        <w:ind w:left="660" w:right="40" w:hanging="328"/>
        <w:spacing w:after="0" w:line="25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of products sold increased $81 million but decreased 100 basis points as a percent of Sales of products. The decrease as a percent of sales was driven by cost productivity and an increase in pricing of our products, partially offset by continued cost inflation. Cost of services sold increased $3 million but decreased 210 basis points as a percent of Sales of services. The decrease as a percent of sales was driven by cost productivity and an increase in pricing of our service offerings, partially offset by cost inflation. Included in our total cost of revenue as part of our product investment was $101 million in engineering costs for design follow-through on new product introductions and product lifecycle maintenance subsequent to the initial product launch, compared to $110 million for the prior year comparable period; and</w:t>
      </w:r>
    </w:p>
    <w:p>
      <w:pPr>
        <w:spacing w:after="0" w:line="64" w:lineRule="exact"/>
        <w:rPr>
          <w:rFonts w:ascii="Arial" w:cs="Arial" w:eastAsia="Arial" w:hAnsi="Arial"/>
          <w:sz w:val="16"/>
          <w:szCs w:val="16"/>
          <w:color w:val="auto"/>
        </w:rPr>
      </w:pPr>
    </w:p>
    <w:p>
      <w:pPr>
        <w:ind w:left="660" w:right="160" w:hanging="328"/>
        <w:spacing w:after="0" w:line="26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$150 million due to an increase in Selling, general, and administrative (“SG&amp;A”) expense of $88 million driven by increased costs associated with both the stand-up and operation as a standalone company and commercial and marketing investments and a planned increase in Research and Development (“R&amp;D”) investments of $62 million. As a result, SG&amp;A as a percentage of Total revenues increased by 90 basis points and R&amp;D as a percentage of Total revenues increased by 100 basis points.</w:t>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income attributable to GE HealthCare and Net income margin were $375 million and 7.8%, a decrease of $112 million and 280 basis points, respectively, primarily due to the following factors:</w:t>
      </w:r>
    </w:p>
    <w:p>
      <w:pPr>
        <w:spacing w:after="0" w:line="199"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$12 million, as discussed above;</w:t>
      </w:r>
    </w:p>
    <w:p>
      <w:pPr>
        <w:spacing w:after="0" w:line="113" w:lineRule="exact"/>
        <w:rPr>
          <w:rFonts w:ascii="Arial" w:cs="Arial" w:eastAsia="Arial" w:hAnsi="Arial"/>
          <w:sz w:val="16"/>
          <w:szCs w:val="16"/>
          <w:i w:val="1"/>
          <w:iCs w:val="1"/>
          <w:color w:val="231F20"/>
        </w:rPr>
      </w:pPr>
    </w:p>
    <w:p>
      <w:pPr>
        <w:ind w:left="660" w:right="520" w:hanging="328"/>
        <w:spacing w:after="0" w:line="27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$136 million primarily due to interest expense related to the debt securities issued by GE HealthCare in November of 2022 and the Term Loan Facility drawn upon in January of 2023;</w:t>
      </w:r>
    </w:p>
    <w:p>
      <w:pPr>
        <w:spacing w:after="0" w:line="49" w:lineRule="exact"/>
        <w:rPr>
          <w:rFonts w:ascii="Arial" w:cs="Arial" w:eastAsia="Arial" w:hAnsi="Arial"/>
          <w:sz w:val="16"/>
          <w:szCs w:val="16"/>
          <w:color w:val="auto"/>
        </w:rPr>
      </w:pPr>
    </w:p>
    <w:p>
      <w:pPr>
        <w:ind w:left="660" w:right="20" w:hanging="328"/>
        <w:spacing w:after="0" w:line="27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net, increased $93 million primarily related to the pension plans transferred to GE HealthCare as part of the Spin-Off; and</w:t>
      </w:r>
    </w:p>
    <w:p>
      <w:pPr>
        <w:spacing w:after="0" w:line="49" w:lineRule="exact"/>
        <w:rPr>
          <w:rFonts w:ascii="Arial" w:cs="Arial" w:eastAsia="Arial" w:hAnsi="Arial"/>
          <w:sz w:val="16"/>
          <w:szCs w:val="16"/>
          <w:color w:val="auto"/>
        </w:rPr>
      </w:pPr>
    </w:p>
    <w:p>
      <w:pPr>
        <w:ind w:left="660" w:right="60" w:hanging="328"/>
        <w:spacing w:after="0" w:line="27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increased $121 million primarily due to the tax effect of foreign currency movement, withholding taxes, and the impact of the Tax Matters Agreement (“TMA”) including the effect of completing the 2022 U.S. federal tax return. For additional detail regarding our income taxes, see Note 10, “Income Taxes” to the condensed consolidated and combined financial statements.</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Adjusted EBIT* and Adjusted EBIT margin* were $744 million and 15.4%, an increase of $44 million and 10 basis points, respectively, primarily due to an increase in Total revenues, partially offset by an increase in Total operating expenses as discussed above, excluding one-time spin-off and separation costs.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net income* was $451 million, a decrease of $95 million primarily due to higher Interest and other financial charges </w:t>
      </w:r>
      <w:r>
        <w:rPr>
          <w:rFonts w:ascii="Arial" w:cs="Arial" w:eastAsia="Arial" w:hAnsi="Arial"/>
          <w:sz w:val="19"/>
          <w:szCs w:val="19"/>
          <w:color w:val="auto"/>
        </w:rPr>
        <w:t>–</w:t>
      </w:r>
      <w:r>
        <w:rPr>
          <w:rFonts w:ascii="Arial" w:cs="Arial" w:eastAsia="Arial" w:hAnsi="Arial"/>
          <w:sz w:val="16"/>
          <w:szCs w:val="16"/>
          <w:color w:val="auto"/>
        </w:rPr>
        <w:t xml:space="preserve"> net.</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2023</w:t>
      </w:r>
    </w:p>
    <w:p>
      <w:pPr>
        <w:spacing w:after="0" w:line="2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Operating income was $1,746 million, an increase of $1 million but a decrease of 80 basis points as a percent of Total revenues. The decrease as a percent of Total revenues was due to the following factors:</w:t>
      </w:r>
    </w:p>
    <w:p>
      <w:pPr>
        <w:spacing w:after="0" w:line="185" w:lineRule="exact"/>
        <w:rPr>
          <w:sz w:val="20"/>
          <w:szCs w:val="20"/>
          <w:color w:val="auto"/>
        </w:rPr>
      </w:pPr>
    </w:p>
    <w:p>
      <w:pPr>
        <w:ind w:left="660" w:right="40" w:hanging="328"/>
        <w:spacing w:after="0" w:line="259" w:lineRule="auto"/>
        <w:tabs>
          <w:tab w:leader="none" w:pos="649"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 xml:space="preserve">Cost of products sold increased $372 million but decreased 190 basis points as a percent of Sales of products. The decrease as a percent of sales was driven by cost productivity and an increase in pricing of our products, partially offset by continued cost inflation. Cost of services sold increased $52 million but decreased 10 basis points as a percent of Sales of services. The decrease as a percent of sales was driven by cost productivity and an increase in pricing of our service offerings, largely offset by cost inflation. Included in our total cost of revenue as part of our product investment was $321 million in engineering costs for design follow-through on new product introductions and product lifecycle maintenance subsequent to the initial product launch, compared to $324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64" w:lineRule="exact"/>
        <w:rPr>
          <w:rFonts w:ascii="Arial" w:cs="Arial" w:eastAsia="Arial" w:hAnsi="Arial"/>
          <w:sz w:val="16"/>
          <w:szCs w:val="16"/>
          <w:color w:val="231F20"/>
        </w:rPr>
      </w:pPr>
    </w:p>
    <w:p>
      <w:pPr>
        <w:ind w:left="660" w:right="40" w:hanging="328"/>
        <w:spacing w:after="0" w:line="268"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$518 million due to an increase in SG&amp;A expense of $383 million driven by increased costs associated with both the stand-up and operation as a standalone company and commercial and marketing investments and a planned increase in R&amp;D investments of $135 million. As a result, SG&amp;A as a percentage of Total revenues increased by 130 basis points and R&amp;D as a percentage of Total revenues increased by 60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6" w:name="page37"/>
    <w:bookmarkEnd w:id="36"/>
    <w:p>
      <w:pPr>
        <w:ind w:right="780"/>
        <w:spacing w:after="0" w:line="276" w:lineRule="auto"/>
        <w:rPr>
          <w:sz w:val="20"/>
          <w:szCs w:val="20"/>
          <w:color w:val="auto"/>
        </w:rPr>
      </w:pPr>
      <w:r>
        <w:rPr>
          <w:rFonts w:ascii="Arial" w:cs="Arial" w:eastAsia="Arial" w:hAnsi="Arial"/>
          <w:sz w:val="16"/>
          <w:szCs w:val="16"/>
          <w:color w:val="auto"/>
        </w:rPr>
        <w:t>Net income attributable to GE HealthCare and Net income margin were $1,165 million and 8.1%, a decrease of $197 million and 210 basis points, respectively, primarily due to the following factors:</w:t>
      </w:r>
    </w:p>
    <w:p>
      <w:pPr>
        <w:spacing w:after="0" w:line="21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 million, as discussed above;</w:t>
      </w:r>
    </w:p>
    <w:p>
      <w:pPr>
        <w:spacing w:after="0" w:line="99" w:lineRule="exact"/>
        <w:rPr>
          <w:rFonts w:ascii="Arial" w:cs="Arial" w:eastAsia="Arial" w:hAnsi="Arial"/>
          <w:sz w:val="16"/>
          <w:szCs w:val="16"/>
          <w:i w:val="1"/>
          <w:iCs w:val="1"/>
          <w:color w:val="231F20"/>
        </w:rPr>
      </w:pPr>
    </w:p>
    <w:p>
      <w:pPr>
        <w:ind w:left="660" w:right="500" w:hanging="328"/>
        <w:spacing w:after="0" w:line="29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$393 million primarily due to interest expense related to the debt securities issued by GE HealthCare in November of 2022 and the Term Loan Facility drawn upon in January of 2023;</w:t>
      </w:r>
    </w:p>
    <w:p>
      <w:pPr>
        <w:spacing w:after="0" w:line="36" w:lineRule="exact"/>
        <w:rPr>
          <w:rFonts w:ascii="Arial" w:cs="Arial" w:eastAsia="Arial" w:hAnsi="Arial"/>
          <w:sz w:val="16"/>
          <w:szCs w:val="16"/>
          <w:color w:val="auto"/>
        </w:rPr>
      </w:pPr>
    </w:p>
    <w:p>
      <w:pPr>
        <w:ind w:left="660" w:right="180" w:hanging="328"/>
        <w:spacing w:after="0" w:line="27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net, increased $328 million primarily related to the pension plans transferred to GE HealthCare as part of the Spin-Off; and</w:t>
      </w:r>
    </w:p>
    <w:p>
      <w:pPr>
        <w:spacing w:after="0" w:line="49" w:lineRule="exact"/>
        <w:rPr>
          <w:rFonts w:ascii="Arial" w:cs="Arial" w:eastAsia="Arial" w:hAnsi="Arial"/>
          <w:sz w:val="16"/>
          <w:szCs w:val="16"/>
          <w:color w:val="auto"/>
        </w:rPr>
      </w:pPr>
    </w:p>
    <w:p>
      <w:pPr>
        <w:ind w:left="660" w:right="40" w:hanging="328"/>
        <w:spacing w:after="0" w:line="26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increased $138 million primarily due to the tax effect of foreign currency movement, the impact of the TMA, including the effect of completing the 2022 U.S. federal tax return, and taxes accrued for the future repatriation of current earnings with a one-time charge for prior period earnings of certain of our foreign subsidiaries. For additional detail regarding our income taxes, see Note 10, “Income Taxes” to the condensed consolidated and combined financial statements.</w:t>
      </w:r>
    </w:p>
    <w:p>
      <w:pPr>
        <w:spacing w:after="0" w:line="223" w:lineRule="exact"/>
        <w:rPr>
          <w:sz w:val="20"/>
          <w:szCs w:val="20"/>
          <w:color w:val="auto"/>
        </w:rPr>
      </w:pPr>
    </w:p>
    <w:p>
      <w:pPr>
        <w:ind w:right="440"/>
        <w:spacing w:after="0" w:line="270" w:lineRule="auto"/>
        <w:rPr>
          <w:sz w:val="20"/>
          <w:szCs w:val="20"/>
          <w:color w:val="auto"/>
        </w:rPr>
      </w:pPr>
      <w:r>
        <w:rPr>
          <w:rFonts w:ascii="Arial" w:cs="Arial" w:eastAsia="Arial" w:hAnsi="Arial"/>
          <w:sz w:val="16"/>
          <w:szCs w:val="16"/>
          <w:color w:val="auto"/>
        </w:rPr>
        <w:t>Adjusted EBIT* and Adjusted EBIT margin* were $2,119 million and 14.8%, an increase of $102 million but a decrease of 20 basis points, respectively, primarily due to an increase in Total revenues, offset by an increase in Total operating expenses as discussed above, excluding one-time spin-off and separation costs.</w:t>
      </w:r>
    </w:p>
    <w:p>
      <w:pPr>
        <w:spacing w:after="0" w:line="174"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color w:val="auto"/>
        </w:rPr>
        <w:t xml:space="preserve">Adjusted net income* was $1,258 million, a decrease of $249 million primarily due to higher Interest and other financial charges </w:t>
      </w:r>
      <w:r>
        <w:rPr>
          <w:rFonts w:ascii="Arial" w:cs="Arial" w:eastAsia="Arial" w:hAnsi="Arial"/>
          <w:sz w:val="19"/>
          <w:szCs w:val="19"/>
          <w:color w:val="auto"/>
        </w:rPr>
        <w:t>–</w:t>
      </w:r>
      <w:r>
        <w:rPr>
          <w:rFonts w:ascii="Arial" w:cs="Arial" w:eastAsia="Arial" w:hAnsi="Arial"/>
          <w:sz w:val="16"/>
          <w:szCs w:val="16"/>
          <w:color w:val="auto"/>
        </w:rPr>
        <w:t xml:space="preserve"> net, partially offset by an increase in Operating Income as discussed above, excluding the impact of one-time spin-off and separation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9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 related benefits (charges), Spin-Off and separation costs, Non-operating benefit (income) costs, Gain (loss) of business and asset dispositions, Amortization of acquisition-related intangible assets, Net (income) loss attributable to noncontrolling interests, Income (loss) from discontinued operations, net of taxes, and Investment revaluation gain (loss). See “Results of Operations” section above for discussion on the performance of segments on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83"/>
        </w:trPr>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c>
          <w:tcPr>
            <w:tcW w:w="820" w:type="dxa"/>
            <w:vAlign w:val="bottom"/>
          </w:tcPr>
          <w:p>
            <w:pPr>
              <w:spacing w:after="0"/>
              <w:rPr>
                <w:sz w:val="24"/>
                <w:szCs w:val="24"/>
                <w:color w:val="auto"/>
              </w:rPr>
            </w:pPr>
          </w:p>
        </w:tc>
      </w:tr>
      <w:tr>
        <w:trPr>
          <w:trHeight w:val="21"/>
        </w:trPr>
        <w:tc>
          <w:tcPr>
            <w:tcW w:w="15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r>
      <w:tr>
        <w:trPr>
          <w:trHeight w:val="205"/>
        </w:trPr>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454545"/>
              </w:rPr>
              <w:t>% of segment</w:t>
            </w: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454545"/>
              </w:rPr>
              <w:t>% of segment</w:t>
            </w:r>
          </w:p>
        </w:tc>
        <w:tc>
          <w:tcPr>
            <w:tcW w:w="6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454545"/>
              </w:rPr>
              <w:t>% of segment</w:t>
            </w:r>
          </w:p>
        </w:tc>
        <w:tc>
          <w:tcPr>
            <w:tcW w:w="820" w:type="dxa"/>
            <w:vAlign w:val="bottom"/>
          </w:tcPr>
          <w:p>
            <w:pPr>
              <w:spacing w:after="0"/>
              <w:rPr>
                <w:sz w:val="17"/>
                <w:szCs w:val="17"/>
                <w:color w:val="auto"/>
              </w:rPr>
            </w:pPr>
          </w:p>
        </w:tc>
      </w:tr>
      <w:tr>
        <w:trPr>
          <w:trHeight w:val="227"/>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2023</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454545"/>
              </w:rPr>
              <w:t>revenues</w:t>
            </w: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2022</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454545"/>
              </w:rPr>
              <w:t>revenues</w:t>
            </w: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454545"/>
              </w:rPr>
              <w:t>% change</w:t>
            </w:r>
          </w:p>
        </w:tc>
        <w:tc>
          <w:tcPr>
            <w:tcW w:w="18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454545"/>
              </w:rPr>
              <w:t>revenues</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2022</w:t>
            </w: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454545"/>
              </w:rPr>
              <w:t>revenues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454545"/>
                <w:w w:val="99"/>
              </w:rPr>
              <w:t>% change</w:t>
            </w:r>
          </w:p>
        </w:tc>
      </w:tr>
      <w:tr>
        <w:trPr>
          <w:trHeight w:val="21"/>
        </w:trPr>
        <w:tc>
          <w:tcPr>
            <w:tcW w:w="15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r>
      <w:tr>
        <w:trPr>
          <w:trHeight w:val="230"/>
        </w:trPr>
        <w:tc>
          <w:tcPr>
            <w:tcW w:w="15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Segment EBIT</w:t>
            </w:r>
          </w:p>
        </w:tc>
        <w:tc>
          <w:tcPr>
            <w:tcW w:w="1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r>
      <w:tr>
        <w:trPr>
          <w:trHeight w:val="250"/>
        </w:trPr>
        <w:tc>
          <w:tcPr>
            <w:tcW w:w="1540" w:type="dxa"/>
            <w:vAlign w:val="bottom"/>
          </w:tcPr>
          <w:p>
            <w:pPr>
              <w:ind w:left="300"/>
              <w:spacing w:after="0"/>
              <w:rPr>
                <w:sz w:val="20"/>
                <w:szCs w:val="20"/>
                <w:color w:val="auto"/>
              </w:rPr>
            </w:pPr>
            <w:r>
              <w:rPr>
                <w:rFonts w:ascii="Arial" w:cs="Arial" w:eastAsia="Arial" w:hAnsi="Arial"/>
                <w:sz w:val="16"/>
                <w:szCs w:val="16"/>
                <w:color w:val="auto"/>
              </w:rPr>
              <w:t>Imaging</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318</w:t>
            </w:r>
          </w:p>
        </w:tc>
        <w:tc>
          <w:tcPr>
            <w:tcW w:w="1380" w:type="dxa"/>
            <w:vAlign w:val="bottom"/>
          </w:tcPr>
          <w:p>
            <w:pPr>
              <w:jc w:val="right"/>
              <w:spacing w:after="0"/>
              <w:rPr>
                <w:sz w:val="20"/>
                <w:szCs w:val="20"/>
                <w:color w:val="auto"/>
              </w:rPr>
            </w:pPr>
            <w:r>
              <w:rPr>
                <w:rFonts w:ascii="Arial" w:cs="Arial" w:eastAsia="Arial" w:hAnsi="Arial"/>
                <w:sz w:val="16"/>
                <w:szCs w:val="16"/>
                <w:color w:val="auto"/>
              </w:rPr>
              <w:t>12.1 % $</w:t>
            </w:r>
          </w:p>
        </w:tc>
        <w:tc>
          <w:tcPr>
            <w:tcW w:w="620" w:type="dxa"/>
            <w:vAlign w:val="bottom"/>
          </w:tcPr>
          <w:p>
            <w:pPr>
              <w:jc w:val="right"/>
              <w:spacing w:after="0"/>
              <w:rPr>
                <w:sz w:val="20"/>
                <w:szCs w:val="20"/>
                <w:color w:val="auto"/>
              </w:rPr>
            </w:pPr>
            <w:r>
              <w:rPr>
                <w:rFonts w:ascii="Arial" w:cs="Arial" w:eastAsia="Arial" w:hAnsi="Arial"/>
                <w:sz w:val="16"/>
                <w:szCs w:val="16"/>
                <w:color w:val="auto"/>
              </w:rPr>
              <w:t>267</w:t>
            </w:r>
          </w:p>
        </w:tc>
        <w:tc>
          <w:tcPr>
            <w:tcW w:w="1180" w:type="dxa"/>
            <w:vAlign w:val="bottom"/>
          </w:tcPr>
          <w:p>
            <w:pPr>
              <w:jc w:val="right"/>
              <w:spacing w:after="0"/>
              <w:rPr>
                <w:sz w:val="20"/>
                <w:szCs w:val="20"/>
                <w:color w:val="auto"/>
              </w:rPr>
            </w:pPr>
            <w:r>
              <w:rPr>
                <w:rFonts w:ascii="Arial" w:cs="Arial" w:eastAsia="Arial" w:hAnsi="Arial"/>
                <w:sz w:val="16"/>
                <w:szCs w:val="16"/>
                <w:color w:val="auto"/>
              </w:rPr>
              <w:t>10.6 %</w:t>
            </w:r>
          </w:p>
        </w:tc>
        <w:tc>
          <w:tcPr>
            <w:tcW w:w="82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787</w:t>
            </w:r>
          </w:p>
        </w:tc>
        <w:tc>
          <w:tcPr>
            <w:tcW w:w="1360" w:type="dxa"/>
            <w:vAlign w:val="bottom"/>
          </w:tcPr>
          <w:p>
            <w:pPr>
              <w:jc w:val="right"/>
              <w:spacing w:after="0"/>
              <w:rPr>
                <w:sz w:val="20"/>
                <w:szCs w:val="20"/>
                <w:color w:val="auto"/>
              </w:rPr>
            </w:pPr>
            <w:r>
              <w:rPr>
                <w:rFonts w:ascii="Arial" w:cs="Arial" w:eastAsia="Arial" w:hAnsi="Arial"/>
                <w:sz w:val="16"/>
                <w:szCs w:val="16"/>
                <w:color w:val="auto"/>
              </w:rPr>
              <w:t>10.2 % $</w:t>
            </w:r>
          </w:p>
        </w:tc>
        <w:tc>
          <w:tcPr>
            <w:tcW w:w="660" w:type="dxa"/>
            <w:vAlign w:val="bottom"/>
          </w:tcPr>
          <w:p>
            <w:pPr>
              <w:jc w:val="right"/>
              <w:spacing w:after="0"/>
              <w:rPr>
                <w:sz w:val="20"/>
                <w:szCs w:val="20"/>
                <w:color w:val="auto"/>
              </w:rPr>
            </w:pPr>
            <w:r>
              <w:rPr>
                <w:rFonts w:ascii="Arial" w:cs="Arial" w:eastAsia="Arial" w:hAnsi="Arial"/>
                <w:sz w:val="16"/>
                <w:szCs w:val="16"/>
                <w:color w:val="auto"/>
              </w:rPr>
              <w:t>779</w:t>
            </w:r>
          </w:p>
        </w:tc>
        <w:tc>
          <w:tcPr>
            <w:tcW w:w="1220" w:type="dxa"/>
            <w:vAlign w:val="bottom"/>
          </w:tcPr>
          <w:p>
            <w:pPr>
              <w:jc w:val="right"/>
              <w:spacing w:after="0"/>
              <w:rPr>
                <w:sz w:val="20"/>
                <w:szCs w:val="20"/>
                <w:color w:val="auto"/>
              </w:rPr>
            </w:pPr>
            <w:r>
              <w:rPr>
                <w:rFonts w:ascii="Arial" w:cs="Arial" w:eastAsia="Arial" w:hAnsi="Arial"/>
                <w:sz w:val="16"/>
                <w:szCs w:val="16"/>
                <w:color w:val="auto"/>
              </w:rPr>
              <w:t>10.7 %</w:t>
            </w:r>
          </w:p>
        </w:tc>
        <w:tc>
          <w:tcPr>
            <w:tcW w:w="8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3"/>
        </w:trPr>
        <w:tc>
          <w:tcPr>
            <w:tcW w:w="15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16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13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22.0 %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577</w:t>
            </w:r>
          </w:p>
        </w:tc>
        <w:tc>
          <w:tcPr>
            <w:tcW w:w="13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23.0 %</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623</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25.3 %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1540" w:type="dxa"/>
            <w:vAlign w:val="bottom"/>
          </w:tcPr>
          <w:p>
            <w:pPr>
              <w:ind w:left="300"/>
              <w:spacing w:after="0"/>
              <w:rPr>
                <w:sz w:val="20"/>
                <w:szCs w:val="20"/>
                <w:color w:val="auto"/>
              </w:rPr>
            </w:pPr>
            <w:r>
              <w:rPr>
                <w:rFonts w:ascii="Arial" w:cs="Arial" w:eastAsia="Arial" w:hAnsi="Arial"/>
                <w:sz w:val="16"/>
                <w:szCs w:val="16"/>
                <w:color w:val="auto"/>
              </w:rPr>
              <w:t>PCS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10.5 %</w:t>
            </w: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1180" w:type="dxa"/>
            <w:vAlign w:val="bottom"/>
          </w:tcPr>
          <w:p>
            <w:pPr>
              <w:jc w:val="right"/>
              <w:spacing w:after="0"/>
              <w:rPr>
                <w:sz w:val="20"/>
                <w:szCs w:val="20"/>
                <w:color w:val="auto"/>
              </w:rPr>
            </w:pPr>
            <w:r>
              <w:rPr>
                <w:rFonts w:ascii="Arial" w:cs="Arial" w:eastAsia="Arial" w:hAnsi="Arial"/>
                <w:sz w:val="16"/>
                <w:szCs w:val="16"/>
                <w:color w:val="auto"/>
              </w:rPr>
              <w:t>9.3 %</w:t>
            </w:r>
          </w:p>
        </w:tc>
        <w:tc>
          <w:tcPr>
            <w:tcW w:w="820" w:type="dxa"/>
            <w:vAlign w:val="bottom"/>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11.8 %</w:t>
            </w:r>
          </w:p>
        </w:tc>
        <w:tc>
          <w:tcPr>
            <w:tcW w:w="660" w:type="dxa"/>
            <w:vAlign w:val="bottom"/>
          </w:tcPr>
          <w:p>
            <w:pPr>
              <w:jc w:val="right"/>
              <w:spacing w:after="0"/>
              <w:rPr>
                <w:sz w:val="20"/>
                <w:szCs w:val="20"/>
                <w:color w:val="auto"/>
              </w:rPr>
            </w:pPr>
            <w:r>
              <w:rPr>
                <w:rFonts w:ascii="Arial" w:cs="Arial" w:eastAsia="Arial" w:hAnsi="Arial"/>
                <w:sz w:val="16"/>
                <w:szCs w:val="16"/>
                <w:color w:val="auto"/>
              </w:rPr>
              <w:t>211</w:t>
            </w:r>
          </w:p>
        </w:tc>
        <w:tc>
          <w:tcPr>
            <w:tcW w:w="1220" w:type="dxa"/>
            <w:vAlign w:val="bottom"/>
          </w:tcPr>
          <w:p>
            <w:pPr>
              <w:jc w:val="right"/>
              <w:spacing w:after="0"/>
              <w:rPr>
                <w:sz w:val="20"/>
                <w:szCs w:val="20"/>
                <w:color w:val="auto"/>
              </w:rPr>
            </w:pPr>
            <w:r>
              <w:rPr>
                <w:rFonts w:ascii="Arial" w:cs="Arial" w:eastAsia="Arial" w:hAnsi="Arial"/>
                <w:sz w:val="16"/>
                <w:szCs w:val="16"/>
                <w:color w:val="auto"/>
              </w:rPr>
              <w:t>9.9 %</w:t>
            </w:r>
          </w:p>
        </w:tc>
        <w:tc>
          <w:tcPr>
            <w:tcW w:w="82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3"/>
        </w:trPr>
        <w:tc>
          <w:tcPr>
            <w:tcW w:w="15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6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13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28.2 %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30.5 %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4 %</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473</w:t>
            </w:r>
          </w:p>
        </w:tc>
        <w:tc>
          <w:tcPr>
            <w:tcW w:w="13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27.6 %</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27.7 %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15 %</w:t>
            </w:r>
          </w:p>
        </w:tc>
      </w:tr>
      <w:tr>
        <w:trPr>
          <w:trHeight w:val="283"/>
        </w:trPr>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0"/>
        </w:trPr>
        <w:tc>
          <w:tcPr>
            <w:tcW w:w="154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744</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700</w:t>
            </w:r>
          </w:p>
        </w:tc>
        <w:tc>
          <w:tcPr>
            <w:tcW w:w="118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6 %</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2,119</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2,017</w:t>
            </w:r>
          </w:p>
        </w:tc>
        <w:tc>
          <w:tcPr>
            <w:tcW w:w="1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5 %</w:t>
            </w:r>
          </w:p>
        </w:tc>
      </w:tr>
      <w:tr>
        <w:trPr>
          <w:trHeight w:val="20"/>
        </w:trPr>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ind w:left="340" w:right="280" w:hanging="332"/>
        <w:spacing w:after="0" w:line="276" w:lineRule="auto"/>
        <w:tabs>
          <w:tab w:leader="none" w:pos="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September 30, 2023</w:t>
      </w:r>
    </w:p>
    <w:p>
      <w:pPr>
        <w:spacing w:after="0" w:line="252" w:lineRule="exact"/>
        <w:rPr>
          <w:sz w:val="20"/>
          <w:szCs w:val="20"/>
          <w:color w:val="auto"/>
        </w:rPr>
      </w:pPr>
    </w:p>
    <w:p>
      <w:pPr>
        <w:ind w:left="660" w:right="440" w:hanging="328"/>
        <w:spacing w:after="0" w:line="27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Imaging Segment EBIT was $318 million, an increase of $51 million due to cost productivity, an increase in price, and growth in sales volume, partially offset by planned investments and cost inflation;</w:t>
      </w:r>
    </w:p>
    <w:p>
      <w:pPr>
        <w:spacing w:after="0" w:line="62" w:lineRule="exact"/>
        <w:rPr>
          <w:rFonts w:ascii="Arial" w:cs="Arial" w:eastAsia="Arial" w:hAnsi="Arial"/>
          <w:sz w:val="16"/>
          <w:szCs w:val="16"/>
          <w:color w:val="auto"/>
        </w:rPr>
      </w:pPr>
    </w:p>
    <w:p>
      <w:pPr>
        <w:ind w:left="660" w:right="620" w:hanging="328"/>
        <w:spacing w:after="0" w:line="27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Ultrasound Segment EBIT was $179 million, a decrease of $32 million due to planned investments and cost inflation, partially offset by cost productivity;</w:t>
      </w:r>
    </w:p>
    <w:p>
      <w:pPr>
        <w:spacing w:after="0" w:line="49" w:lineRule="exact"/>
        <w:rPr>
          <w:rFonts w:ascii="Arial" w:cs="Arial" w:eastAsia="Arial" w:hAnsi="Arial"/>
          <w:sz w:val="16"/>
          <w:szCs w:val="16"/>
          <w:color w:val="auto"/>
        </w:rPr>
      </w:pPr>
    </w:p>
    <w:p>
      <w:pPr>
        <w:ind w:left="660" w:right="180" w:hanging="328"/>
        <w:spacing w:after="0" w:line="27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PCS Segment EBIT was $80 million, an increase of $15 million due to cost productivity, growth in sales volume, and an increase in price, partially offset by planned investments and cost inflation; and</w:t>
      </w:r>
    </w:p>
    <w:p>
      <w:pPr>
        <w:spacing w:after="0" w:line="49" w:lineRule="exact"/>
        <w:rPr>
          <w:rFonts w:ascii="Arial" w:cs="Arial" w:eastAsia="Arial" w:hAnsi="Arial"/>
          <w:sz w:val="16"/>
          <w:szCs w:val="16"/>
          <w:color w:val="auto"/>
        </w:rPr>
      </w:pPr>
    </w:p>
    <w:p>
      <w:pPr>
        <w:ind w:left="660" w:right="200" w:hanging="328"/>
        <w:spacing w:after="0" w:line="293"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PDx Segment EBIT was $166 million, an increase of $7 million due to an increase in price, cost productivity, and growth in sales volume, partially offset by cost inflation and planned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1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i w:val="1"/>
          <w:iCs w:val="1"/>
          <w:color w:val="231F20"/>
        </w:rPr>
        <w:t>For the nine months ended September 30, 2023</w:t>
      </w:r>
    </w:p>
    <w:p>
      <w:pPr>
        <w:spacing w:after="0" w:line="266" w:lineRule="exact"/>
        <w:rPr>
          <w:sz w:val="20"/>
          <w:szCs w:val="20"/>
          <w:color w:val="auto"/>
        </w:rPr>
      </w:pPr>
    </w:p>
    <w:p>
      <w:pPr>
        <w:ind w:left="660" w:right="40" w:hanging="328"/>
        <w:spacing w:after="0" w:line="27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Imaging Segment EBIT was $787 million, an increase of $8 million due to cost productivity, an increase in price, and growth in sales volume, largely offset by liquidation of higher-cost inventory, planned investments, and mix between our product and service offerings;</w:t>
      </w:r>
    </w:p>
    <w:p>
      <w:pPr>
        <w:spacing w:after="0" w:line="49" w:lineRule="exact"/>
        <w:rPr>
          <w:rFonts w:ascii="Arial" w:cs="Arial" w:eastAsia="Arial" w:hAnsi="Arial"/>
          <w:sz w:val="16"/>
          <w:szCs w:val="16"/>
          <w:i w:val="1"/>
          <w:iCs w:val="1"/>
          <w:color w:val="231F20"/>
        </w:rPr>
      </w:pPr>
    </w:p>
    <w:p>
      <w:pPr>
        <w:ind w:left="660" w:right="640" w:hanging="328"/>
        <w:spacing w:after="0" w:line="27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Ultrasound Segment EBIT was $577 million, a decrease of $46 million due to planned investments and cost inflation, partially offset by cost productivity and an increase in price;</w:t>
      </w:r>
    </w:p>
    <w:p>
      <w:pPr>
        <w:spacing w:after="0" w:line="49" w:lineRule="exact"/>
        <w:rPr>
          <w:rFonts w:ascii="Arial" w:cs="Arial" w:eastAsia="Arial" w:hAnsi="Arial"/>
          <w:sz w:val="16"/>
          <w:szCs w:val="16"/>
          <w:i w:val="1"/>
          <w:iCs w:val="1"/>
          <w:color w:val="231F20"/>
        </w:rPr>
      </w:pPr>
    </w:p>
    <w:p>
      <w:pPr>
        <w:ind w:left="660" w:right="100" w:hanging="328"/>
        <w:spacing w:after="0" w:line="293"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PCS Segment EBIT was $273 million, an increase of $62 million due to cost productivity, an increase in price, and growth in sales volume, partially offset by planned investments and cost inflation; and</w:t>
      </w:r>
    </w:p>
    <w:p>
      <w:pPr>
        <w:spacing w:after="0" w:line="36" w:lineRule="exact"/>
        <w:rPr>
          <w:rFonts w:ascii="Arial" w:cs="Arial" w:eastAsia="Arial" w:hAnsi="Arial"/>
          <w:sz w:val="16"/>
          <w:szCs w:val="16"/>
          <w:i w:val="1"/>
          <w:iCs w:val="1"/>
          <w:color w:val="231F20"/>
        </w:rPr>
      </w:pPr>
    </w:p>
    <w:p>
      <w:pPr>
        <w:ind w:left="660" w:right="140" w:hanging="328"/>
        <w:spacing w:after="0" w:line="27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PDx Segment EBIT was $473 million, an increase of $62 million due to an increase in price, growth in sales volume, and cost productivity, partially offset by cost inflation and planned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making financial, operational, and planning decisions. Finally, these measures are often used by analysts and other interested parties to evaluate companies in our industry.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measures we report include: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Organic revenue and Organic revenue growth rate</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believe that Organic revenue and Organic revenue growth rate, by excluding the effect of acquisitions, dispositions, and foreign currency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EBIT and Adjusted EBIT margin</w:t>
      </w:r>
    </w:p>
    <w:p>
      <w:pPr>
        <w:spacing w:after="0" w:line="21"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non-operating benefit (income) costs, and tax expense, as well as non-recurring and/or non-cash items, which may have a material impact on our results. In addition,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net income</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non-recurring and/or non-cash items, which may have a material impact on our results. In addition, we may from time to time consider excluding other nonrecurring items to enhance comparability between periods. However, Adjusted net income should not be construed as inferring that our future results will be unaffected by the items for which the measure adjusts.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earnings per share</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non-recurring and/or non-cash items, which may have a material impact on our results. In addition,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i w:val="1"/>
          <w:iCs w:val="1"/>
          <w:color w:val="231F20"/>
        </w:rPr>
        <w:t>Free cash flow</w:t>
      </w:r>
    </w:p>
    <w:p>
      <w:pPr>
        <w:spacing w:after="0" w:line="8"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color w:val="auto"/>
        </w:rPr>
        <w:t xml:space="preserve">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down debt, paying dividends, and pursuing other opportunities that may enhance stockholder value. Free cash flow is Cash from (used for) operating activities </w:t>
      </w:r>
      <w:r>
        <w:rPr>
          <w:rFonts w:ascii="Arial" w:cs="Arial" w:eastAsia="Arial" w:hAnsi="Arial"/>
          <w:sz w:val="19"/>
          <w:szCs w:val="19"/>
          <w:color w:val="auto"/>
        </w:rPr>
        <w:t>–</w:t>
      </w:r>
      <w:r>
        <w:rPr>
          <w:rFonts w:ascii="Arial" w:cs="Arial" w:eastAsia="Arial" w:hAnsi="Arial"/>
          <w:sz w:val="16"/>
          <w:szCs w:val="16"/>
          <w:color w:val="auto"/>
        </w:rPr>
        <w:t xml:space="preserve"> continuing</w:t>
      </w:r>
    </w:p>
    <w:p>
      <w:pPr>
        <w:spacing w:after="0" w:line="8"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operations including cash flows related to the additions and dispositions of property, plant and equipment (“PP&amp;E”) and internal-use software as well as the impact of discontinued factoring programs. Interest expense associated with external debt that was historically held by GE is not recognized in the condensed combined financial statements and related notes. Additionally, Free cash flow does not represent residual cash flows available for discretionary expenditures, due to the fact the measures do not deduct the payments required for debt repayments.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Reconciliations</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140" w:type="dxa"/>
            <w:vAlign w:val="bottom"/>
          </w:tcPr>
          <w:p>
            <w:pPr>
              <w:spacing w:after="0"/>
              <w:rPr>
                <w:sz w:val="20"/>
                <w:szCs w:val="20"/>
                <w:color w:val="auto"/>
              </w:rPr>
            </w:pPr>
          </w:p>
        </w:tc>
        <w:tc>
          <w:tcPr>
            <w:tcW w:w="356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0"/>
                <w:szCs w:val="20"/>
                <w:color w:val="auto"/>
              </w:rPr>
            </w:pPr>
          </w:p>
        </w:tc>
        <w:tc>
          <w:tcPr>
            <w:tcW w:w="34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394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454545"/>
              </w:rPr>
              <w:t>% change</w:t>
            </w:r>
          </w:p>
        </w:tc>
        <w:tc>
          <w:tcPr>
            <w:tcW w:w="160" w:type="dxa"/>
            <w:vAlign w:val="bottom"/>
          </w:tcPr>
          <w:p>
            <w:pPr>
              <w:spacing w:after="0"/>
              <w:rPr>
                <w:sz w:val="19"/>
                <w:szCs w:val="19"/>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2023</w:t>
            </w:r>
          </w:p>
        </w:tc>
        <w:tc>
          <w:tcPr>
            <w:tcW w:w="28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2,516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7,751</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7,276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3"/>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2,649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2,516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7,910</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7,276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815</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2,513</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2,466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814</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2,567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2,466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701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2,130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3"/>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701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2,337</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2,130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1,715</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21"/>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587</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1,738</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4"/>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4,822</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14,346</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13,403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1"/>
                <w:szCs w:val="21"/>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r>
      <w:tr>
        <w:trPr>
          <w:trHeight w:val="256"/>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(258)</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4,832</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14,604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13,403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440" w:right="160" w:hanging="414"/>
        <w:spacing w:after="0" w:line="293"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spacing w:after="0" w:line="9"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8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899"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3"/>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spacing w:after="0"/>
              <w:rPr>
                <w:sz w:val="17"/>
                <w:szCs w:val="17"/>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4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5"/>
        </w:trPr>
        <w:tc>
          <w:tcPr>
            <w:tcW w:w="5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6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2022</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2022</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454545"/>
                <w:w w:val="99"/>
              </w:rPr>
              <w:t>% change</w:t>
            </w:r>
          </w:p>
        </w:tc>
        <w:tc>
          <w:tcPr>
            <w:tcW w:w="0" w:type="dxa"/>
            <w:vAlign w:val="bottom"/>
          </w:tcPr>
          <w:p>
            <w:pPr>
              <w:spacing w:after="0"/>
              <w:rPr>
                <w:sz w:val="1"/>
                <w:szCs w:val="1"/>
                <w:color w:val="auto"/>
              </w:rPr>
            </w:pPr>
          </w:p>
        </w:tc>
      </w:tr>
      <w:tr>
        <w:trPr>
          <w:trHeight w:val="21"/>
        </w:trPr>
        <w:tc>
          <w:tcPr>
            <w:tcW w:w="5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375</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487</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1,362</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w:t>
            </w: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(550)</w:t>
            </w: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680</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623</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1,831</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1,808</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50"/>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(2)</w:t>
            </w:r>
          </w:p>
        </w:tc>
        <w:tc>
          <w:tcPr>
            <w:tcW w:w="22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(49)</w:t>
            </w:r>
          </w:p>
        </w:tc>
        <w:tc>
          <w:tcPr>
            <w:tcW w:w="9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E4E4E4"/>
          </w:tcPr>
          <w:p>
            <w:pPr>
              <w:spacing w:after="0"/>
              <w:rPr>
                <w:sz w:val="22"/>
                <w:szCs w:val="22"/>
                <w:color w:val="auto"/>
              </w:rPr>
            </w:pPr>
          </w:p>
        </w:tc>
        <w:tc>
          <w:tcPr>
            <w:tcW w:w="8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(20)</w:t>
            </w:r>
          </w:p>
        </w:tc>
        <w:tc>
          <w:tcPr>
            <w:tcW w:w="9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(Gain) loss of business and asset dispositions</w:t>
            </w:r>
            <w:r>
              <w:rPr>
                <w:rFonts w:ascii="Arial" w:cs="Arial" w:eastAsia="Arial" w:hAnsi="Arial"/>
                <w:sz w:val="21"/>
                <w:szCs w:val="21"/>
                <w:color w:val="auto"/>
                <w:vertAlign w:val="superscript"/>
              </w:rPr>
              <w:t>(4)</w:t>
            </w:r>
          </w:p>
        </w:tc>
        <w:tc>
          <w:tcPr>
            <w:tcW w:w="22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9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(1)</w:t>
            </w:r>
          </w:p>
        </w:tc>
        <w:tc>
          <w:tcPr>
            <w:tcW w:w="9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Borders>
              <w:bottom w:val="single" w:sz="8" w:color="auto"/>
            </w:tcBorders>
            <w:shd w:val="clear" w:color="auto" w:fill="E4E4E4"/>
          </w:tcPr>
          <w:p>
            <w:pPr>
              <w:spacing w:after="0"/>
              <w:rPr>
                <w:sz w:val="22"/>
                <w:szCs w:val="22"/>
                <w:color w:val="auto"/>
              </w:rPr>
            </w:pPr>
          </w:p>
        </w:tc>
        <w:tc>
          <w:tcPr>
            <w:tcW w:w="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auto"/>
            </w:tcBorders>
            <w:shd w:val="clear" w:color="auto" w:fill="E4E4E4"/>
          </w:tcPr>
          <w:p>
            <w:pPr>
              <w:spacing w:after="0"/>
              <w:rPr>
                <w:sz w:val="22"/>
                <w:szCs w:val="22"/>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ind w:right="39"/>
              <w:spacing w:after="0"/>
              <w:rPr>
                <w:sz w:val="20"/>
                <w:szCs w:val="20"/>
                <w:color w:val="auto"/>
              </w:rPr>
            </w:pPr>
            <w:r>
              <w:rPr>
                <w:rFonts w:ascii="Arial" w:cs="Arial" w:eastAsia="Arial" w:hAnsi="Arial"/>
                <w:sz w:val="16"/>
                <w:szCs w:val="16"/>
                <w:color w:val="auto"/>
              </w:rPr>
              <w:t>23</w:t>
            </w:r>
          </w:p>
        </w:tc>
        <w:tc>
          <w:tcPr>
            <w:tcW w:w="940" w:type="dxa"/>
            <w:vAlign w:val="bottom"/>
            <w:tcBorders>
              <w:bottom w:val="single" w:sz="8" w:color="auto"/>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744</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700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2,119</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10.6%</w:t>
            </w:r>
          </w:p>
        </w:tc>
        <w:tc>
          <w:tcPr>
            <w:tcW w:w="102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(280) bps</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w:t>
            </w: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10.2%</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 bps</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15.3%</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 bps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2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 bps</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76"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2" w:lineRule="exact"/>
        <w:rPr>
          <w:rFonts w:ascii="Arial" w:cs="Arial" w:eastAsia="Arial" w:hAnsi="Arial"/>
          <w:sz w:val="16"/>
          <w:szCs w:val="16"/>
          <w:color w:val="auto"/>
        </w:rPr>
      </w:pPr>
    </w:p>
    <w:p>
      <w:pPr>
        <w:ind w:left="440" w:right="200" w:hanging="414"/>
        <w:spacing w:after="0" w:line="276"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22"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Pr>
          <w:p>
            <w:pPr>
              <w:spacing w:after="0"/>
              <w:rPr>
                <w:sz w:val="17"/>
                <w:szCs w:val="17"/>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5"/>
        </w:trPr>
        <w:tc>
          <w:tcPr>
            <w:tcW w:w="53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2022</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2022</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454545"/>
                <w:w w:val="99"/>
              </w:rPr>
              <w:t>% change</w:t>
            </w:r>
          </w:p>
        </w:tc>
        <w:tc>
          <w:tcPr>
            <w:tcW w:w="0" w:type="dxa"/>
            <w:vAlign w:val="bottom"/>
          </w:tcPr>
          <w:p>
            <w:pPr>
              <w:spacing w:after="0"/>
              <w:rPr>
                <w:sz w:val="1"/>
                <w:szCs w:val="1"/>
                <w:color w:val="auto"/>
              </w:rPr>
            </w:pPr>
          </w:p>
        </w:tc>
      </w:tr>
      <w:tr>
        <w:trPr>
          <w:trHeight w:val="21"/>
        </w:trPr>
        <w:tc>
          <w:tcPr>
            <w:tcW w:w="53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375</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487</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1,362</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64"/>
        </w:trPr>
        <w:tc>
          <w:tcPr>
            <w:tcW w:w="530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88</w:t>
            </w:r>
          </w:p>
        </w:tc>
        <w:tc>
          <w:tcPr>
            <w:tcW w:w="9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110</w:t>
            </w:r>
          </w:p>
        </w:tc>
        <w:tc>
          <w:tcPr>
            <w:tcW w:w="9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00" w:type="dxa"/>
            <w:vAlign w:val="bottom"/>
          </w:tcPr>
          <w:p>
            <w:pPr>
              <w:ind w:left="8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7</w:t>
            </w:r>
          </w:p>
        </w:tc>
        <w:tc>
          <w:tcPr>
            <w:tcW w:w="9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7</w:t>
            </w:r>
          </w:p>
        </w:tc>
        <w:tc>
          <w:tcPr>
            <w:tcW w:w="9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00" w:type="dxa"/>
            <w:vAlign w:val="bottom"/>
          </w:tcPr>
          <w:p>
            <w:pPr>
              <w:ind w:left="80"/>
              <w:spacing w:after="0"/>
              <w:rPr>
                <w:sz w:val="20"/>
                <w:szCs w:val="20"/>
                <w:color w:val="auto"/>
              </w:rPr>
            </w:pPr>
            <w:r>
              <w:rPr>
                <w:rFonts w:ascii="Arial" w:cs="Arial" w:eastAsia="Arial" w:hAnsi="Arial"/>
                <w:sz w:val="16"/>
                <w:szCs w:val="16"/>
                <w:color w:val="auto"/>
              </w:rPr>
              <w:t>Add: (Gain) loss of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28</w:t>
            </w:r>
          </w:p>
        </w:tc>
        <w:tc>
          <w:tcPr>
            <w:tcW w:w="9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90</w:t>
            </w:r>
          </w:p>
        </w:tc>
        <w:tc>
          <w:tcPr>
            <w:tcW w:w="92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0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(17)</w:t>
            </w:r>
          </w:p>
        </w:tc>
        <w:tc>
          <w:tcPr>
            <w:tcW w:w="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(48)</w:t>
            </w:r>
          </w:p>
        </w:tc>
        <w:tc>
          <w:tcPr>
            <w:tcW w:w="9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5300" w:type="dxa"/>
            <w:vAlign w:val="bottom"/>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12</w:t>
            </w:r>
          </w:p>
        </w:tc>
        <w:tc>
          <w:tcPr>
            <w:tcW w:w="92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1,507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90"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440" w:right="200" w:hanging="414"/>
        <w:spacing w:after="0" w:line="290"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360" w:hanging="414"/>
        <w:spacing w:after="0" w:line="293"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47" w:right="339" w:bottom="1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97"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3"/>
        </w:trPr>
        <w:tc>
          <w:tcPr>
            <w:tcW w:w="53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spacing w:after="0"/>
              <w:rPr>
                <w:sz w:val="17"/>
                <w:szCs w:val="17"/>
                <w:color w:val="auto"/>
              </w:rPr>
            </w:pPr>
          </w:p>
        </w:tc>
        <w:tc>
          <w:tcPr>
            <w:tcW w:w="2800" w:type="dxa"/>
            <w:vAlign w:val="bottom"/>
            <w:gridSpan w:val="6"/>
          </w:tcPr>
          <w:p>
            <w:pPr>
              <w:ind w:left="180"/>
              <w:spacing w:after="0"/>
              <w:rPr>
                <w:sz w:val="20"/>
                <w:szCs w:val="20"/>
                <w:color w:val="auto"/>
              </w:rPr>
            </w:pPr>
            <w:r>
              <w:rPr>
                <w:rFonts w:ascii="Arial" w:cs="Arial" w:eastAsia="Arial" w:hAnsi="Arial"/>
                <w:sz w:val="16"/>
                <w:szCs w:val="16"/>
                <w:b w:val="1"/>
                <w:bCs w:val="1"/>
                <w:color w:val="454545"/>
              </w:rPr>
              <w:t>For the three months ended</w:t>
            </w:r>
          </w:p>
        </w:tc>
        <w:tc>
          <w:tcPr>
            <w:tcW w:w="220" w:type="dxa"/>
            <w:vAlign w:val="bottom"/>
          </w:tcPr>
          <w:p>
            <w:pPr>
              <w:spacing w:after="0"/>
              <w:rPr>
                <w:sz w:val="17"/>
                <w:szCs w:val="17"/>
                <w:color w:val="auto"/>
              </w:rPr>
            </w:pPr>
          </w:p>
        </w:tc>
        <w:tc>
          <w:tcPr>
            <w:tcW w:w="270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5"/>
        </w:trPr>
        <w:tc>
          <w:tcPr>
            <w:tcW w:w="5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454545"/>
              </w:rPr>
              <w:t>September 30</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454545"/>
              </w:rPr>
              <w:t>September 30</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2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454545"/>
              </w:rPr>
              <w:t>change</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53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 – continuing operations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0.83</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(0.24)</w:t>
            </w:r>
          </w:p>
        </w:tc>
        <w:tc>
          <w:tcPr>
            <w:tcW w:w="1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(0.81)</w:t>
            </w:r>
          </w:p>
        </w:tc>
        <w:tc>
          <w:tcPr>
            <w:tcW w:w="0" w:type="dxa"/>
            <w:vAlign w:val="bottom"/>
          </w:tcPr>
          <w:p>
            <w:pPr>
              <w:spacing w:after="0"/>
              <w:rPr>
                <w:sz w:val="1"/>
                <w:szCs w:val="1"/>
                <w:color w:val="auto"/>
              </w:rPr>
            </w:pPr>
          </w:p>
        </w:tc>
      </w:tr>
      <w:tr>
        <w:trPr>
          <w:trHeight w:val="219"/>
        </w:trPr>
        <w:tc>
          <w:tcPr>
            <w:tcW w:w="532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0.40</w:t>
            </w:r>
          </w:p>
        </w:tc>
        <w:tc>
          <w:tcPr>
            <w:tcW w:w="2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5320" w:type="dxa"/>
            <w:vAlign w:val="bottom"/>
            <w:vMerge w:val="restart"/>
          </w:tcPr>
          <w:p>
            <w:pPr>
              <w:ind w:left="260"/>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(0.21)</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spacing w:after="0"/>
              <w:rPr>
                <w:sz w:val="24"/>
                <w:szCs w:val="24"/>
                <w:color w:val="auto"/>
              </w:rPr>
            </w:pPr>
          </w:p>
        </w:tc>
        <w:tc>
          <w:tcPr>
            <w:tcW w:w="10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(0.73)</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2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0.19</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(2)</w:t>
            </w:r>
          </w:p>
        </w:tc>
        <w:tc>
          <w:tcPr>
            <w:tcW w:w="20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(0.11)</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2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of business and asset dispositions</w:t>
            </w:r>
            <w:r>
              <w:rPr>
                <w:rFonts w:ascii="Arial" w:cs="Arial" w:eastAsia="Arial" w:hAnsi="Arial"/>
                <w:sz w:val="21"/>
                <w:szCs w:val="21"/>
                <w:color w:val="auto"/>
                <w:vertAlign w:val="superscript"/>
              </w:rPr>
              <w:t>(4)</w:t>
            </w:r>
          </w:p>
        </w:tc>
        <w:tc>
          <w:tcPr>
            <w:tcW w:w="20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5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53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20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shd w:val="clear" w:color="auto" w:fill="E4E4E4"/>
          </w:tcPr>
          <w:p>
            <w:pPr>
              <w:spacing w:after="0"/>
              <w:rPr>
                <w:sz w:val="24"/>
                <w:szCs w:val="24"/>
                <w:color w:val="auto"/>
              </w:rPr>
            </w:pPr>
          </w:p>
        </w:tc>
        <w:tc>
          <w:tcPr>
            <w:tcW w:w="100" w:type="dxa"/>
            <w:vAlign w:val="bottom"/>
            <w:tcBorders>
              <w:bottom w:val="single" w:sz="8" w:color="auto"/>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earnings per share*</w:t>
            </w:r>
            <w:r>
              <w:rPr>
                <w:rFonts w:ascii="Arial" w:cs="Arial" w:eastAsia="Arial" w:hAnsi="Arial"/>
                <w:sz w:val="21"/>
                <w:szCs w:val="21"/>
                <w:b w:val="1"/>
                <w:bCs w:val="1"/>
                <w:color w:val="auto"/>
                <w:vertAlign w:val="superscript"/>
              </w:rPr>
              <w:t>(7)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(0.21)</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7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2" w:lineRule="exact"/>
        <w:rPr>
          <w:rFonts w:ascii="Arial" w:cs="Arial" w:eastAsia="Arial" w:hAnsi="Arial"/>
          <w:sz w:val="16"/>
          <w:szCs w:val="16"/>
          <w:color w:val="auto"/>
        </w:rPr>
      </w:pPr>
    </w:p>
    <w:p>
      <w:pPr>
        <w:ind w:left="440" w:right="200" w:hanging="414"/>
        <w:spacing w:after="0" w:line="27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22"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360" w:hanging="414"/>
        <w:spacing w:after="0" w:line="27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w:t>
      </w:r>
    </w:p>
    <w:p>
      <w:pPr>
        <w:spacing w:after="0" w:line="35"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earnings per share* amounts are computed independently, thus, the sum of per-share amounts may not equal the total.</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2022</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1,051</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1,071</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0"/>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w:t>
            </w:r>
          </w:p>
        </w:tc>
        <w:tc>
          <w:tcPr>
            <w:tcW w:w="34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320" w:type="dxa"/>
            <w:vAlign w:val="bottom"/>
          </w:tcPr>
          <w:p>
            <w:pPr>
              <w:spacing w:after="0"/>
              <w:rPr>
                <w:sz w:val="21"/>
                <w:szCs w:val="21"/>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9"/>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E4E4E4"/>
            </w:tcBorders>
            <w:shd w:val="clear" w:color="auto" w:fill="E4E4E4"/>
          </w:tcPr>
          <w:p>
            <w:pPr>
              <w:spacing w:after="0"/>
              <w:rPr>
                <w:sz w:val="24"/>
                <w:szCs w:val="24"/>
                <w:color w:val="auto"/>
              </w:rPr>
            </w:pP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841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As of September 30, 2023, our Cash, cash equivalents, and restricted cash balance was $2,418 million. We have historically generated positive cash flows from operating activities from continuing operations. Additionally, we have access to revolving credit facilities of $3,500 million in aggregate, described in detail in Note 8, "Borrowings" to the condensed consolidated and combined financial statements. Historically, we relied on cash pooling arrangements with GE to manage liquidity and fund our operations. Upon completion of the Spin-Off, we ceased participation in GE cash pooling arrangements and our Cash, cash equivalents, and restricted cash are held and used solely for our own ongoing operations and commitments.</w:t>
      </w: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47" w:right="339"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426"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11"/>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280" w:type="dxa"/>
            <w:vAlign w:val="bottom"/>
          </w:tcPr>
          <w:p>
            <w:pPr>
              <w:spacing w:after="0"/>
              <w:rPr>
                <w:sz w:val="24"/>
                <w:szCs w:val="24"/>
                <w:color w:val="auto"/>
              </w:rPr>
            </w:pPr>
          </w:p>
        </w:tc>
        <w:tc>
          <w:tcPr>
            <w:tcW w:w="38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2023</w:t>
            </w:r>
          </w:p>
        </w:tc>
        <w:tc>
          <w:tcPr>
            <w:tcW w:w="500" w:type="dxa"/>
            <w:vAlign w:val="bottom"/>
          </w:tcPr>
          <w:p>
            <w:pPr>
              <w:spacing w:after="0"/>
              <w:rPr>
                <w:sz w:val="19"/>
                <w:szCs w:val="19"/>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2022</w:t>
            </w:r>
          </w:p>
        </w:tc>
      </w:tr>
      <w:tr>
        <w:trPr>
          <w:trHeight w:val="21"/>
        </w:trPr>
        <w:tc>
          <w:tcPr>
            <w:tcW w:w="71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50"/>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2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1,051</w:t>
            </w:r>
          </w:p>
        </w:tc>
        <w:tc>
          <w:tcPr>
            <w:tcW w:w="50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1,071</w:t>
            </w:r>
          </w:p>
        </w:tc>
      </w:tr>
      <w:tr>
        <w:trPr>
          <w:trHeight w:val="254"/>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(470)</w:t>
            </w:r>
          </w:p>
        </w:tc>
        <w:tc>
          <w:tcPr>
            <w:tcW w:w="5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59"/>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280" w:type="dxa"/>
            <w:vAlign w:val="bottom"/>
            <w:shd w:val="clear" w:color="auto" w:fill="E4E4E4"/>
          </w:tcPr>
          <w:p>
            <w:pPr>
              <w:spacing w:after="0"/>
              <w:rPr>
                <w:sz w:val="22"/>
                <w:szCs w:val="22"/>
                <w:color w:val="auto"/>
              </w:rPr>
            </w:pP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422</w:t>
            </w:r>
          </w:p>
        </w:tc>
        <w:tc>
          <w:tcPr>
            <w:tcW w:w="500" w:type="dxa"/>
            <w:vAlign w:val="bottom"/>
            <w:shd w:val="clear" w:color="auto" w:fill="E4E4E4"/>
          </w:tcPr>
          <w:p>
            <w:pPr>
              <w:spacing w:after="0"/>
              <w:rPr>
                <w:sz w:val="22"/>
                <w:szCs w:val="22"/>
                <w:color w:val="auto"/>
              </w:rPr>
            </w:pP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(785)</w:t>
            </w:r>
          </w:p>
        </w:tc>
      </w:tr>
      <w:tr>
        <w:trPr>
          <w:trHeight w:val="254"/>
        </w:trPr>
        <w:tc>
          <w:tcPr>
            <w:tcW w:w="7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Free cash flow*</w:t>
            </w: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7"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Cash generated from operating activities from continuing operations was $1,051 million and $1,071 million for the nine months ended September 30, 2023 and 2022, respectively.</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Cash generated from operating activities in the nine months ended September 30, 2023 included Net income from continuing operations of $1,202 million, non-cash charges for depreciation and amortization of $466 million, and a $617 million outflow from changes in assets and liabilities, primarily driven by cash paid for interest for senior unsecured notes and the Term Loan Facility, and company funded benefit payments for postretirement benefit plans.</w:t>
      </w:r>
    </w:p>
    <w:p>
      <w:pPr>
        <w:spacing w:after="0" w:line="230"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Cash generated from operating activities in the nine months ended September 30, 2022 included Net income from continuing operations of $1,382 million, non-cash charges for depreciation and amortization of $476 million, and a $787 million outflow from changes in assets and liabilities, primarily driven by an increase in inventory, higher cash taxes paid, and an increase in contract and other deferred assets, partially offset by an increase in accounts payable.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1"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Cash used for investing activities from continuing operations was $470 million and $303 million for the nine months ended September 30, 2023 and 2022, respectively.</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Cash used for investing activities in the nine months ended September 30, 2023 primarily included additions to PP&amp;E of $293 million related primarily to new product introductions, manufacturing capacity expansion, and purchases of businesses, net of cash acquired of $147 million primarily related to Caption Health, Inc. (“Caption Health”). On February 17, 2023, we acquired Caption Health, an artificial intelligence ("AI") company whose technology expands access to AI-guided ultrasound screening for novice users.</w:t>
      </w:r>
    </w:p>
    <w:p>
      <w:pPr>
        <w:spacing w:after="0" w:line="237"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Cash used for investing activities in the nine months ended September 30, 2022 primarily, included additions to PP&amp;E of $233 million related primarily to new product introductions and manufacturing capacity expansion.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7"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Cash generated from financing activities from continuing operations was $422 million for the nine months ended September 30, 2023 and cash used for financing activities from continuing operations was $785 million for the nine months ended September 30, 2022.</w:t>
      </w:r>
    </w:p>
    <w:p>
      <w:pPr>
        <w:spacing w:after="0" w:line="203" w:lineRule="exact"/>
        <w:rPr>
          <w:sz w:val="20"/>
          <w:szCs w:val="20"/>
          <w:color w:val="auto"/>
        </w:rPr>
      </w:pPr>
    </w:p>
    <w:p>
      <w:pPr>
        <w:ind w:right="420"/>
        <w:spacing w:after="0" w:line="258" w:lineRule="auto"/>
        <w:rPr>
          <w:sz w:val="20"/>
          <w:szCs w:val="20"/>
          <w:color w:val="auto"/>
        </w:rPr>
      </w:pPr>
      <w:r>
        <w:rPr>
          <w:rFonts w:ascii="Arial" w:cs="Arial" w:eastAsia="Arial" w:hAnsi="Arial"/>
          <w:sz w:val="16"/>
          <w:szCs w:val="16"/>
          <w:color w:val="auto"/>
        </w:rPr>
        <w:t>Cash generated from financing activities in the nine months ended September 30, 2023 primarily, included $2,020 million of newly issued debt, partially offset by $1,317 million of transfers to GE, and $211 million of redemption of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used for financing activities in the nine months ended September 30, 2022 primarily, included $703 million of transfers to GE.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27"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Free cash flow* was $759 million for the nine months ended September 30, 2023 and primarily included $1,051 million of cash generated from operating activities, partially offset by $293 million of cash used for capital expenditures.</w:t>
      </w:r>
    </w:p>
    <w:p>
      <w:pPr>
        <w:spacing w:after="0" w:line="189"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Free cash flow* was $841 million for the nine months ended September 30, 2022 and primarily included $1,071 million of cash generated from operating activities, partially offset by $233 million of cash used for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1"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Cash used for capital expenditures was $293 million and $233 million for the nine months ended September 30, 2023 and 2022, respectively. Capital expenditures were primarily for manufacturing capacity expansion and equipment and tooling for new and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purchase arrangements are provided in Note 8, “Borrowings,” and Note 13, “Commitments, Guarantees, Product Warranties, and Other Loss Contingencies,” to the condensed consolidated and combined financial statements contained elsewhere in this Quarterly Report on Form 10-Q, as well as Note 7, “Leases,” disclosed in our Annual Report on Form 10-K for the fiscal year ended December 31, 2022. Additionally, we have material cash requirements related to our pension obligations as described in Note 9, “Postretirement Benefit Plans,” to the condensed consolidated and combined financial statements in this Quarterly Report on Form 10-Q.</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As part of our capital structure, we have incurred debt. The servicing of this debt will be supported by cash flows from our operations. As of September 30, 2023, we had $10,260 million of total debt compared to $8,250 million as of December 31, 2022.</w:t>
      </w:r>
    </w:p>
    <w:p>
      <w:pPr>
        <w:spacing w:after="0" w:line="196"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231F20"/>
        </w:rPr>
        <w:t xml:space="preserve">The weighted average interest rate for the Notes and our Credit Facilities for the </w:t>
      </w:r>
      <w:r>
        <w:rPr>
          <w:rFonts w:ascii="Arial" w:cs="Arial" w:eastAsia="Arial" w:hAnsi="Arial"/>
          <w:sz w:val="16"/>
          <w:szCs w:val="16"/>
          <w:color w:val="000000"/>
        </w:rPr>
        <w:t>nine months ended</w:t>
      </w:r>
      <w:r>
        <w:rPr>
          <w:rFonts w:ascii="Arial" w:cs="Arial" w:eastAsia="Arial" w:hAnsi="Arial"/>
          <w:sz w:val="16"/>
          <w:szCs w:val="16"/>
          <w:color w:val="231F20"/>
        </w:rPr>
        <w:t xml:space="preserve"> September 30, 2023 was </w:t>
      </w:r>
      <w:r>
        <w:rPr>
          <w:rFonts w:ascii="Arial" w:cs="Arial" w:eastAsia="Arial" w:hAnsi="Arial"/>
          <w:sz w:val="16"/>
          <w:szCs w:val="16"/>
          <w:color w:val="000000"/>
        </w:rPr>
        <w:t>6.01%.</w:t>
      </w:r>
      <w:r>
        <w:rPr>
          <w:rFonts w:ascii="Arial" w:cs="Arial" w:eastAsia="Arial" w:hAnsi="Arial"/>
          <w:sz w:val="16"/>
          <w:szCs w:val="16"/>
          <w:color w:val="231F20"/>
        </w:rPr>
        <w:t xml:space="preserve"> We had no principal debt repayments on the Notes or the Term Loan Facility for the </w:t>
      </w:r>
      <w:r>
        <w:rPr>
          <w:rFonts w:ascii="Arial" w:cs="Arial" w:eastAsia="Arial" w:hAnsi="Arial"/>
          <w:sz w:val="16"/>
          <w:szCs w:val="16"/>
          <w:color w:val="000000"/>
        </w:rPr>
        <w:t>nine months ended</w:t>
      </w:r>
      <w:r>
        <w:rPr>
          <w:rFonts w:ascii="Arial" w:cs="Arial" w:eastAsia="Arial" w:hAnsi="Arial"/>
          <w:sz w:val="16"/>
          <w:szCs w:val="16"/>
          <w:color w:val="231F20"/>
        </w:rPr>
        <w:t xml:space="preserve"> September 30, 2023.</w:t>
      </w:r>
    </w:p>
    <w:p>
      <w:pPr>
        <w:spacing w:after="0" w:line="21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Our credit facilities include a five-year senior unsecured revolving facility that provides borrowings of up to $2,500 million expiring in January 2028, and a 364-day senior unsecured revolving facility that provides borrowings of up to $1,000 million expiring in January 2024.</w:t>
      </w:r>
    </w:p>
    <w:p>
      <w:pPr>
        <w:spacing w:after="0" w:line="199"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the entry into certain fundamental change transactions by GE HealthCare, and the maximum permitted leverage ratio. As of September 30, 2023, we were in compliance with the covenant requirements, including the maximum permitted leverage ratio.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8, “Borrowings” to the condensed consolidated and combined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have historically relied, via GE, on the debt capital markets to fund a significant portion of our operations. Concurrent with our Spin-Off, we accessed the capital markets and raised $10,250 million of debt by issuing $8,250 million of senior unsecured notes in November 2022, and completed a drawdown of the Term Loan Facility of $2,000 million in January 2023. In addition, we were able to arrange revolving credit facilities of $3,500 million to further support our liquidity needs. We plan to continue to rely on capital markets, and we expect to have access to credit facilities to fund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the date of this filing are set forth in the table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33"/>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We are disclosing our credit ratings to enhance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8" w:lineRule="exact"/>
        <w:rPr>
          <w:sz w:val="20"/>
          <w:szCs w:val="20"/>
          <w:color w:val="auto"/>
        </w:rPr>
      </w:pPr>
    </w:p>
    <w:p>
      <w:pPr>
        <w:ind w:right="720"/>
        <w:spacing w:after="0" w:line="276" w:lineRule="auto"/>
        <w:rPr>
          <w:sz w:val="20"/>
          <w:szCs w:val="20"/>
          <w:color w:val="auto"/>
        </w:rPr>
      </w:pPr>
      <w:r>
        <w:rPr>
          <w:rFonts w:ascii="Arial" w:cs="Arial" w:eastAsia="Arial" w:hAnsi="Arial"/>
          <w:sz w:val="16"/>
          <w:szCs w:val="16"/>
          <w:color w:val="auto"/>
        </w:rPr>
        <w:t xml:space="preserve">For a discussion of recently issued accounting standards, see Note 1, </w:t>
      </w:r>
      <w:r>
        <w:rPr>
          <w:rFonts w:ascii="Arial" w:cs="Arial" w:eastAsia="Arial" w:hAnsi="Arial"/>
          <w:sz w:val="16"/>
          <w:szCs w:val="16"/>
          <w:color w:val="231F20"/>
        </w:rPr>
        <w:t>“</w:t>
      </w:r>
      <w:r>
        <w:rPr>
          <w:rFonts w:ascii="Arial" w:cs="Arial" w:eastAsia="Arial" w:hAnsi="Arial"/>
          <w:sz w:val="16"/>
          <w:szCs w:val="16"/>
          <w:color w:val="auto"/>
        </w:rPr>
        <w:t>Organization and Basis of Presentation</w:t>
      </w:r>
      <w:r>
        <w:rPr>
          <w:rFonts w:ascii="Arial" w:cs="Arial" w:eastAsia="Arial" w:hAnsi="Arial"/>
          <w:sz w:val="16"/>
          <w:szCs w:val="16"/>
          <w:color w:val="231F20"/>
        </w:rPr>
        <w:t>”</w:t>
      </w:r>
      <w:r>
        <w:rPr>
          <w:rFonts w:ascii="Arial" w:cs="Arial" w:eastAsia="Arial" w:hAnsi="Arial"/>
          <w:sz w:val="16"/>
          <w:szCs w:val="16"/>
          <w:color w:val="auto"/>
        </w:rPr>
        <w:t xml:space="preserve"> to the condensed consolidated and combined financial statements appearing elsewhere in this Quarterly Report on Form 10-Q.</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condensed consolidated and combined financial statements in conformity with U.S. GAAP.</w:t>
      </w:r>
    </w:p>
    <w:p>
      <w:pPr>
        <w:spacing w:after="0" w:line="18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To prepare our condensed consolidated and combined financial statements in accordance with U.S. GAAP, management makes estimates and assumptions that may affect the reported amounts of our assets and liabilities, including our contingent liabilities, as of the date of our condensed consolidated and combined financial statements and the reported amounts of our revenues and expenses during the reporting periods. Our actual results may differ from these estimates. We consider estimates to be critical (1) if we are required to make assumptions about material matters that are uncertain at the time of estimation or (2) if materially different estimates could have been made or it is reasonably likely that the accounting estimate will change from period to period.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3" w:name="page44"/>
    <w:bookmarkEnd w:id="43"/>
    <w:p>
      <w:pPr>
        <w:ind w:right="100"/>
        <w:spacing w:after="0" w:line="276" w:lineRule="auto"/>
        <w:rPr>
          <w:sz w:val="20"/>
          <w:szCs w:val="20"/>
          <w:color w:val="auto"/>
        </w:rPr>
      </w:pPr>
      <w:r>
        <w:rPr>
          <w:rFonts w:ascii="Arial" w:cs="Arial" w:eastAsia="Arial" w:hAnsi="Arial"/>
          <w:sz w:val="16"/>
          <w:szCs w:val="16"/>
          <w:color w:val="auto"/>
        </w:rPr>
        <w:t>Management believes that there have been no significant changes during the nine months ended September 30, 2023 to the items that we disclosed as our critical accounting estimates in our Annual Report on Form 10-K for the fiscal year ended December 31,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purposes.</w:t>
      </w:r>
    </w:p>
    <w:p>
      <w:pPr>
        <w:spacing w:after="0" w:line="21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See Note 12, “Financial Instruments and Fair Value Measurements” for further information about our risk exposures, our use of derivatives, and the effects of this activity on our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direction of our Chief Executive Officer (“CEO”) and our Chief Financial Officer (“CFO”), we have evaluated the effectiveness of our disclosure controls and procedures as of September 30, 2023 (as defined in Rule 13a-15(e) and 15d-15(e) under the Securities Exchange Act of 1934, as amended). Based on their evaluation, our CEO and CFO concluded that, as of September 30, 2023, our disclosure controls and procedures were effective.</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relied on certain material processes and internal controls over financial reporting performed by GE prior to the Spin-Off. Following the Spin-Off, new corporate and governance functions were implemented in order to meet the regulatory requirements of a standalone public company, such as external reporting, treasury, and stock administration. There were no changes in our internal control over financial reporting during the quarter ended September 30, 2023 that have materially affected, or are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condensed consolidated and combined financial statements included elsewhere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year ended December 31,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180" w:hanging="710"/>
        <w:spacing w:after="0" w:line="293"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70">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70">
        <w:r>
          <w:rPr>
            <w:rFonts w:ascii="Arial" w:cs="Arial" w:eastAsia="Arial" w:hAnsi="Arial"/>
            <w:sz w:val="16"/>
            <w:szCs w:val="16"/>
            <w:u w:val="single" w:color="auto"/>
            <w:color w:val="0E32E1"/>
          </w:rPr>
          <w:t>with the SEC on December 29, 2022).</w:t>
        </w:r>
      </w:hyperlink>
    </w:p>
    <w:p>
      <w:pPr>
        <w:spacing w:after="0" w:line="10" w:lineRule="exact"/>
        <w:rPr>
          <w:sz w:val="20"/>
          <w:szCs w:val="20"/>
          <w:color w:val="auto"/>
        </w:rPr>
      </w:pPr>
    </w:p>
    <w:p>
      <w:pPr>
        <w:ind w:left="1180" w:right="360" w:hanging="710"/>
        <w:spacing w:after="0" w:line="293"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71">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71">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40"/>
        <w:spacing w:after="0"/>
        <w:tabs>
          <w:tab w:leader="none" w:pos="116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6"/>
          <w:szCs w:val="16"/>
          <w:u w:val="single" w:color="auto"/>
          <w:color w:val="0E32E1"/>
        </w:rPr>
        <w:t>Separation Agreement &amp; Release between the Registrant and Helmut Zodl, dated August 18, 2023. †</w:t>
      </w:r>
    </w:p>
    <w:p>
      <w:pPr>
        <w:spacing w:after="0" w:line="73" w:lineRule="exact"/>
        <w:rPr>
          <w:sz w:val="20"/>
          <w:szCs w:val="20"/>
          <w:color w:val="auto"/>
        </w:rPr>
      </w:pPr>
    </w:p>
    <w:p>
      <w:pPr>
        <w:ind w:left="1180" w:right="280" w:hanging="755"/>
        <w:spacing w:after="0" w:line="293"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340" w:hanging="755"/>
        <w:spacing w:after="0" w:line="293"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10" w:lineRule="exact"/>
        <w:rPr>
          <w:sz w:val="20"/>
          <w:szCs w:val="20"/>
          <w:color w:val="auto"/>
        </w:rPr>
      </w:pPr>
    </w:p>
    <w:p>
      <w:pPr>
        <w:ind w:left="1180" w:right="580" w:hanging="755"/>
        <w:spacing w:after="0" w:line="293"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062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ind w:left="1180" w:hanging="727"/>
        <w:spacing w:after="0" w:line="268" w:lineRule="auto"/>
        <w:tabs>
          <w:tab w:leader="none" w:pos="118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September 30, 2023, formatted in inline XBRL (eXtensible Business Reporting Language); (1) Condensed Consolidated and Combined Statements of Income for the three and nine months ended September 30, 2023 and 2022; (2) Condensed Consolidated and Combined Statements of Comprehensive Income (Loss) for the three and nine months ended September 30, 2023 and 2022; (3) Condensed Consolidated and Combined Statements of Financial Position at September 30, 2023 and December 31, 2022; (4) Condensed Consolidated and Combined Statements of Changes in Equity for the three and nine months ended September 30, 2023 and 2022; (5) Condensed Consolidated and Combined Statements of Cash Flows for the nine months ended September 30, 2023 and 2022; and (6) Notes to the Condensed Consolidated and Combined Financial Statements.</w:t>
      </w:r>
    </w:p>
    <w:p>
      <w:pPr>
        <w:spacing w:after="0" w:line="30" w:lineRule="exact"/>
        <w:rPr>
          <w:sz w:val="20"/>
          <w:szCs w:val="20"/>
          <w:color w:val="auto"/>
        </w:rPr>
      </w:pPr>
    </w:p>
    <w:p>
      <w:pPr>
        <w:ind w:left="1180" w:hanging="727"/>
        <w:spacing w:after="0"/>
        <w:tabs>
          <w:tab w:leader="none" w:pos="1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419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53" w:lineRule="exact"/>
        <w:rPr>
          <w:sz w:val="20"/>
          <w:szCs w:val="20"/>
          <w:color w:val="auto"/>
        </w:rPr>
      </w:pPr>
    </w:p>
    <w:p>
      <w:pPr>
        <w:ind w:left="1180" w:right="180" w:hanging="637"/>
        <w:spacing w:after="0" w:line="278"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2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35560</wp:posOffset>
            </wp:positionV>
            <wp:extent cx="4886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6"/>
          <w:szCs w:val="16"/>
          <w:color w:val="auto"/>
        </w:rPr>
        <w:t>October 31, 2023</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6180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&amp;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20"/>
          </w:cols>
          <w:pgMar w:left="320" w:top="1089" w:right="359" w:bottom="1440" w:gutter="0" w:footer="0" w:header="0"/>
        </w:sectPr>
      </w:pPr>
    </w:p>
    <w:bookmarkStart w:id="46" w:name="page47"/>
    <w:bookmarkEnd w:id="46"/>
    <w:p>
      <w:pPr>
        <w:ind w:left="10340"/>
        <w:spacing w:after="0"/>
        <w:rPr>
          <w:sz w:val="20"/>
          <w:szCs w:val="20"/>
          <w:color w:val="auto"/>
        </w:rPr>
      </w:pPr>
      <w:r>
        <w:rPr>
          <w:rFonts w:ascii="Arial" w:cs="Arial" w:eastAsia="Arial" w:hAnsi="Arial"/>
          <w:sz w:val="16"/>
          <w:szCs w:val="16"/>
          <w:b w:val="1"/>
          <w:bCs w:val="1"/>
          <w:color w:val="auto"/>
        </w:rPr>
        <w:t>Exhibit 10.1</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CERTAIN CONFIDENTIAL INFORMATION CONTAINED IN THIS SEPARATION AGREEMENT &amp; RELEASE HAS BEEN OMITTED BY MEANS OF REDACTING A PORTION OF THE TEXT AND REPLACING IT WITH [***],</w:t>
      </w:r>
    </w:p>
    <w:p>
      <w:pPr>
        <w:spacing w:after="0" w:line="9" w:lineRule="exact"/>
        <w:rPr>
          <w:sz w:val="20"/>
          <w:szCs w:val="20"/>
          <w:color w:val="auto"/>
        </w:rPr>
      </w:pPr>
    </w:p>
    <w:p>
      <w:pPr>
        <w:ind w:right="200"/>
        <w:spacing w:after="0" w:line="251" w:lineRule="auto"/>
        <w:rPr>
          <w:sz w:val="20"/>
          <w:szCs w:val="20"/>
          <w:color w:val="auto"/>
        </w:rPr>
      </w:pPr>
      <w:r>
        <w:rPr>
          <w:rFonts w:ascii="Arial" w:cs="Arial" w:eastAsia="Arial" w:hAnsi="Arial"/>
          <w:sz w:val="11"/>
          <w:szCs w:val="11"/>
          <w:b w:val="1"/>
          <w:bCs w:val="1"/>
          <w:color w:val="auto"/>
        </w:rPr>
        <w:t>PURSUANT TO REGULATION S-K ITEM 601(B) OF THE SECURITIES ACT OF 1933, AS AMENDED. SUCH CONFIDENTIAL INFORMATION HAS BEEN EXCLUDED FROM THE EXHIBIT BECAUSE IT IS: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240"/>
        <w:spacing w:after="0"/>
        <w:rPr>
          <w:sz w:val="20"/>
          <w:szCs w:val="20"/>
          <w:color w:val="auto"/>
        </w:rPr>
      </w:pPr>
      <w:r>
        <w:rPr>
          <w:rFonts w:ascii="Arial" w:cs="Arial" w:eastAsia="Arial" w:hAnsi="Arial"/>
          <w:sz w:val="19"/>
          <w:szCs w:val="19"/>
          <w:color w:val="auto"/>
        </w:rPr>
        <w:t>Notification Date: August 18, 2023</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Notice to Employee: This is a legal document. You are advised to consult with an attorney prior to signing this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&amp; RELEASE</w:t>
      </w:r>
    </w:p>
    <w:p>
      <w:pPr>
        <w:spacing w:after="0" w:line="216" w:lineRule="exact"/>
        <w:rPr>
          <w:sz w:val="20"/>
          <w:szCs w:val="20"/>
          <w:color w:val="auto"/>
        </w:rPr>
      </w:pPr>
    </w:p>
    <w:p>
      <w:pPr>
        <w:ind w:right="60" w:firstLine="220"/>
        <w:spacing w:after="0" w:line="290" w:lineRule="auto"/>
        <w:rPr>
          <w:sz w:val="20"/>
          <w:szCs w:val="20"/>
          <w:color w:val="auto"/>
        </w:rPr>
      </w:pPr>
      <w:r>
        <w:rPr>
          <w:rFonts w:ascii="Arial" w:cs="Arial" w:eastAsia="Arial" w:hAnsi="Arial"/>
          <w:sz w:val="20"/>
          <w:szCs w:val="20"/>
          <w:color w:val="auto"/>
        </w:rPr>
        <w:t xml:space="preserve">This is an Agreement between GE Precision Healthcare, LLC (the “Company”) and Helmut Zodl, SSO: </w:t>
      </w:r>
      <w:r>
        <w:rPr>
          <w:rFonts w:ascii="Arial" w:cs="Arial" w:eastAsia="Arial" w:hAnsi="Arial"/>
          <w:sz w:val="20"/>
          <w:szCs w:val="20"/>
          <w:b w:val="1"/>
          <w:bCs w:val="1"/>
          <w:color w:val="auto"/>
        </w:rPr>
        <w:t>[***]</w:t>
      </w:r>
      <w:r>
        <w:rPr>
          <w:rFonts w:ascii="Arial" w:cs="Arial" w:eastAsia="Arial" w:hAnsi="Arial"/>
          <w:sz w:val="20"/>
          <w:szCs w:val="20"/>
          <w:color w:val="auto"/>
        </w:rPr>
        <w:t xml:space="preserve"> (the “Employee”). The Company, doing business as GE HealthCare, will provide benefits described herein under the terms of the benefit plans it sponsors and/or in which it participates.</w:t>
      </w:r>
    </w:p>
    <w:p>
      <w:pPr>
        <w:spacing w:after="0" w:line="14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Separation Date and Consideration/Other Payments</w:t>
      </w:r>
      <w:r>
        <w:rPr>
          <w:rFonts w:ascii="Arial" w:cs="Arial" w:eastAsia="Arial" w:hAnsi="Arial"/>
          <w:sz w:val="20"/>
          <w:szCs w:val="20"/>
          <w:color w:val="auto"/>
        </w:rPr>
        <w:t>.</w:t>
      </w:r>
    </w:p>
    <w:p>
      <w:pPr>
        <w:spacing w:after="0" w:line="269" w:lineRule="exact"/>
        <w:rPr>
          <w:rFonts w:ascii="Arial" w:cs="Arial" w:eastAsia="Arial" w:hAnsi="Arial"/>
          <w:sz w:val="20"/>
          <w:szCs w:val="20"/>
          <w:color w:val="auto"/>
        </w:rPr>
      </w:pPr>
    </w:p>
    <w:p>
      <w:pPr>
        <w:ind w:left="640" w:hanging="308"/>
        <w:spacing w:after="0"/>
        <w:tabs>
          <w:tab w:leader="none" w:pos="64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Separation Date</w:t>
      </w:r>
      <w:r>
        <w:rPr>
          <w:rFonts w:ascii="Arial" w:cs="Arial" w:eastAsia="Arial" w:hAnsi="Arial"/>
          <w:sz w:val="20"/>
          <w:szCs w:val="20"/>
          <w:color w:val="auto"/>
        </w:rPr>
        <w:t>. The Employee’s employment with the Company will end on the earlier of the date he starts alternative</w:t>
      </w:r>
    </w:p>
    <w:p>
      <w:pPr>
        <w:spacing w:after="0" w:line="40" w:lineRule="exact"/>
        <w:rPr>
          <w:rFonts w:ascii="Arial" w:cs="Arial" w:eastAsia="Arial" w:hAnsi="Arial"/>
          <w:sz w:val="20"/>
          <w:szCs w:val="20"/>
          <w:color w:val="auto"/>
        </w:rPr>
      </w:pPr>
    </w:p>
    <w:p>
      <w:pPr>
        <w:ind w:left="660" w:right="140"/>
        <w:spacing w:after="0" w:line="285" w:lineRule="auto"/>
        <w:rPr>
          <w:rFonts w:ascii="Arial" w:cs="Arial" w:eastAsia="Arial" w:hAnsi="Arial"/>
          <w:sz w:val="20"/>
          <w:szCs w:val="20"/>
          <w:color w:val="auto"/>
        </w:rPr>
      </w:pPr>
      <w:r>
        <w:rPr>
          <w:rFonts w:ascii="Arial" w:cs="Arial" w:eastAsia="Arial" w:hAnsi="Arial"/>
          <w:sz w:val="20"/>
          <w:szCs w:val="20"/>
          <w:color w:val="auto"/>
        </w:rPr>
        <w:t>full-time employment or August 31, 2023 (the “Separation Date”). Until the Separation Date, the Company will pay the Employee his regular salary and benefits and the Employee will continue to perform the duties of the role of Global Vice President, Special Projects and TSA Separation.</w:t>
      </w:r>
    </w:p>
    <w:p>
      <w:pPr>
        <w:spacing w:after="0" w:line="206" w:lineRule="exact"/>
        <w:rPr>
          <w:rFonts w:ascii="Arial" w:cs="Arial" w:eastAsia="Arial" w:hAnsi="Arial"/>
          <w:sz w:val="20"/>
          <w:szCs w:val="20"/>
          <w:color w:val="auto"/>
        </w:rPr>
      </w:pPr>
    </w:p>
    <w:p>
      <w:pPr>
        <w:ind w:left="720" w:hanging="388"/>
        <w:spacing w:after="0"/>
        <w:tabs>
          <w:tab w:leader="none" w:pos="72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Severance Pay</w:t>
      </w:r>
      <w:r>
        <w:rPr>
          <w:rFonts w:ascii="Arial" w:cs="Arial" w:eastAsia="Arial" w:hAnsi="Arial"/>
          <w:sz w:val="20"/>
          <w:szCs w:val="20"/>
          <w:color w:val="auto"/>
        </w:rPr>
        <w:t>. Pursuant to the terms of the GE HealthCare US Severance and Change in Control Plan for CEO and</w:t>
      </w:r>
    </w:p>
    <w:p>
      <w:pPr>
        <w:spacing w:after="0" w:line="40" w:lineRule="exact"/>
        <w:rPr>
          <w:rFonts w:ascii="Arial" w:cs="Arial" w:eastAsia="Arial" w:hAnsi="Arial"/>
          <w:sz w:val="20"/>
          <w:szCs w:val="20"/>
          <w:color w:val="auto"/>
        </w:rPr>
      </w:pPr>
    </w:p>
    <w:p>
      <w:pPr>
        <w:ind w:left="660" w:right="360"/>
        <w:spacing w:after="0" w:line="289" w:lineRule="auto"/>
        <w:rPr>
          <w:rFonts w:ascii="Arial" w:cs="Arial" w:eastAsia="Arial" w:hAnsi="Arial"/>
          <w:sz w:val="20"/>
          <w:szCs w:val="20"/>
          <w:color w:val="auto"/>
        </w:rPr>
      </w:pPr>
      <w:r>
        <w:rPr>
          <w:rFonts w:ascii="Arial" w:cs="Arial" w:eastAsia="Arial" w:hAnsi="Arial"/>
          <w:sz w:val="19"/>
          <w:szCs w:val="19"/>
          <w:color w:val="auto"/>
        </w:rPr>
        <w:t>Leadership Team (the “Severance Plan”), the Employee shall be eligible for a lump sum equal to 12 months of base salary and bonus target, so long as the Employee remains a Vice President reporting directly to the Company’s Chief</w:t>
      </w:r>
    </w:p>
    <w:p>
      <w:pPr>
        <w:ind w:left="660"/>
        <w:spacing w:after="0"/>
        <w:rPr>
          <w:rFonts w:ascii="Arial" w:cs="Arial" w:eastAsia="Arial" w:hAnsi="Arial"/>
          <w:sz w:val="20"/>
          <w:szCs w:val="20"/>
          <w:color w:val="auto"/>
        </w:rPr>
      </w:pPr>
      <w:r>
        <w:rPr>
          <w:rFonts w:ascii="Arial" w:cs="Arial" w:eastAsia="Arial" w:hAnsi="Arial"/>
          <w:sz w:val="20"/>
          <w:szCs w:val="20"/>
          <w:color w:val="auto"/>
        </w:rPr>
        <w:t>Executive Officer until his Separation Date. This lump sum of One Million Five Hundred and 00/100 Dollars</w:t>
      </w:r>
    </w:p>
    <w:p>
      <w:pPr>
        <w:spacing w:after="0" w:line="2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($1,500,000.00), shall be paid, less required withholdings and deductions, within 60 days of the Employee’s Separation</w:t>
      </w:r>
    </w:p>
    <w:p>
      <w:pPr>
        <w:spacing w:after="0" w:line="40" w:lineRule="exact"/>
        <w:rPr>
          <w:rFonts w:ascii="Arial" w:cs="Arial" w:eastAsia="Arial" w:hAnsi="Arial"/>
          <w:sz w:val="20"/>
          <w:szCs w:val="20"/>
          <w:color w:val="auto"/>
        </w:rPr>
      </w:pPr>
    </w:p>
    <w:p>
      <w:pPr>
        <w:ind w:left="660" w:right="240"/>
        <w:spacing w:after="0" w:line="289" w:lineRule="auto"/>
        <w:rPr>
          <w:rFonts w:ascii="Arial" w:cs="Arial" w:eastAsia="Arial" w:hAnsi="Arial"/>
          <w:sz w:val="20"/>
          <w:szCs w:val="20"/>
          <w:color w:val="auto"/>
        </w:rPr>
      </w:pPr>
      <w:r>
        <w:rPr>
          <w:rFonts w:ascii="Arial" w:cs="Arial" w:eastAsia="Arial" w:hAnsi="Arial"/>
          <w:sz w:val="20"/>
          <w:szCs w:val="20"/>
          <w:color w:val="auto"/>
        </w:rPr>
        <w:t>Date, and shall remain subject to the terms of the Severance Plan. The Employee agrees that this severance payment shall be sufficient consideration for this Agreement.</w:t>
      </w:r>
    </w:p>
    <w:p>
      <w:pPr>
        <w:spacing w:after="0" w:line="215" w:lineRule="exact"/>
        <w:rPr>
          <w:rFonts w:ascii="Arial" w:cs="Arial" w:eastAsia="Arial" w:hAnsi="Arial"/>
          <w:sz w:val="20"/>
          <w:szCs w:val="20"/>
          <w:color w:val="auto"/>
        </w:rPr>
      </w:pPr>
    </w:p>
    <w:p>
      <w:pPr>
        <w:ind w:left="660" w:right="500" w:hanging="328"/>
        <w:spacing w:after="0" w:line="289" w:lineRule="auto"/>
        <w:tabs>
          <w:tab w:leader="none" w:pos="71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The Employee understands and agrees that he does not have any accrued paid time off and will not receive any payment for unused or accrued paid time off of any kind.</w:t>
      </w:r>
    </w:p>
    <w:p>
      <w:pPr>
        <w:spacing w:after="0" w:line="215" w:lineRule="exact"/>
        <w:rPr>
          <w:rFonts w:ascii="Arial" w:cs="Arial" w:eastAsia="Arial" w:hAnsi="Arial"/>
          <w:sz w:val="20"/>
          <w:szCs w:val="20"/>
          <w:color w:val="auto"/>
        </w:rPr>
      </w:pPr>
    </w:p>
    <w:p>
      <w:pPr>
        <w:ind w:left="660" w:right="180" w:hanging="328"/>
        <w:spacing w:after="0" w:line="274" w:lineRule="auto"/>
        <w:tabs>
          <w:tab w:leader="none" w:pos="721"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Health Benefits</w:t>
      </w:r>
      <w:r>
        <w:rPr>
          <w:rFonts w:ascii="Arial" w:cs="Arial" w:eastAsia="Arial" w:hAnsi="Arial"/>
          <w:sz w:val="20"/>
          <w:szCs w:val="20"/>
          <w:color w:val="auto"/>
        </w:rPr>
        <w:t>. Following the Separation Date, the Employee can elect COBRA health care continuation coverage for medical, dental, vision, and, if applicable, health flexible spending account benefits in accordance with reasonable</w:t>
      </w:r>
    </w:p>
    <w:p>
      <w:pPr>
        <w:spacing w:after="0" w:line="1" w:lineRule="exact"/>
        <w:rPr>
          <w:rFonts w:ascii="Arial" w:cs="Arial" w:eastAsia="Arial" w:hAnsi="Arial"/>
          <w:sz w:val="20"/>
          <w:szCs w:val="20"/>
          <w:color w:val="auto"/>
        </w:rPr>
      </w:pPr>
    </w:p>
    <w:p>
      <w:pPr>
        <w:ind w:left="660" w:right="40"/>
        <w:spacing w:after="0" w:line="289" w:lineRule="auto"/>
        <w:rPr>
          <w:rFonts w:ascii="Arial" w:cs="Arial" w:eastAsia="Arial" w:hAnsi="Arial"/>
          <w:sz w:val="20"/>
          <w:szCs w:val="20"/>
          <w:color w:val="auto"/>
        </w:rPr>
      </w:pPr>
      <w:r>
        <w:rPr>
          <w:rFonts w:ascii="Arial" w:cs="Arial" w:eastAsia="Arial" w:hAnsi="Arial"/>
          <w:sz w:val="19"/>
          <w:szCs w:val="19"/>
          <w:color w:val="auto"/>
        </w:rPr>
        <w:t>procedures determined by the plan administrator of the GE Health Choice for Employees Plan and the GE Life, Disability and Medical Plan. If the Employee elects COBRA coverage, his cost for medical, dental, and vision COBRA coverage</w:t>
      </w:r>
    </w:p>
    <w:p>
      <w:pPr>
        <w:ind w:left="660" w:right="480"/>
        <w:spacing w:after="0" w:line="289" w:lineRule="auto"/>
        <w:rPr>
          <w:rFonts w:ascii="Arial" w:cs="Arial" w:eastAsia="Arial" w:hAnsi="Arial"/>
          <w:sz w:val="20"/>
          <w:szCs w:val="20"/>
          <w:color w:val="auto"/>
        </w:rPr>
      </w:pPr>
      <w:r>
        <w:rPr>
          <w:rFonts w:ascii="Arial" w:cs="Arial" w:eastAsia="Arial" w:hAnsi="Arial"/>
          <w:sz w:val="19"/>
          <w:szCs w:val="19"/>
          <w:color w:val="auto"/>
        </w:rPr>
        <w:t>during the first twelve (12) months after the Separation Date will be the same amount as if he had remained actively employed (</w:t>
      </w:r>
      <w:r>
        <w:rPr>
          <w:rFonts w:ascii="Arial" w:cs="Arial" w:eastAsia="Arial" w:hAnsi="Arial"/>
          <w:sz w:val="19"/>
          <w:szCs w:val="19"/>
          <w:i w:val="1"/>
          <w:iCs w:val="1"/>
          <w:color w:val="auto"/>
        </w:rPr>
        <w:t>i.e.</w:t>
      </w:r>
      <w:r>
        <w:rPr>
          <w:rFonts w:ascii="Arial" w:cs="Arial" w:eastAsia="Arial" w:hAnsi="Arial"/>
          <w:sz w:val="19"/>
          <w:szCs w:val="19"/>
          <w:color w:val="auto"/>
        </w:rPr>
        <w:t>, will be subsidized by the Company)(the “Active Rate”). Due to Internal Revenue Service rules, the</w:t>
      </w:r>
    </w:p>
    <w:p>
      <w:pPr>
        <w:ind w:left="660" w:right="200"/>
        <w:spacing w:after="0" w:line="285" w:lineRule="auto"/>
        <w:rPr>
          <w:rFonts w:ascii="Arial" w:cs="Arial" w:eastAsia="Arial" w:hAnsi="Arial"/>
          <w:sz w:val="20"/>
          <w:szCs w:val="20"/>
          <w:color w:val="auto"/>
        </w:rPr>
      </w:pPr>
      <w:r>
        <w:rPr>
          <w:rFonts w:ascii="Arial" w:cs="Arial" w:eastAsia="Arial" w:hAnsi="Arial"/>
          <w:sz w:val="20"/>
          <w:szCs w:val="20"/>
          <w:color w:val="auto"/>
        </w:rPr>
        <w:t>Employee may be required to pay his contribution towards COBRA on an after-tax basis and may be taxed on the portion subsidized by the Company. (The Employee will be responsible for any taxes due and owing as a result of such continued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8" w:right="339" w:bottom="1440" w:gutter="0" w:footer="0" w:header="0"/>
        </w:sectPr>
      </w:pPr>
    </w:p>
    <w:bookmarkStart w:id="47" w:name="page48"/>
    <w:bookmarkEnd w:id="47"/>
    <w:p>
      <w:pPr>
        <w:ind w:left="328" w:right="420"/>
        <w:spacing w:after="0" w:line="285" w:lineRule="auto"/>
        <w:rPr>
          <w:sz w:val="20"/>
          <w:szCs w:val="20"/>
          <w:color w:val="auto"/>
        </w:rPr>
      </w:pPr>
      <w:r>
        <w:rPr>
          <w:rFonts w:ascii="Arial" w:cs="Arial" w:eastAsia="Arial" w:hAnsi="Arial"/>
          <w:sz w:val="20"/>
          <w:szCs w:val="20"/>
          <w:color w:val="auto"/>
        </w:rPr>
        <w:t>payments.) Following the first twelve (12) months, the Employee will be solely responsible for the full cost of COBRA coverage. The Employee must pay the applicable cost for COBRA coverage directly to the COBRA Administrator following the Separation Date.</w:t>
      </w:r>
    </w:p>
    <w:p>
      <w:pPr>
        <w:spacing w:after="0" w:line="153" w:lineRule="exact"/>
        <w:rPr>
          <w:sz w:val="20"/>
          <w:szCs w:val="20"/>
          <w:color w:val="auto"/>
        </w:rPr>
      </w:pPr>
    </w:p>
    <w:p>
      <w:pPr>
        <w:ind w:left="328" w:right="180"/>
        <w:spacing w:after="0" w:line="289" w:lineRule="auto"/>
        <w:rPr>
          <w:sz w:val="20"/>
          <w:szCs w:val="20"/>
          <w:color w:val="auto"/>
        </w:rPr>
      </w:pPr>
      <w:r>
        <w:rPr>
          <w:rFonts w:ascii="Arial" w:cs="Arial" w:eastAsia="Arial" w:hAnsi="Arial"/>
          <w:sz w:val="20"/>
          <w:szCs w:val="20"/>
          <w:color w:val="auto"/>
        </w:rPr>
        <w:t>Except as otherwise provided in this “Health Benefits” paragraph, the Company’s regular COBRA rules and procedures will apply.</w:t>
      </w:r>
    </w:p>
    <w:p>
      <w:pPr>
        <w:spacing w:after="0" w:line="148" w:lineRule="exact"/>
        <w:rPr>
          <w:sz w:val="20"/>
          <w:szCs w:val="20"/>
          <w:color w:val="auto"/>
        </w:rPr>
      </w:pPr>
    </w:p>
    <w:p>
      <w:pPr>
        <w:ind w:left="328" w:right="260"/>
        <w:spacing w:after="0" w:line="303" w:lineRule="auto"/>
        <w:rPr>
          <w:sz w:val="20"/>
          <w:szCs w:val="20"/>
          <w:color w:val="auto"/>
        </w:rPr>
      </w:pPr>
      <w:r>
        <w:rPr>
          <w:rFonts w:ascii="Arial" w:cs="Arial" w:eastAsia="Arial" w:hAnsi="Arial"/>
          <w:sz w:val="20"/>
          <w:szCs w:val="20"/>
          <w:color w:val="auto"/>
        </w:rPr>
        <w:t>To the extent required under section 409A of the Internal Revenue Code (the “Code”), such premium payments and/or premium bonuses will be delayed until six months following the Employee’s separation from service.</w:t>
      </w:r>
    </w:p>
    <w:p>
      <w:pPr>
        <w:spacing w:after="0" w:line="189" w:lineRule="exact"/>
        <w:rPr>
          <w:sz w:val="20"/>
          <w:szCs w:val="20"/>
          <w:color w:val="auto"/>
        </w:rPr>
      </w:pPr>
    </w:p>
    <w:p>
      <w:pPr>
        <w:ind w:left="388" w:hanging="388"/>
        <w:spacing w:after="0"/>
        <w:tabs>
          <w:tab w:leader="none" w:pos="38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Life Insurance</w:t>
      </w:r>
      <w:r>
        <w:rPr>
          <w:rFonts w:ascii="Arial" w:cs="Arial" w:eastAsia="Arial" w:hAnsi="Arial"/>
          <w:sz w:val="20"/>
          <w:szCs w:val="20"/>
          <w:color w:val="auto"/>
        </w:rPr>
        <w:t>. Pursuant to the terms of the GE Life Insurance Plan (“Basic Life Plan”), for a period of twelve (12)</w:t>
      </w:r>
    </w:p>
    <w:p>
      <w:pPr>
        <w:spacing w:after="0" w:line="40" w:lineRule="exact"/>
        <w:rPr>
          <w:rFonts w:ascii="Arial" w:cs="Arial" w:eastAsia="Arial" w:hAnsi="Arial"/>
          <w:sz w:val="20"/>
          <w:szCs w:val="20"/>
          <w:color w:val="auto"/>
        </w:rPr>
      </w:pPr>
    </w:p>
    <w:p>
      <w:pPr>
        <w:jc w:val="both"/>
        <w:ind w:left="328" w:right="380"/>
        <w:spacing w:after="0" w:line="289" w:lineRule="auto"/>
        <w:rPr>
          <w:rFonts w:ascii="Arial" w:cs="Arial" w:eastAsia="Arial" w:hAnsi="Arial"/>
          <w:sz w:val="20"/>
          <w:szCs w:val="20"/>
          <w:color w:val="auto"/>
        </w:rPr>
      </w:pPr>
      <w:r>
        <w:rPr>
          <w:rFonts w:ascii="Arial" w:cs="Arial" w:eastAsia="Arial" w:hAnsi="Arial"/>
          <w:sz w:val="19"/>
          <w:szCs w:val="19"/>
          <w:color w:val="auto"/>
        </w:rPr>
        <w:t>months from the Separation Date (or shorter if the Employee fails to maintain Continuous Service), the Company will continue premium payments on behalf of the Employee under Basic Life, provided that the Employee was enrolled in</w:t>
      </w:r>
    </w:p>
    <w:p>
      <w:pPr>
        <w:ind w:left="328" w:right="40"/>
        <w:spacing w:after="0" w:line="289" w:lineRule="auto"/>
        <w:rPr>
          <w:rFonts w:ascii="Arial" w:cs="Arial" w:eastAsia="Arial" w:hAnsi="Arial"/>
          <w:sz w:val="20"/>
          <w:szCs w:val="20"/>
          <w:color w:val="auto"/>
        </w:rPr>
      </w:pPr>
      <w:r>
        <w:rPr>
          <w:rFonts w:ascii="Arial" w:cs="Arial" w:eastAsia="Arial" w:hAnsi="Arial"/>
          <w:sz w:val="19"/>
          <w:szCs w:val="19"/>
          <w:color w:val="auto"/>
        </w:rPr>
        <w:t>Basic Life immediately prior to the Separation Date. (The Employee will be responsible for any taxes due and owing as a result of such continued premium payments.) At the conclusion of the twelve (12) month period (or shorter period if the</w:t>
      </w:r>
    </w:p>
    <w:p>
      <w:pPr>
        <w:ind w:left="328" w:right="320"/>
        <w:spacing w:after="0" w:line="289" w:lineRule="auto"/>
        <w:rPr>
          <w:rFonts w:ascii="Arial" w:cs="Arial" w:eastAsia="Arial" w:hAnsi="Arial"/>
          <w:sz w:val="20"/>
          <w:szCs w:val="20"/>
          <w:color w:val="auto"/>
        </w:rPr>
      </w:pPr>
      <w:r>
        <w:rPr>
          <w:rFonts w:ascii="Arial" w:cs="Arial" w:eastAsia="Arial" w:hAnsi="Arial"/>
          <w:sz w:val="19"/>
          <w:szCs w:val="19"/>
          <w:color w:val="auto"/>
        </w:rPr>
        <w:t>Employee fails to maintain Continuous Service) referenced above, the Company will discontinue such premium payments, and the Employee may choose to convert Basic Life to an individual plan at his/her own cost and expense,</w:t>
      </w:r>
    </w:p>
    <w:p>
      <w:pPr>
        <w:jc w:val="both"/>
        <w:ind w:left="328"/>
        <w:spacing w:after="0" w:line="285" w:lineRule="auto"/>
        <w:rPr>
          <w:rFonts w:ascii="Arial" w:cs="Arial" w:eastAsia="Arial" w:hAnsi="Arial"/>
          <w:sz w:val="20"/>
          <w:szCs w:val="20"/>
          <w:color w:val="auto"/>
        </w:rPr>
      </w:pPr>
      <w:r>
        <w:rPr>
          <w:rFonts w:ascii="Arial" w:cs="Arial" w:eastAsia="Arial" w:hAnsi="Arial"/>
          <w:sz w:val="20"/>
          <w:szCs w:val="20"/>
          <w:color w:val="auto"/>
        </w:rPr>
        <w:t>subject to the terms and conditions of such Basic Life Plan and policy. The Employee must call the GE Benefits Center at 1-800-252-5259 to request a conversion form, and must complete and send the form to the insurance company within 31 days of the Separation Date.</w:t>
      </w:r>
    </w:p>
    <w:p>
      <w:pPr>
        <w:spacing w:after="0" w:line="207" w:lineRule="exact"/>
        <w:rPr>
          <w:sz w:val="20"/>
          <w:szCs w:val="20"/>
          <w:color w:val="auto"/>
        </w:rPr>
      </w:pPr>
    </w:p>
    <w:p>
      <w:pPr>
        <w:ind w:left="328" w:right="720"/>
        <w:spacing w:after="0" w:line="303" w:lineRule="auto"/>
        <w:rPr>
          <w:sz w:val="20"/>
          <w:szCs w:val="20"/>
          <w:color w:val="auto"/>
        </w:rPr>
      </w:pPr>
      <w:r>
        <w:rPr>
          <w:rFonts w:ascii="Arial" w:cs="Arial" w:eastAsia="Arial" w:hAnsi="Arial"/>
          <w:sz w:val="20"/>
          <w:szCs w:val="20"/>
          <w:color w:val="auto"/>
        </w:rPr>
        <w:t>To the extent required under section 409A of the Code, such premium payments and/or premium bonuses will be delayed until six months following the Employee’s separation from service.</w:t>
      </w:r>
    </w:p>
    <w:p>
      <w:pPr>
        <w:spacing w:after="0" w:line="189" w:lineRule="exact"/>
        <w:rPr>
          <w:sz w:val="20"/>
          <w:szCs w:val="20"/>
          <w:color w:val="auto"/>
        </w:rPr>
      </w:pPr>
    </w:p>
    <w:p>
      <w:pPr>
        <w:ind w:left="328" w:hanging="328"/>
        <w:spacing w:after="0"/>
        <w:tabs>
          <w:tab w:leader="none" w:pos="32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One GE HealthCare Annual Bonus Plan</w:t>
      </w:r>
      <w:r>
        <w:rPr>
          <w:rFonts w:ascii="Arial" w:cs="Arial" w:eastAsia="Arial" w:hAnsi="Arial"/>
          <w:sz w:val="20"/>
          <w:szCs w:val="20"/>
          <w:color w:val="auto"/>
        </w:rPr>
        <w:t>. Pursuant to the terms of the One GE HealthCare Annual Bonus Plan (the</w:t>
      </w:r>
    </w:p>
    <w:p>
      <w:pPr>
        <w:spacing w:after="0" w:line="40" w:lineRule="exact"/>
        <w:rPr>
          <w:rFonts w:ascii="Arial" w:cs="Arial" w:eastAsia="Arial" w:hAnsi="Arial"/>
          <w:sz w:val="20"/>
          <w:szCs w:val="20"/>
          <w:color w:val="auto"/>
        </w:rPr>
      </w:pPr>
    </w:p>
    <w:p>
      <w:pPr>
        <w:ind w:left="328" w:right="120"/>
        <w:spacing w:after="0" w:line="289" w:lineRule="auto"/>
        <w:rPr>
          <w:rFonts w:ascii="Arial" w:cs="Arial" w:eastAsia="Arial" w:hAnsi="Arial"/>
          <w:sz w:val="20"/>
          <w:szCs w:val="20"/>
          <w:color w:val="auto"/>
        </w:rPr>
      </w:pPr>
      <w:r>
        <w:rPr>
          <w:rFonts w:ascii="Arial" w:cs="Arial" w:eastAsia="Arial" w:hAnsi="Arial"/>
          <w:sz w:val="19"/>
          <w:szCs w:val="19"/>
          <w:color w:val="auto"/>
        </w:rPr>
        <w:t>“Bonus Plan”) and the policies and procedures thereunder, the Employee shall be eligible for a bonus, if any, based on Company performance as well as individual performance at no less than 100%, for the 2023 plan year which is prorated</w:t>
      </w:r>
    </w:p>
    <w:p>
      <w:pPr>
        <w:jc w:val="both"/>
        <w:ind w:left="328" w:right="280"/>
        <w:spacing w:after="0" w:line="317" w:lineRule="auto"/>
        <w:rPr>
          <w:rFonts w:ascii="Arial" w:cs="Arial" w:eastAsia="Arial" w:hAnsi="Arial"/>
          <w:sz w:val="20"/>
          <w:szCs w:val="20"/>
          <w:color w:val="auto"/>
        </w:rPr>
      </w:pPr>
      <w:r>
        <w:rPr>
          <w:rFonts w:ascii="Arial" w:cs="Arial" w:eastAsia="Arial" w:hAnsi="Arial"/>
          <w:sz w:val="19"/>
          <w:szCs w:val="19"/>
          <w:color w:val="auto"/>
        </w:rPr>
        <w:t>based on the Employee’s period of employment during such plan year and is paid in accordance with the terms of the Bonus Plan. The Company will make this bonus payment to Employee by direct deposit no later than March 31, 2024.</w:t>
      </w:r>
    </w:p>
    <w:p>
      <w:pPr>
        <w:spacing w:after="0" w:line="192" w:lineRule="exact"/>
        <w:rPr>
          <w:rFonts w:ascii="Arial" w:cs="Arial" w:eastAsia="Arial" w:hAnsi="Arial"/>
          <w:sz w:val="20"/>
          <w:szCs w:val="20"/>
          <w:color w:val="auto"/>
        </w:rPr>
      </w:pPr>
    </w:p>
    <w:p>
      <w:pPr>
        <w:ind w:left="328" w:right="400" w:hanging="328"/>
        <w:spacing w:after="0" w:line="289" w:lineRule="auto"/>
        <w:tabs>
          <w:tab w:leader="none" w:pos="4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The treatment of any stock options granted to the Employee shall be determined by the terms of the applicable award agreement.</w:t>
      </w:r>
    </w:p>
    <w:p>
      <w:pPr>
        <w:spacing w:after="0" w:line="215" w:lineRule="exact"/>
        <w:rPr>
          <w:rFonts w:ascii="Arial" w:cs="Arial" w:eastAsia="Arial" w:hAnsi="Arial"/>
          <w:sz w:val="20"/>
          <w:szCs w:val="20"/>
          <w:color w:val="auto"/>
        </w:rPr>
      </w:pPr>
    </w:p>
    <w:p>
      <w:pPr>
        <w:ind w:left="328" w:right="20" w:hanging="328"/>
        <w:spacing w:after="0" w:line="289" w:lineRule="auto"/>
        <w:tabs>
          <w:tab w:leader="none" w:pos="389"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Restricted Stock Units (RSUs)</w:t>
      </w:r>
      <w:r>
        <w:rPr>
          <w:rFonts w:ascii="Arial" w:cs="Arial" w:eastAsia="Arial" w:hAnsi="Arial"/>
          <w:sz w:val="20"/>
          <w:szCs w:val="20"/>
          <w:color w:val="auto"/>
        </w:rPr>
        <w:t>. The treatment of any RSUs granted to the Employee shall be determined by the terms of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431" w:right="339" w:bottom="1440" w:gutter="0" w:footer="0" w:header="0"/>
        </w:sectPr>
      </w:pPr>
    </w:p>
    <w:bookmarkStart w:id="48" w:name="page49"/>
    <w:bookmarkEnd w:id="48"/>
    <w:p>
      <w:pPr>
        <w:ind w:left="652" w:right="80" w:hanging="328"/>
        <w:spacing w:after="0" w:line="317" w:lineRule="auto"/>
        <w:tabs>
          <w:tab w:leader="none" w:pos="643"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Performance Stock Units (PSUs).</w:t>
      </w:r>
      <w:r>
        <w:rPr>
          <w:rFonts w:ascii="Arial" w:cs="Arial" w:eastAsia="Arial" w:hAnsi="Arial"/>
          <w:sz w:val="20"/>
          <w:szCs w:val="20"/>
          <w:color w:val="auto"/>
        </w:rPr>
        <w:t xml:space="preserve"> The treatment of any PSUs granted to the Employee shall be determined by the terms of the applicable award agreement.</w:t>
      </w:r>
    </w:p>
    <w:p>
      <w:pPr>
        <w:spacing w:after="0" w:line="175" w:lineRule="exact"/>
        <w:rPr>
          <w:rFonts w:ascii="Arial" w:cs="Arial" w:eastAsia="Arial" w:hAnsi="Arial"/>
          <w:sz w:val="20"/>
          <w:szCs w:val="20"/>
          <w:color w:val="auto"/>
        </w:rPr>
      </w:pPr>
    </w:p>
    <w:p>
      <w:pPr>
        <w:ind w:left="632" w:hanging="308"/>
        <w:spacing w:after="0"/>
        <w:tabs>
          <w:tab w:leader="none" w:pos="632"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Outplacement Assistance</w:t>
      </w:r>
      <w:r>
        <w:rPr>
          <w:rFonts w:ascii="Arial" w:cs="Arial" w:eastAsia="Arial" w:hAnsi="Arial"/>
          <w:sz w:val="20"/>
          <w:szCs w:val="20"/>
          <w:color w:val="auto"/>
        </w:rPr>
        <w:t>. Pursuant to the terms of the Severance Plan, the Employee will be eligible for outplacement</w:t>
      </w:r>
    </w:p>
    <w:p>
      <w:pPr>
        <w:spacing w:after="0" w:line="53" w:lineRule="exact"/>
        <w:rPr>
          <w:rFonts w:ascii="Arial" w:cs="Arial" w:eastAsia="Arial" w:hAnsi="Arial"/>
          <w:sz w:val="20"/>
          <w:szCs w:val="20"/>
          <w:color w:val="auto"/>
        </w:rPr>
      </w:pPr>
    </w:p>
    <w:p>
      <w:pPr>
        <w:ind w:left="652" w:right="500"/>
        <w:spacing w:after="0" w:line="292" w:lineRule="auto"/>
        <w:rPr>
          <w:rFonts w:ascii="Arial" w:cs="Arial" w:eastAsia="Arial" w:hAnsi="Arial"/>
          <w:sz w:val="20"/>
          <w:szCs w:val="20"/>
          <w:color w:val="auto"/>
        </w:rPr>
      </w:pPr>
      <w:r>
        <w:rPr>
          <w:rFonts w:ascii="Arial" w:cs="Arial" w:eastAsia="Arial" w:hAnsi="Arial"/>
          <w:sz w:val="20"/>
          <w:szCs w:val="20"/>
          <w:color w:val="auto"/>
        </w:rPr>
        <w:t>services for 12 months following the Employee’s Separation Date, so long as the Employee enrolls in such services within 30 days of his or her Separation Date. Employee agrees that such services shall cease once the Employee secures alternative employment.</w:t>
      </w:r>
    </w:p>
    <w:p>
      <w:pPr>
        <w:spacing w:after="0" w:line="200" w:lineRule="exact"/>
        <w:rPr>
          <w:rFonts w:ascii="Arial" w:cs="Arial" w:eastAsia="Arial" w:hAnsi="Arial"/>
          <w:sz w:val="20"/>
          <w:szCs w:val="20"/>
          <w:color w:val="auto"/>
        </w:rPr>
      </w:pPr>
    </w:p>
    <w:p>
      <w:pPr>
        <w:ind w:left="692" w:hanging="368"/>
        <w:spacing w:after="0"/>
        <w:tabs>
          <w:tab w:leader="none" w:pos="6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Financial Planner</w:t>
      </w:r>
      <w:r>
        <w:rPr>
          <w:rFonts w:ascii="Arial" w:cs="Arial" w:eastAsia="Arial" w:hAnsi="Arial"/>
          <w:sz w:val="19"/>
          <w:szCs w:val="19"/>
          <w:color w:val="auto"/>
        </w:rPr>
        <w:t>. The Employee may continue to avail himself of the services of a financial planner until the Separation</w:t>
      </w:r>
    </w:p>
    <w:p>
      <w:pPr>
        <w:spacing w:after="0" w:line="51" w:lineRule="exact"/>
        <w:rPr>
          <w:rFonts w:ascii="Arial" w:cs="Arial" w:eastAsia="Arial" w:hAnsi="Arial"/>
          <w:sz w:val="19"/>
          <w:szCs w:val="19"/>
          <w:color w:val="auto"/>
        </w:rPr>
      </w:pPr>
    </w:p>
    <w:p>
      <w:pPr>
        <w:ind w:left="652" w:right="720"/>
        <w:spacing w:after="0" w:line="289" w:lineRule="auto"/>
        <w:rPr>
          <w:rFonts w:ascii="Arial" w:cs="Arial" w:eastAsia="Arial" w:hAnsi="Arial"/>
          <w:sz w:val="19"/>
          <w:szCs w:val="19"/>
          <w:color w:val="auto"/>
        </w:rPr>
      </w:pPr>
      <w:r>
        <w:rPr>
          <w:rFonts w:ascii="Arial" w:cs="Arial" w:eastAsia="Arial" w:hAnsi="Arial"/>
          <w:sz w:val="20"/>
          <w:szCs w:val="20"/>
          <w:color w:val="auto"/>
        </w:rPr>
        <w:t>Date and the Company agrees to reimburse him, within 30 days of receipt of invoices for such amounts, for up to $15,000 in fees incurred prior to the Separation Date.</w:t>
      </w:r>
    </w:p>
    <w:p>
      <w:pPr>
        <w:spacing w:after="0" w:line="215" w:lineRule="exact"/>
        <w:rPr>
          <w:rFonts w:ascii="Arial" w:cs="Arial" w:eastAsia="Arial" w:hAnsi="Arial"/>
          <w:sz w:val="19"/>
          <w:szCs w:val="19"/>
          <w:color w:val="auto"/>
        </w:rPr>
      </w:pPr>
    </w:p>
    <w:p>
      <w:pPr>
        <w:ind w:left="652" w:right="380" w:hanging="328"/>
        <w:spacing w:after="0" w:line="289" w:lineRule="auto"/>
        <w:tabs>
          <w:tab w:leader="none" w:pos="647"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Physical Health Examination</w:t>
      </w:r>
      <w:r>
        <w:rPr>
          <w:rFonts w:ascii="Arial" w:cs="Arial" w:eastAsia="Arial" w:hAnsi="Arial"/>
          <w:sz w:val="20"/>
          <w:szCs w:val="20"/>
          <w:color w:val="auto"/>
        </w:rPr>
        <w:t>. The Company agrees to reimburse Employee up to $3,100 annually for physical health examinations prior to the Separation Date.</w:t>
      </w:r>
    </w:p>
    <w:p>
      <w:pPr>
        <w:spacing w:after="0" w:line="215" w:lineRule="exact"/>
        <w:rPr>
          <w:rFonts w:ascii="Arial" w:cs="Arial" w:eastAsia="Arial" w:hAnsi="Arial"/>
          <w:sz w:val="20"/>
          <w:szCs w:val="20"/>
          <w:color w:val="auto"/>
        </w:rPr>
      </w:pPr>
    </w:p>
    <w:p>
      <w:pPr>
        <w:ind w:left="652" w:right="560" w:hanging="328"/>
        <w:spacing w:after="0" w:line="289" w:lineRule="auto"/>
        <w:tabs>
          <w:tab w:leader="none" w:pos="768"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Executive Retirement Benefit.</w:t>
      </w:r>
      <w:r>
        <w:rPr>
          <w:rFonts w:ascii="Arial" w:cs="Arial" w:eastAsia="Arial" w:hAnsi="Arial"/>
          <w:sz w:val="20"/>
          <w:szCs w:val="20"/>
          <w:color w:val="auto"/>
        </w:rPr>
        <w:t xml:space="preserve"> The Company agrees that Employee may continue to participate in GE’s Executive Retirement Benefit until the Separation Date.</w:t>
      </w:r>
    </w:p>
    <w:p>
      <w:pPr>
        <w:spacing w:after="0" w:line="215" w:lineRule="exact"/>
        <w:rPr>
          <w:rFonts w:ascii="Arial" w:cs="Arial" w:eastAsia="Arial" w:hAnsi="Arial"/>
          <w:sz w:val="20"/>
          <w:szCs w:val="20"/>
          <w:color w:val="auto"/>
        </w:rPr>
      </w:pPr>
    </w:p>
    <w:p>
      <w:pPr>
        <w:ind w:left="312" w:hanging="312"/>
        <w:spacing w:after="0"/>
        <w:tabs>
          <w:tab w:leader="none" w:pos="31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Employee Acknowledgments and Representations</w:t>
      </w:r>
      <w:r>
        <w:rPr>
          <w:rFonts w:ascii="Arial" w:cs="Arial" w:eastAsia="Arial" w:hAnsi="Arial"/>
          <w:sz w:val="20"/>
          <w:szCs w:val="20"/>
          <w:color w:val="auto"/>
        </w:rPr>
        <w:t>. The Employee acknowledges, represents and agrees:</w:t>
      </w:r>
    </w:p>
    <w:p>
      <w:pPr>
        <w:spacing w:after="0" w:line="269" w:lineRule="exact"/>
        <w:rPr>
          <w:rFonts w:ascii="Arial" w:cs="Arial" w:eastAsia="Arial" w:hAnsi="Arial"/>
          <w:sz w:val="20"/>
          <w:szCs w:val="20"/>
          <w:color w:val="auto"/>
        </w:rPr>
      </w:pPr>
    </w:p>
    <w:p>
      <w:pPr>
        <w:ind w:left="632" w:hanging="308"/>
        <w:spacing w:after="0"/>
        <w:tabs>
          <w:tab w:leader="none" w:pos="632"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Receipt of Wages and Benefits</w:t>
      </w:r>
      <w:r>
        <w:rPr>
          <w:rFonts w:ascii="Arial" w:cs="Arial" w:eastAsia="Arial" w:hAnsi="Arial"/>
          <w:sz w:val="20"/>
          <w:szCs w:val="20"/>
          <w:color w:val="auto"/>
        </w:rPr>
        <w:t>. Except as stated above, the Employee agrees that he has received all wages and</w:t>
      </w:r>
    </w:p>
    <w:p>
      <w:pPr>
        <w:spacing w:after="0" w:line="40" w:lineRule="exact"/>
        <w:rPr>
          <w:rFonts w:ascii="Arial" w:cs="Arial" w:eastAsia="Arial" w:hAnsi="Arial"/>
          <w:sz w:val="20"/>
          <w:szCs w:val="20"/>
          <w:color w:val="auto"/>
        </w:rPr>
      </w:pPr>
    </w:p>
    <w:p>
      <w:pPr>
        <w:ind w:left="652"/>
        <w:spacing w:after="0" w:line="274" w:lineRule="auto"/>
        <w:rPr>
          <w:rFonts w:ascii="Arial" w:cs="Arial" w:eastAsia="Arial" w:hAnsi="Arial"/>
          <w:sz w:val="20"/>
          <w:szCs w:val="20"/>
          <w:color w:val="auto"/>
        </w:rPr>
      </w:pPr>
      <w:r>
        <w:rPr>
          <w:rFonts w:ascii="Arial" w:cs="Arial" w:eastAsia="Arial" w:hAnsi="Arial"/>
          <w:sz w:val="20"/>
          <w:szCs w:val="20"/>
          <w:color w:val="auto"/>
        </w:rPr>
        <w:t>compensation, including but not limited to overtime compensation, due to him. He is not entitled to any other payments of any kind, including to the payments and benefits he is receiving under this Agreement, except as a result of his/her</w:t>
      </w:r>
    </w:p>
    <w:p>
      <w:pPr>
        <w:spacing w:after="0" w:line="1" w:lineRule="exact"/>
        <w:rPr>
          <w:rFonts w:ascii="Arial" w:cs="Arial" w:eastAsia="Arial" w:hAnsi="Arial"/>
          <w:sz w:val="20"/>
          <w:szCs w:val="20"/>
          <w:color w:val="auto"/>
        </w:rPr>
      </w:pPr>
    </w:p>
    <w:p>
      <w:pPr>
        <w:ind w:left="652" w:right="220"/>
        <w:spacing w:after="0" w:line="289" w:lineRule="auto"/>
        <w:rPr>
          <w:rFonts w:ascii="Arial" w:cs="Arial" w:eastAsia="Arial" w:hAnsi="Arial"/>
          <w:sz w:val="20"/>
          <w:szCs w:val="20"/>
          <w:color w:val="auto"/>
        </w:rPr>
      </w:pPr>
      <w:r>
        <w:rPr>
          <w:rFonts w:ascii="Arial" w:cs="Arial" w:eastAsia="Arial" w:hAnsi="Arial"/>
          <w:sz w:val="20"/>
          <w:szCs w:val="20"/>
          <w:color w:val="auto"/>
        </w:rPr>
        <w:t>agreement to the terms herein. The Employee agrees that those payments and benefits are sufficient consideration for this Agreement.</w:t>
      </w:r>
    </w:p>
    <w:p>
      <w:pPr>
        <w:spacing w:after="0" w:line="215" w:lineRule="exact"/>
        <w:rPr>
          <w:rFonts w:ascii="Arial" w:cs="Arial" w:eastAsia="Arial" w:hAnsi="Arial"/>
          <w:sz w:val="20"/>
          <w:szCs w:val="20"/>
          <w:color w:val="auto"/>
        </w:rPr>
      </w:pPr>
    </w:p>
    <w:p>
      <w:pPr>
        <w:ind w:left="652" w:right="480" w:hanging="328"/>
        <w:spacing w:after="0" w:line="289" w:lineRule="auto"/>
        <w:tabs>
          <w:tab w:leader="none" w:pos="641"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Taxes &amp; Withholdings</w:t>
      </w:r>
      <w:r>
        <w:rPr>
          <w:rFonts w:ascii="Arial" w:cs="Arial" w:eastAsia="Arial" w:hAnsi="Arial"/>
          <w:sz w:val="20"/>
          <w:szCs w:val="20"/>
          <w:color w:val="auto"/>
        </w:rPr>
        <w:t>. All payments and benefits received under this Agreement are subject to applicable taxes and withholdings.</w:t>
      </w:r>
    </w:p>
    <w:p>
      <w:pPr>
        <w:spacing w:after="0" w:line="215" w:lineRule="exact"/>
        <w:rPr>
          <w:rFonts w:ascii="Arial" w:cs="Arial" w:eastAsia="Arial" w:hAnsi="Arial"/>
          <w:sz w:val="20"/>
          <w:szCs w:val="20"/>
          <w:color w:val="auto"/>
        </w:rPr>
      </w:pPr>
    </w:p>
    <w:p>
      <w:pPr>
        <w:jc w:val="both"/>
        <w:ind w:left="652" w:right="20" w:hanging="328"/>
        <w:spacing w:after="0" w:line="289" w:lineRule="auto"/>
        <w:tabs>
          <w:tab w:leader="none" w:pos="644"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Time to Review &amp; Revoke</w:t>
      </w:r>
      <w:r>
        <w:rPr>
          <w:rFonts w:ascii="Arial" w:cs="Arial" w:eastAsia="Arial" w:hAnsi="Arial"/>
          <w:sz w:val="19"/>
          <w:szCs w:val="19"/>
          <w:color w:val="auto"/>
        </w:rPr>
        <w:t>. The Employee has 21 days to consider this Agreement, and his/her waiver of rights under the Age Discrimination in Employment Act, as amended, before signing it, and can revoke this Agreement within 7 days after</w:t>
      </w:r>
    </w:p>
    <w:p>
      <w:pPr>
        <w:ind w:left="652" w:right="560"/>
        <w:spacing w:after="0" w:line="285" w:lineRule="auto"/>
        <w:rPr>
          <w:rFonts w:ascii="Arial" w:cs="Arial" w:eastAsia="Arial" w:hAnsi="Arial"/>
          <w:sz w:val="19"/>
          <w:szCs w:val="19"/>
          <w:color w:val="auto"/>
        </w:rPr>
      </w:pPr>
      <w:r>
        <w:rPr>
          <w:rFonts w:ascii="Arial" w:cs="Arial" w:eastAsia="Arial" w:hAnsi="Arial"/>
          <w:sz w:val="20"/>
          <w:szCs w:val="20"/>
          <w:color w:val="auto"/>
        </w:rPr>
        <w:t>signing it by sending written notice of that revocation to his/her HRM (the day following this revocation period is the “Effective Date” of this Agreement). The Employee also agrees that he has had the opportunity to consult with an attorney of his/her choice before signing it.</w:t>
      </w:r>
    </w:p>
    <w:p>
      <w:pPr>
        <w:spacing w:after="0" w:line="206" w:lineRule="exact"/>
        <w:rPr>
          <w:rFonts w:ascii="Arial" w:cs="Arial" w:eastAsia="Arial" w:hAnsi="Arial"/>
          <w:sz w:val="19"/>
          <w:szCs w:val="19"/>
          <w:color w:val="auto"/>
        </w:rPr>
      </w:pPr>
    </w:p>
    <w:p>
      <w:pPr>
        <w:ind w:left="632" w:hanging="308"/>
        <w:spacing w:after="0"/>
        <w:tabs>
          <w:tab w:leader="none" w:pos="632"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Disclosure of Past and Present Claims</w:t>
      </w:r>
      <w:r>
        <w:rPr>
          <w:rFonts w:ascii="Arial" w:cs="Arial" w:eastAsia="Arial" w:hAnsi="Arial"/>
          <w:sz w:val="20"/>
          <w:szCs w:val="20"/>
          <w:color w:val="auto"/>
        </w:rPr>
        <w:t>. The Employee is not aware of (or has already disclosed to the Company) any</w:t>
      </w:r>
    </w:p>
    <w:p>
      <w:pPr>
        <w:spacing w:after="0" w:line="40" w:lineRule="exact"/>
        <w:rPr>
          <w:rFonts w:ascii="Arial" w:cs="Arial" w:eastAsia="Arial" w:hAnsi="Arial"/>
          <w:sz w:val="20"/>
          <w:szCs w:val="20"/>
          <w:color w:val="auto"/>
        </w:rPr>
      </w:pPr>
    </w:p>
    <w:p>
      <w:pPr>
        <w:ind w:left="652" w:right="40"/>
        <w:spacing w:after="0" w:line="289" w:lineRule="auto"/>
        <w:rPr>
          <w:rFonts w:ascii="Arial" w:cs="Arial" w:eastAsia="Arial" w:hAnsi="Arial"/>
          <w:sz w:val="20"/>
          <w:szCs w:val="20"/>
          <w:color w:val="auto"/>
        </w:rPr>
      </w:pPr>
      <w:r>
        <w:rPr>
          <w:rFonts w:ascii="Arial" w:cs="Arial" w:eastAsia="Arial" w:hAnsi="Arial"/>
          <w:sz w:val="20"/>
          <w:szCs w:val="20"/>
          <w:color w:val="auto"/>
        </w:rPr>
        <w:t>conduct by the Company or any of the Releasees that he has any reason to believe violates or may violate any domestic or foreign law or regulation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32"/>
          </w:cols>
          <w:pgMar w:left="328" w:top="1431" w:right="339" w:bottom="1440" w:gutter="0" w:footer="0" w:header="0"/>
        </w:sectPr>
      </w:pPr>
    </w:p>
    <w:bookmarkStart w:id="49" w:name="page50"/>
    <w:bookmarkEnd w:id="49"/>
    <w:p>
      <w:pPr>
        <w:ind w:left="652"/>
        <w:spacing w:after="0"/>
        <w:rPr>
          <w:sz w:val="20"/>
          <w:szCs w:val="20"/>
          <w:color w:val="auto"/>
        </w:rPr>
      </w:pPr>
      <w:r>
        <w:rPr>
          <w:rFonts w:ascii="Arial" w:cs="Arial" w:eastAsia="Arial" w:hAnsi="Arial"/>
          <w:sz w:val="20"/>
          <w:szCs w:val="20"/>
          <w:color w:val="auto"/>
        </w:rPr>
        <w:t>or Company policy, or involves or may involve false claims to the United States.</w:t>
      </w:r>
    </w:p>
    <w:p>
      <w:pPr>
        <w:spacing w:after="0" w:line="270" w:lineRule="exact"/>
        <w:rPr>
          <w:sz w:val="20"/>
          <w:szCs w:val="20"/>
          <w:color w:val="auto"/>
        </w:rPr>
      </w:pPr>
    </w:p>
    <w:p>
      <w:pPr>
        <w:ind w:left="652" w:right="20" w:hanging="328"/>
        <w:spacing w:after="0" w:line="289" w:lineRule="auto"/>
        <w:tabs>
          <w:tab w:leader="none" w:pos="64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Alternative Dispute Resolution</w:t>
      </w:r>
      <w:r>
        <w:rPr>
          <w:rFonts w:ascii="Arial" w:cs="Arial" w:eastAsia="Arial" w:hAnsi="Arial"/>
          <w:sz w:val="19"/>
          <w:szCs w:val="19"/>
          <w:color w:val="auto"/>
        </w:rPr>
        <w:t>. The Employee agrees that his/her agreement to Solutions or any applicable prior internal Company alternative dispute resolution process (for purposes of this Agreement collectively called “Company ADR”)</w:t>
      </w:r>
    </w:p>
    <w:p>
      <w:pPr>
        <w:jc w:val="both"/>
        <w:ind w:left="652" w:right="880"/>
        <w:spacing w:after="0" w:line="289" w:lineRule="auto"/>
        <w:rPr>
          <w:rFonts w:ascii="Arial" w:cs="Arial" w:eastAsia="Arial" w:hAnsi="Arial"/>
          <w:sz w:val="19"/>
          <w:szCs w:val="19"/>
          <w:color w:val="auto"/>
        </w:rPr>
      </w:pPr>
      <w:r>
        <w:rPr>
          <w:rFonts w:ascii="Arial" w:cs="Arial" w:eastAsia="Arial" w:hAnsi="Arial"/>
          <w:sz w:val="19"/>
          <w:szCs w:val="19"/>
          <w:color w:val="auto"/>
        </w:rPr>
        <w:t>remains in effect. The Employee further agrees to submit to the Company ADR any claims not released by this Agreement and covered by the Company ADR, or any claims that arise after the date the Employee signs this</w:t>
      </w:r>
    </w:p>
    <w:p>
      <w:pPr>
        <w:jc w:val="both"/>
        <w:ind w:left="652" w:right="280"/>
        <w:spacing w:after="0" w:line="289" w:lineRule="auto"/>
        <w:rPr>
          <w:rFonts w:ascii="Arial" w:cs="Arial" w:eastAsia="Arial" w:hAnsi="Arial"/>
          <w:sz w:val="19"/>
          <w:szCs w:val="19"/>
          <w:color w:val="auto"/>
        </w:rPr>
      </w:pPr>
      <w:r>
        <w:rPr>
          <w:rFonts w:ascii="Arial" w:cs="Arial" w:eastAsia="Arial" w:hAnsi="Arial"/>
          <w:sz w:val="19"/>
          <w:szCs w:val="19"/>
          <w:color w:val="auto"/>
        </w:rPr>
        <w:t>Agreement, to the maximum extent permitted by law, including but not limited to, disputes about the Agreement itself. The Employee understands he is giving up the right to a jury trial for such claims and that all such claims submitted to</w:t>
      </w:r>
    </w:p>
    <w:p>
      <w:pPr>
        <w:ind w:left="652" w:right="340"/>
        <w:spacing w:after="0" w:line="289" w:lineRule="auto"/>
        <w:rPr>
          <w:rFonts w:ascii="Arial" w:cs="Arial" w:eastAsia="Arial" w:hAnsi="Arial"/>
          <w:sz w:val="19"/>
          <w:szCs w:val="19"/>
          <w:color w:val="auto"/>
        </w:rPr>
      </w:pPr>
      <w:r>
        <w:rPr>
          <w:rFonts w:ascii="Arial" w:cs="Arial" w:eastAsia="Arial" w:hAnsi="Arial"/>
          <w:sz w:val="20"/>
          <w:szCs w:val="20"/>
          <w:color w:val="auto"/>
        </w:rPr>
        <w:t>final and binding arbitration pursuant to the Company ADR will be decided solely by an arbitrator. Employee may ask his/her Company HRM for another copy of the Company ADR process.</w:t>
      </w:r>
    </w:p>
    <w:p>
      <w:pPr>
        <w:spacing w:after="0" w:line="229" w:lineRule="exact"/>
        <w:rPr>
          <w:rFonts w:ascii="Arial" w:cs="Arial" w:eastAsia="Arial" w:hAnsi="Arial"/>
          <w:sz w:val="19"/>
          <w:szCs w:val="19"/>
          <w:color w:val="auto"/>
        </w:rPr>
      </w:pPr>
    </w:p>
    <w:p>
      <w:pPr>
        <w:ind w:left="652" w:right="160" w:hanging="328"/>
        <w:spacing w:after="0" w:line="245" w:lineRule="auto"/>
        <w:tabs>
          <w:tab w:leader="none" w:pos="651" w:val="left"/>
        </w:tabs>
        <w:numPr>
          <w:ilvl w:val="1"/>
          <w:numId w:val="42"/>
        </w:numPr>
        <w:rPr>
          <w:rFonts w:ascii="Arial" w:cs="Arial" w:eastAsia="Arial" w:hAnsi="Arial"/>
          <w:sz w:val="22"/>
          <w:szCs w:val="22"/>
          <w:color w:val="auto"/>
        </w:rPr>
      </w:pPr>
      <w:r>
        <w:rPr>
          <w:rFonts w:ascii="Arial" w:cs="Arial" w:eastAsia="Arial" w:hAnsi="Arial"/>
          <w:sz w:val="20"/>
          <w:szCs w:val="20"/>
          <w:u w:val="single" w:color="auto"/>
          <w:color w:val="auto"/>
        </w:rPr>
        <w:t>Company’s Reliance on Employee Representations</w:t>
      </w:r>
      <w:r>
        <w:rPr>
          <w:rFonts w:ascii="Arial" w:cs="Arial" w:eastAsia="Arial" w:hAnsi="Arial"/>
          <w:sz w:val="20"/>
          <w:szCs w:val="20"/>
          <w:color w:val="auto"/>
        </w:rPr>
        <w:t>. The Employee understands that the Company is relying on the Employee’s representations and obligations contained in this Agreement, including but not limited to his/her Release of Claims.</w:t>
      </w:r>
    </w:p>
    <w:p>
      <w:pPr>
        <w:spacing w:after="0" w:line="230" w:lineRule="exact"/>
        <w:rPr>
          <w:rFonts w:ascii="Arial" w:cs="Arial" w:eastAsia="Arial" w:hAnsi="Arial"/>
          <w:sz w:val="22"/>
          <w:szCs w:val="22"/>
          <w:color w:val="auto"/>
        </w:rPr>
      </w:pPr>
    </w:p>
    <w:p>
      <w:pPr>
        <w:ind w:left="632" w:hanging="308"/>
        <w:spacing w:after="0"/>
        <w:tabs>
          <w:tab w:leader="none" w:pos="632"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No Claims of Sexual Harassment/Abuse</w:t>
      </w:r>
      <w:r>
        <w:rPr>
          <w:rFonts w:ascii="Arial" w:cs="Arial" w:eastAsia="Arial" w:hAnsi="Arial"/>
          <w:sz w:val="20"/>
          <w:szCs w:val="20"/>
          <w:color w:val="auto"/>
        </w:rPr>
        <w:t>. The Employee acknowledges that he has not made any claims or allegations</w:t>
      </w:r>
    </w:p>
    <w:p>
      <w:pPr>
        <w:spacing w:after="0" w:line="40" w:lineRule="exact"/>
        <w:rPr>
          <w:rFonts w:ascii="Arial" w:cs="Arial" w:eastAsia="Arial" w:hAnsi="Arial"/>
          <w:sz w:val="20"/>
          <w:szCs w:val="20"/>
          <w:color w:val="auto"/>
        </w:rPr>
      </w:pPr>
    </w:p>
    <w:p>
      <w:pPr>
        <w:ind w:left="652"/>
        <w:spacing w:after="0" w:line="289" w:lineRule="auto"/>
        <w:rPr>
          <w:rFonts w:ascii="Arial" w:cs="Arial" w:eastAsia="Arial" w:hAnsi="Arial"/>
          <w:sz w:val="20"/>
          <w:szCs w:val="20"/>
          <w:color w:val="auto"/>
        </w:rPr>
      </w:pPr>
      <w:r>
        <w:rPr>
          <w:rFonts w:ascii="Arial" w:cs="Arial" w:eastAsia="Arial" w:hAnsi="Arial"/>
          <w:sz w:val="20"/>
          <w:szCs w:val="20"/>
          <w:color w:val="auto"/>
        </w:rPr>
        <w:t>related to sexual harassment or sexual abuse and none of the payments set forth in this Agreement are related to sexual harassment or sexual abuse.</w:t>
      </w:r>
    </w:p>
    <w:p>
      <w:pPr>
        <w:spacing w:after="0" w:line="215" w:lineRule="exact"/>
        <w:rPr>
          <w:rFonts w:ascii="Arial" w:cs="Arial" w:eastAsia="Arial" w:hAnsi="Arial"/>
          <w:sz w:val="20"/>
          <w:szCs w:val="20"/>
          <w:color w:val="auto"/>
        </w:rPr>
      </w:pPr>
    </w:p>
    <w:p>
      <w:pPr>
        <w:jc w:val="both"/>
        <w:ind w:left="332" w:right="420" w:hanging="332"/>
        <w:spacing w:after="0" w:line="289" w:lineRule="auto"/>
        <w:tabs>
          <w:tab w:leader="none" w:pos="32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Confidentiality of Agreement</w:t>
      </w:r>
      <w:r>
        <w:rPr>
          <w:rFonts w:ascii="Arial" w:cs="Arial" w:eastAsia="Arial" w:hAnsi="Arial"/>
          <w:sz w:val="19"/>
          <w:szCs w:val="19"/>
          <w:color w:val="auto"/>
        </w:rPr>
        <w:t>. Unless compelled by law to do so, the Employee has not, and will not, disclose the fact of, terms and conditions of, or amounts in this Agreement to anyone other than his spouse, or domestic/civil union partner,</w:t>
      </w:r>
    </w:p>
    <w:p>
      <w:pPr>
        <w:jc w:val="both"/>
        <w:ind w:left="332" w:right="180"/>
        <w:spacing w:after="0" w:line="289" w:lineRule="auto"/>
        <w:rPr>
          <w:rFonts w:ascii="Arial" w:cs="Arial" w:eastAsia="Arial" w:hAnsi="Arial"/>
          <w:sz w:val="19"/>
          <w:szCs w:val="19"/>
          <w:color w:val="auto"/>
        </w:rPr>
      </w:pPr>
      <w:r>
        <w:rPr>
          <w:rFonts w:ascii="Arial" w:cs="Arial" w:eastAsia="Arial" w:hAnsi="Arial"/>
          <w:sz w:val="19"/>
          <w:szCs w:val="19"/>
          <w:color w:val="auto"/>
        </w:rPr>
        <w:t>legal, financial and tax advisor, or U.S. governmental officials who seek such information as part of their official duties. If a third party requests or demands that the Employee disclose or produce this Agreement or any terms or conditions in it, the</w:t>
      </w:r>
    </w:p>
    <w:p>
      <w:pPr>
        <w:ind w:left="332" w:right="360"/>
        <w:spacing w:after="0" w:line="289" w:lineRule="auto"/>
        <w:rPr>
          <w:rFonts w:ascii="Arial" w:cs="Arial" w:eastAsia="Arial" w:hAnsi="Arial"/>
          <w:sz w:val="19"/>
          <w:szCs w:val="19"/>
          <w:color w:val="auto"/>
        </w:rPr>
      </w:pPr>
      <w:r>
        <w:rPr>
          <w:rFonts w:ascii="Arial" w:cs="Arial" w:eastAsia="Arial" w:hAnsi="Arial"/>
          <w:sz w:val="20"/>
          <w:szCs w:val="20"/>
          <w:color w:val="auto"/>
        </w:rPr>
        <w:t>Employee will not take any action related to such request or subpoena without first notifying the Company and giving it a reasonable opportunity to respond.</w:t>
      </w:r>
    </w:p>
    <w:p>
      <w:pPr>
        <w:spacing w:after="0" w:line="215" w:lineRule="exact"/>
        <w:rPr>
          <w:rFonts w:ascii="Arial" w:cs="Arial" w:eastAsia="Arial" w:hAnsi="Arial"/>
          <w:sz w:val="19"/>
          <w:szCs w:val="19"/>
          <w:color w:val="auto"/>
        </w:rPr>
      </w:pPr>
    </w:p>
    <w:p>
      <w:pPr>
        <w:ind w:left="332" w:right="280" w:hanging="332"/>
        <w:spacing w:after="0" w:line="289" w:lineRule="auto"/>
        <w:tabs>
          <w:tab w:leader="none" w:pos="32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return for the consideration provided by this Agreement, the Employee, his/her heirs, assigns, and agents waive and release all waivable claims of any kind (whether known or unknown, and including those under the Age</w:t>
      </w:r>
    </w:p>
    <w:p>
      <w:pPr>
        <w:ind w:left="332" w:right="220"/>
        <w:spacing w:after="0" w:line="289" w:lineRule="auto"/>
        <w:rPr>
          <w:rFonts w:ascii="Arial" w:cs="Arial" w:eastAsia="Arial" w:hAnsi="Arial"/>
          <w:sz w:val="19"/>
          <w:szCs w:val="19"/>
          <w:color w:val="auto"/>
        </w:rPr>
      </w:pPr>
      <w:r>
        <w:rPr>
          <w:rFonts w:ascii="Arial" w:cs="Arial" w:eastAsia="Arial" w:hAnsi="Arial"/>
          <w:sz w:val="19"/>
          <w:szCs w:val="19"/>
          <w:color w:val="auto"/>
        </w:rPr>
        <w:t>Discrimination in Employment Act (ADEA, as amended)) that the Employee may have against Releasees (defined below), which arise from or relate to his/her employment and/or the termination of his/her employment with the Company or its</w:t>
      </w:r>
    </w:p>
    <w:p>
      <w:pPr>
        <w:ind w:left="332" w:right="180"/>
        <w:spacing w:after="0" w:line="289" w:lineRule="auto"/>
        <w:rPr>
          <w:rFonts w:ascii="Arial" w:cs="Arial" w:eastAsia="Arial" w:hAnsi="Arial"/>
          <w:sz w:val="19"/>
          <w:szCs w:val="19"/>
          <w:color w:val="auto"/>
        </w:rPr>
      </w:pPr>
      <w:r>
        <w:rPr>
          <w:rFonts w:ascii="Arial" w:cs="Arial" w:eastAsia="Arial" w:hAnsi="Arial"/>
          <w:sz w:val="19"/>
          <w:szCs w:val="19"/>
          <w:color w:val="auto"/>
        </w:rPr>
        <w:t>affiliates. The released/waived claims include, but are not limited to, any and all claims that Releasees discriminated, harassed or retaliated against the Employee on the basis of race, color, religion, national origin, sex (including pregnancy),</w:t>
      </w:r>
    </w:p>
    <w:p>
      <w:pPr>
        <w:jc w:val="both"/>
        <w:ind w:left="332" w:right="180"/>
        <w:spacing w:after="0" w:line="285" w:lineRule="auto"/>
        <w:rPr>
          <w:rFonts w:ascii="Arial" w:cs="Arial" w:eastAsia="Arial" w:hAnsi="Arial"/>
          <w:sz w:val="19"/>
          <w:szCs w:val="19"/>
          <w:color w:val="auto"/>
        </w:rPr>
      </w:pPr>
      <w:r>
        <w:rPr>
          <w:rFonts w:ascii="Arial" w:cs="Arial" w:eastAsia="Arial" w:hAnsi="Arial"/>
          <w:sz w:val="20"/>
          <w:szCs w:val="20"/>
          <w:color w:val="auto"/>
        </w:rPr>
        <w:t>sexual orientation, gender identity/expression, age, disability, veteran status or other characteristic or activity protected by law, violated any Company policies, procedures, covenants or express or implied contracts of any kind, violated any public policy, statutory or common law (including tort), or are in any way obligated to pay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92"/>
          </w:cols>
          <w:pgMar w:left="328" w:top="1418" w:right="379" w:bottom="1440" w:gutter="0" w:footer="0" w:header="0"/>
        </w:sectPr>
      </w:pPr>
    </w:p>
    <w:bookmarkStart w:id="50" w:name="page51"/>
    <w:bookmarkEnd w:id="50"/>
    <w:p>
      <w:pPr>
        <w:ind w:left="340" w:right="100"/>
        <w:spacing w:after="0" w:line="275" w:lineRule="auto"/>
        <w:rPr>
          <w:sz w:val="20"/>
          <w:szCs w:val="20"/>
          <w:color w:val="auto"/>
        </w:rPr>
      </w:pPr>
      <w:r>
        <w:rPr>
          <w:rFonts w:ascii="Arial" w:cs="Arial" w:eastAsia="Arial" w:hAnsi="Arial"/>
          <w:sz w:val="20"/>
          <w:szCs w:val="20"/>
          <w:color w:val="auto"/>
        </w:rPr>
        <w:t>wages, penalties, damages, expenses, costs or attorneys’ fees in relation to an alleged violation of any waivable local, state or federal law.</w:t>
      </w:r>
    </w:p>
    <w:p>
      <w:pPr>
        <w:spacing w:after="0" w:line="202" w:lineRule="exact"/>
        <w:rPr>
          <w:sz w:val="20"/>
          <w:szCs w:val="20"/>
          <w:color w:val="auto"/>
        </w:rPr>
      </w:pPr>
    </w:p>
    <w:p>
      <w:pPr>
        <w:ind w:left="340" w:right="260"/>
        <w:spacing w:after="0" w:line="278" w:lineRule="auto"/>
        <w:rPr>
          <w:sz w:val="20"/>
          <w:szCs w:val="20"/>
          <w:color w:val="auto"/>
        </w:rPr>
      </w:pPr>
      <w:r>
        <w:rPr>
          <w:rFonts w:ascii="Arial" w:cs="Arial" w:eastAsia="Arial" w:hAnsi="Arial"/>
          <w:sz w:val="20"/>
          <w:szCs w:val="20"/>
          <w:color w:val="auto"/>
        </w:rPr>
        <w:t>Releasees include the Company, its predecessors, successors and assigns, their current and former direct and indirect parents, affiliates, subsidiaries, divisions, and related business entities, and their current and former officers, directors, shareholders, employees, agents, representatives and employee benefit programs (including the trustees, administrators, fiduciaries and insurers of such programs). This Release does not waive: (a) any rights or claims that may arise after the date the Employee executes this Agreement; (b) any rights that cannot be lawfully released; (c) the Employee’s right to a defense and indemnity for any claims brought against him personally arising out of his employment with the Company, pursuant to all applicable insurance policies maintained by the Company and/or pursuant to the Company’s organizational documents; and (d) the Employee’s right to enforce this Agreement.</w:t>
      </w:r>
    </w:p>
    <w:p>
      <w:pPr>
        <w:spacing w:after="0" w:line="218" w:lineRule="exact"/>
        <w:rPr>
          <w:sz w:val="20"/>
          <w:szCs w:val="20"/>
          <w:color w:val="auto"/>
        </w:rPr>
      </w:pPr>
    </w:p>
    <w:p>
      <w:pPr>
        <w:ind w:left="340"/>
        <w:spacing w:after="0" w:line="303" w:lineRule="auto"/>
        <w:rPr>
          <w:sz w:val="20"/>
          <w:szCs w:val="20"/>
          <w:color w:val="auto"/>
        </w:rPr>
      </w:pPr>
      <w:r>
        <w:rPr>
          <w:rFonts w:ascii="Arial" w:cs="Arial" w:eastAsia="Arial" w:hAnsi="Arial"/>
          <w:sz w:val="20"/>
          <w:szCs w:val="20"/>
          <w:color w:val="auto"/>
        </w:rPr>
        <w:t>This Release does not modify or affect any vested benefits to which the Employee may be entitled under the terms of the GE HealthCare Retirement Savings Plan.</w:t>
      </w:r>
    </w:p>
    <w:p>
      <w:pPr>
        <w:spacing w:after="0" w:line="18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Providing Information to Government Agencies and Other Protected Activity</w:t>
      </w:r>
      <w:r>
        <w:rPr>
          <w:rFonts w:ascii="Arial" w:cs="Arial" w:eastAsia="Arial" w:hAnsi="Arial"/>
          <w:sz w:val="20"/>
          <w:szCs w:val="20"/>
          <w:color w:val="auto"/>
        </w:rPr>
        <w:t>. Nothing in this Agreement prevents or restricts</w:t>
      </w:r>
    </w:p>
    <w:p>
      <w:pPr>
        <w:spacing w:after="0" w:line="40" w:lineRule="exact"/>
        <w:rPr>
          <w:rFonts w:ascii="Arial" w:cs="Arial" w:eastAsia="Arial" w:hAnsi="Arial"/>
          <w:sz w:val="20"/>
          <w:szCs w:val="20"/>
          <w:color w:val="auto"/>
        </w:rPr>
      </w:pPr>
    </w:p>
    <w:p>
      <w:pPr>
        <w:ind w:left="340" w:right="60"/>
        <w:spacing w:after="0" w:line="289" w:lineRule="auto"/>
        <w:rPr>
          <w:rFonts w:ascii="Arial" w:cs="Arial" w:eastAsia="Arial" w:hAnsi="Arial"/>
          <w:sz w:val="20"/>
          <w:szCs w:val="20"/>
          <w:color w:val="auto"/>
        </w:rPr>
      </w:pPr>
      <w:r>
        <w:rPr>
          <w:rFonts w:ascii="Arial" w:cs="Arial" w:eastAsia="Arial" w:hAnsi="Arial"/>
          <w:sz w:val="19"/>
          <w:szCs w:val="19"/>
          <w:color w:val="auto"/>
        </w:rPr>
        <w:t>the Employee from filing a claim or charge with, reporting conduct to, providing truthful information to, or participating in an investigation or proceeding of a governmental agency, including any local, state or federal fair employment practices agency</w:t>
      </w:r>
    </w:p>
    <w:p>
      <w:pPr>
        <w:ind w:left="340" w:right="560"/>
        <w:spacing w:after="0" w:line="289" w:lineRule="auto"/>
        <w:rPr>
          <w:rFonts w:ascii="Arial" w:cs="Arial" w:eastAsia="Arial" w:hAnsi="Arial"/>
          <w:sz w:val="20"/>
          <w:szCs w:val="20"/>
          <w:color w:val="auto"/>
        </w:rPr>
      </w:pPr>
      <w:r>
        <w:rPr>
          <w:rFonts w:ascii="Arial" w:cs="Arial" w:eastAsia="Arial" w:hAnsi="Arial"/>
          <w:sz w:val="19"/>
          <w:szCs w:val="19"/>
          <w:color w:val="auto"/>
        </w:rPr>
        <w:t>(such as the Equal Employment Opportunity Commission), law enforcement authority, the Securities and Exchange Commission, the Department of Labor, the Department of Justice, Financial Industry Regulatory Authority, or any other</w:t>
      </w:r>
    </w:p>
    <w:p>
      <w:pPr>
        <w:jc w:val="both"/>
        <w:ind w:left="340" w:right="80"/>
        <w:spacing w:after="0" w:line="289" w:lineRule="auto"/>
        <w:rPr>
          <w:rFonts w:ascii="Arial" w:cs="Arial" w:eastAsia="Arial" w:hAnsi="Arial"/>
          <w:sz w:val="20"/>
          <w:szCs w:val="20"/>
          <w:color w:val="auto"/>
        </w:rPr>
      </w:pPr>
      <w:r>
        <w:rPr>
          <w:rFonts w:ascii="Arial" w:cs="Arial" w:eastAsia="Arial" w:hAnsi="Arial"/>
          <w:sz w:val="19"/>
          <w:szCs w:val="19"/>
          <w:color w:val="auto"/>
        </w:rPr>
        <w:t>government agency. However, by signing this Agreement, the Employee is waiving his rights to monetary, injunctive or other personal relief that may result from that process to the maximum extent permitted by law, provided however that this waiver</w:t>
      </w:r>
    </w:p>
    <w:p>
      <w:pPr>
        <w:ind w:left="340" w:right="1060"/>
        <w:spacing w:after="0" w:line="289" w:lineRule="auto"/>
        <w:rPr>
          <w:rFonts w:ascii="Arial" w:cs="Arial" w:eastAsia="Arial" w:hAnsi="Arial"/>
          <w:sz w:val="20"/>
          <w:szCs w:val="20"/>
          <w:color w:val="auto"/>
        </w:rPr>
      </w:pPr>
      <w:r>
        <w:rPr>
          <w:rFonts w:ascii="Arial" w:cs="Arial" w:eastAsia="Arial" w:hAnsi="Arial"/>
          <w:sz w:val="20"/>
          <w:szCs w:val="20"/>
          <w:color w:val="auto"/>
        </w:rPr>
        <w:t>shall not apply to participation in any investigation or proceeding conducted by the U.S. Securities and Exchange Commission or other agency that lawfully precludes such a waiver.</w:t>
      </w:r>
    </w:p>
    <w:p>
      <w:pPr>
        <w:spacing w:after="0" w:line="215" w:lineRule="exact"/>
        <w:rPr>
          <w:rFonts w:ascii="Arial" w:cs="Arial" w:eastAsia="Arial" w:hAnsi="Arial"/>
          <w:sz w:val="20"/>
          <w:szCs w:val="20"/>
          <w:color w:val="auto"/>
        </w:rPr>
      </w:pPr>
    </w:p>
    <w:p>
      <w:pPr>
        <w:ind w:left="340" w:right="300"/>
        <w:spacing w:after="0" w:line="289" w:lineRule="auto"/>
        <w:rPr>
          <w:rFonts w:ascii="Arial" w:cs="Arial" w:eastAsia="Arial" w:hAnsi="Arial"/>
          <w:sz w:val="20"/>
          <w:szCs w:val="20"/>
          <w:color w:val="auto"/>
        </w:rPr>
      </w:pPr>
      <w:r>
        <w:rPr>
          <w:rFonts w:ascii="Arial" w:cs="Arial" w:eastAsia="Arial" w:hAnsi="Arial"/>
          <w:sz w:val="19"/>
          <w:szCs w:val="19"/>
          <w:color w:val="auto"/>
        </w:rPr>
        <w:t>The Employee understands that this Agreement does not prohibit him from discussing his compensation with others. Nothing in this Agreement prevents or restricts the Employee from speaking with an attorney retained by the Employee or</w:t>
      </w:r>
    </w:p>
    <w:p>
      <w:pPr>
        <w:ind w:left="340" w:right="120"/>
        <w:spacing w:after="0" w:line="289" w:lineRule="auto"/>
        <w:rPr>
          <w:rFonts w:ascii="Arial" w:cs="Arial" w:eastAsia="Arial" w:hAnsi="Arial"/>
          <w:sz w:val="20"/>
          <w:szCs w:val="20"/>
          <w:color w:val="auto"/>
        </w:rPr>
      </w:pPr>
      <w:r>
        <w:rPr>
          <w:rFonts w:ascii="Arial" w:cs="Arial" w:eastAsia="Arial" w:hAnsi="Arial"/>
          <w:sz w:val="20"/>
          <w:szCs w:val="20"/>
          <w:color w:val="auto"/>
        </w:rPr>
        <w:t>from filing or disclosing any facts necessary to receive unemployment insurance, Medicaid, or other public benefits to which the Employee may be entitled.</w:t>
      </w:r>
    </w:p>
    <w:p>
      <w:pPr>
        <w:spacing w:after="0" w:line="215" w:lineRule="exact"/>
        <w:rPr>
          <w:rFonts w:ascii="Arial" w:cs="Arial" w:eastAsia="Arial" w:hAnsi="Arial"/>
          <w:sz w:val="20"/>
          <w:szCs w:val="20"/>
          <w:color w:val="auto"/>
        </w:rPr>
      </w:pPr>
    </w:p>
    <w:p>
      <w:pPr>
        <w:ind w:left="340" w:right="120" w:hanging="332"/>
        <w:spacing w:after="0" w:line="289" w:lineRule="auto"/>
        <w:tabs>
          <w:tab w:leader="none" w:pos="32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Employee Availability</w:t>
      </w:r>
      <w:r>
        <w:rPr>
          <w:rFonts w:ascii="Arial" w:cs="Arial" w:eastAsia="Arial" w:hAnsi="Arial"/>
          <w:sz w:val="19"/>
          <w:szCs w:val="19"/>
          <w:color w:val="auto"/>
        </w:rPr>
        <w:t>. The Employee agrees to make himself available at mutually convenient times and locations to the Company or its affiliates to respond to requests for information related to his employment with the Company. The Employee</w:t>
      </w:r>
    </w:p>
    <w:p>
      <w:pPr>
        <w:ind w:left="340"/>
        <w:spacing w:after="0" w:line="285" w:lineRule="auto"/>
        <w:rPr>
          <w:rFonts w:ascii="Arial" w:cs="Arial" w:eastAsia="Arial" w:hAnsi="Arial"/>
          <w:sz w:val="19"/>
          <w:szCs w:val="19"/>
          <w:color w:val="auto"/>
        </w:rPr>
      </w:pPr>
      <w:r>
        <w:rPr>
          <w:rFonts w:ascii="Arial" w:cs="Arial" w:eastAsia="Arial" w:hAnsi="Arial"/>
          <w:sz w:val="20"/>
          <w:szCs w:val="20"/>
          <w:color w:val="auto"/>
        </w:rPr>
        <w:t>will fully cooperate with the Company or its affiliates in connection with existing or future litigation or investigations brought by or against the Company or any Releasees, whether administrative, civil or criminal in nature. The Company will reimburse the Employee for reasonable out-of-pocket expenses he incurs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1" w:name="page52"/>
    <w:bookmarkEnd w:id="51"/>
    <w:p>
      <w:pPr>
        <w:ind w:left="652"/>
        <w:spacing w:after="0"/>
        <w:rPr>
          <w:sz w:val="20"/>
          <w:szCs w:val="20"/>
          <w:color w:val="auto"/>
        </w:rPr>
      </w:pPr>
      <w:r>
        <w:rPr>
          <w:rFonts w:ascii="Arial" w:cs="Arial" w:eastAsia="Arial" w:hAnsi="Arial"/>
          <w:sz w:val="20"/>
          <w:szCs w:val="20"/>
          <w:color w:val="auto"/>
        </w:rPr>
        <w:t>a result of such cooperation.</w:t>
      </w:r>
    </w:p>
    <w:p>
      <w:pPr>
        <w:spacing w:after="0" w:line="270" w:lineRule="exact"/>
        <w:rPr>
          <w:sz w:val="20"/>
          <w:szCs w:val="20"/>
          <w:color w:val="auto"/>
        </w:rPr>
      </w:pPr>
    </w:p>
    <w:p>
      <w:pPr>
        <w:jc w:val="both"/>
        <w:ind w:left="332" w:right="320" w:hanging="332"/>
        <w:spacing w:after="0" w:line="289" w:lineRule="auto"/>
        <w:tabs>
          <w:tab w:leader="none" w:pos="32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Employee agrees, subject to any obligations he may have under applicable law, that he will not make or cause to be made any statements or take any actions that disparage or in any way damage the reputation of the</w:t>
      </w:r>
    </w:p>
    <w:p>
      <w:pPr>
        <w:ind w:left="332" w:right="460"/>
        <w:spacing w:after="0" w:line="285" w:lineRule="auto"/>
        <w:rPr>
          <w:rFonts w:ascii="Arial" w:cs="Arial" w:eastAsia="Arial" w:hAnsi="Arial"/>
          <w:sz w:val="19"/>
          <w:szCs w:val="19"/>
          <w:color w:val="auto"/>
        </w:rPr>
      </w:pPr>
      <w:r>
        <w:rPr>
          <w:rFonts w:ascii="Arial" w:cs="Arial" w:eastAsia="Arial" w:hAnsi="Arial"/>
          <w:sz w:val="20"/>
          <w:szCs w:val="20"/>
          <w:color w:val="auto"/>
        </w:rPr>
        <w:t>Company or any of its affiliates, subsidiaries, agents, officers, directors or employees. The Employee understands that nothing in this paragraph prevents him from disclosing statements, of any nature, regarding possible violations of law or regulation to government agencies or authorities.</w:t>
      </w:r>
    </w:p>
    <w:p>
      <w:pPr>
        <w:spacing w:after="0" w:line="206" w:lineRule="exact"/>
        <w:rPr>
          <w:rFonts w:ascii="Arial" w:cs="Arial" w:eastAsia="Arial" w:hAnsi="Arial"/>
          <w:sz w:val="19"/>
          <w:szCs w:val="19"/>
          <w:color w:val="auto"/>
        </w:rPr>
      </w:pPr>
    </w:p>
    <w:p>
      <w:pPr>
        <w:ind w:left="312" w:hanging="312"/>
        <w:spacing w:after="0"/>
        <w:tabs>
          <w:tab w:leader="none" w:pos="31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Future Employment</w:t>
      </w:r>
      <w:r>
        <w:rPr>
          <w:rFonts w:ascii="Arial" w:cs="Arial" w:eastAsia="Arial" w:hAnsi="Arial"/>
          <w:sz w:val="20"/>
          <w:szCs w:val="20"/>
          <w:color w:val="auto"/>
        </w:rPr>
        <w:t>. The Company and its affiliates are not obligated to offer employment to the Employee (or to accept</w:t>
      </w:r>
    </w:p>
    <w:p>
      <w:pPr>
        <w:spacing w:after="0" w:line="40" w:lineRule="exact"/>
        <w:rPr>
          <w:rFonts w:ascii="Arial" w:cs="Arial" w:eastAsia="Arial" w:hAnsi="Arial"/>
          <w:sz w:val="20"/>
          <w:szCs w:val="20"/>
          <w:color w:val="auto"/>
        </w:rPr>
      </w:pPr>
    </w:p>
    <w:p>
      <w:pPr>
        <w:jc w:val="both"/>
        <w:ind w:left="332" w:right="380"/>
        <w:spacing w:after="0" w:line="289" w:lineRule="auto"/>
        <w:rPr>
          <w:rFonts w:ascii="Arial" w:cs="Arial" w:eastAsia="Arial" w:hAnsi="Arial"/>
          <w:sz w:val="20"/>
          <w:szCs w:val="20"/>
          <w:color w:val="auto"/>
        </w:rPr>
      </w:pPr>
      <w:r>
        <w:rPr>
          <w:rFonts w:ascii="Arial" w:cs="Arial" w:eastAsia="Arial" w:hAnsi="Arial"/>
          <w:sz w:val="19"/>
          <w:szCs w:val="19"/>
          <w:color w:val="auto"/>
        </w:rPr>
        <w:t>services or the performance of work from the Employee directly or indirectly) now or in the future. The Employee agrees never to knowingly seek employment with the Company or any of its subsidiaries or affiliated companies. However, if the</w:t>
      </w:r>
    </w:p>
    <w:p>
      <w:pPr>
        <w:ind w:left="332" w:right="40"/>
        <w:spacing w:after="0" w:line="289" w:lineRule="auto"/>
        <w:rPr>
          <w:rFonts w:ascii="Arial" w:cs="Arial" w:eastAsia="Arial" w:hAnsi="Arial"/>
          <w:sz w:val="20"/>
          <w:szCs w:val="20"/>
          <w:color w:val="auto"/>
        </w:rPr>
      </w:pPr>
      <w:r>
        <w:rPr>
          <w:rFonts w:ascii="Arial" w:cs="Arial" w:eastAsia="Arial" w:hAnsi="Arial"/>
          <w:sz w:val="20"/>
          <w:szCs w:val="20"/>
          <w:color w:val="auto"/>
        </w:rPr>
        <w:t>Employee is employed by an entity which merges with or is acquired by the Company, the Employee shall not be required to resign his employment.</w:t>
      </w:r>
    </w:p>
    <w:p>
      <w:pPr>
        <w:spacing w:after="0" w:line="215" w:lineRule="exact"/>
        <w:rPr>
          <w:rFonts w:ascii="Arial" w:cs="Arial" w:eastAsia="Arial" w:hAnsi="Arial"/>
          <w:sz w:val="20"/>
          <w:szCs w:val="20"/>
          <w:color w:val="auto"/>
        </w:rPr>
      </w:pPr>
    </w:p>
    <w:p>
      <w:pPr>
        <w:jc w:val="both"/>
        <w:ind w:left="332" w:right="460" w:hanging="332"/>
        <w:spacing w:after="0" w:line="289" w:lineRule="auto"/>
        <w:tabs>
          <w:tab w:leader="none" w:pos="32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The Employee agrees that he has, or will have, as of the Separation Date, returned to the Company all Company property or equipment in his possession, including but not limited to: any documents (whether in</w:t>
      </w:r>
    </w:p>
    <w:p>
      <w:pPr>
        <w:jc w:val="both"/>
        <w:ind w:left="332" w:right="20"/>
        <w:spacing w:after="0" w:line="307" w:lineRule="auto"/>
        <w:rPr>
          <w:rFonts w:ascii="Arial" w:cs="Arial" w:eastAsia="Arial" w:hAnsi="Arial"/>
          <w:sz w:val="19"/>
          <w:szCs w:val="19"/>
          <w:color w:val="auto"/>
        </w:rPr>
      </w:pPr>
      <w:r>
        <w:rPr>
          <w:rFonts w:ascii="Arial" w:cs="Arial" w:eastAsia="Arial" w:hAnsi="Arial"/>
          <w:sz w:val="19"/>
          <w:szCs w:val="19"/>
          <w:color w:val="auto"/>
        </w:rPr>
        <w:t>electronic or hard copy), computer, computer related hardware, external data storage or other memory device, phone, tablet, printer, scanner, credit card, keys, and security badge assigned to him. The Employee agrees that as of the Separation Date he will have submitted the appropriate T&amp;L expense reports for any expenses on his corporate credit card.</w:t>
      </w:r>
    </w:p>
    <w:p>
      <w:pPr>
        <w:spacing w:after="0" w:line="187" w:lineRule="exact"/>
        <w:rPr>
          <w:rFonts w:ascii="Arial" w:cs="Arial" w:eastAsia="Arial" w:hAnsi="Arial"/>
          <w:sz w:val="19"/>
          <w:szCs w:val="19"/>
          <w:color w:val="auto"/>
        </w:rPr>
      </w:pPr>
    </w:p>
    <w:p>
      <w:pPr>
        <w:ind w:left="312" w:hanging="312"/>
        <w:spacing w:after="0"/>
        <w:tabs>
          <w:tab w:leader="none" w:pos="31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Employee acknowledges and agrees that the Employee Innovation and Proprietary Information</w:t>
      </w:r>
    </w:p>
    <w:p>
      <w:pPr>
        <w:spacing w:after="0" w:line="51" w:lineRule="exact"/>
        <w:rPr>
          <w:rFonts w:ascii="Arial" w:cs="Arial" w:eastAsia="Arial" w:hAnsi="Arial"/>
          <w:sz w:val="19"/>
          <w:szCs w:val="19"/>
          <w:color w:val="auto"/>
        </w:rPr>
      </w:pPr>
    </w:p>
    <w:p>
      <w:pPr>
        <w:ind w:left="332" w:right="120"/>
        <w:spacing w:after="0" w:line="289" w:lineRule="auto"/>
        <w:rPr>
          <w:rFonts w:ascii="Arial" w:cs="Arial" w:eastAsia="Arial" w:hAnsi="Arial"/>
          <w:sz w:val="19"/>
          <w:szCs w:val="19"/>
          <w:color w:val="auto"/>
        </w:rPr>
      </w:pPr>
      <w:r>
        <w:rPr>
          <w:rFonts w:ascii="Arial" w:cs="Arial" w:eastAsia="Arial" w:hAnsi="Arial"/>
          <w:sz w:val="19"/>
          <w:szCs w:val="19"/>
          <w:color w:val="auto"/>
        </w:rPr>
        <w:t>Agreement (“EIPIA”) he signed will remain in full force and effect. The Employee understands that nothing herein prevents the Employee from disclosing a trade secret or other confidential and proprietary information of the Company or its affiliates</w:t>
      </w:r>
    </w:p>
    <w:p>
      <w:pPr>
        <w:ind w:left="332" w:right="60"/>
        <w:spacing w:after="0" w:line="289" w:lineRule="auto"/>
        <w:rPr>
          <w:rFonts w:ascii="Arial" w:cs="Arial" w:eastAsia="Arial" w:hAnsi="Arial"/>
          <w:sz w:val="19"/>
          <w:szCs w:val="19"/>
          <w:color w:val="auto"/>
        </w:rPr>
      </w:pPr>
      <w:r>
        <w:rPr>
          <w:rFonts w:ascii="Arial" w:cs="Arial" w:eastAsia="Arial" w:hAnsi="Arial"/>
          <w:sz w:val="19"/>
          <w:szCs w:val="19"/>
          <w:color w:val="auto"/>
        </w:rPr>
        <w:t>(“Confidential Information”) when reporting, in confidence, potential violations of law or regulation to U.S. government authorities, including but not limited to the Department of Justice and the Securities and Exchange Commission, or to a U.S.</w:t>
      </w:r>
    </w:p>
    <w:p>
      <w:pPr>
        <w:ind w:left="332" w:right="180"/>
        <w:spacing w:after="0" w:line="289" w:lineRule="auto"/>
        <w:rPr>
          <w:rFonts w:ascii="Arial" w:cs="Arial" w:eastAsia="Arial" w:hAnsi="Arial"/>
          <w:sz w:val="19"/>
          <w:szCs w:val="19"/>
          <w:color w:val="auto"/>
        </w:rPr>
      </w:pPr>
      <w:r>
        <w:rPr>
          <w:rFonts w:ascii="Arial" w:cs="Arial" w:eastAsia="Arial" w:hAnsi="Arial"/>
          <w:sz w:val="19"/>
          <w:szCs w:val="19"/>
          <w:color w:val="auto"/>
        </w:rPr>
        <w:t>court. However, any and all Covered Claims (as defined in the Company ADR procedure) are subject to, and must be brought consistent with, the terms of the Company ADR procedure (see paragraph 2.e.). The Employee represents that he</w:t>
      </w:r>
    </w:p>
    <w:p>
      <w:pPr>
        <w:ind w:left="332" w:right="460"/>
        <w:spacing w:after="0" w:line="289" w:lineRule="auto"/>
        <w:rPr>
          <w:rFonts w:ascii="Arial" w:cs="Arial" w:eastAsia="Arial" w:hAnsi="Arial"/>
          <w:sz w:val="19"/>
          <w:szCs w:val="19"/>
          <w:color w:val="auto"/>
        </w:rPr>
      </w:pPr>
      <w:r>
        <w:rPr>
          <w:rFonts w:ascii="Arial" w:cs="Arial" w:eastAsia="Arial" w:hAnsi="Arial"/>
          <w:sz w:val="19"/>
          <w:szCs w:val="19"/>
          <w:color w:val="auto"/>
        </w:rPr>
        <w:t>has not and will not copy, transfer or take any GE HealthCare Confidential Information to any external storage device, external personal email or disclose in any other manner without written approval by his Manager or Company HRM. GE</w:t>
      </w:r>
    </w:p>
    <w:p>
      <w:pPr>
        <w:jc w:val="both"/>
        <w:ind w:left="332" w:right="480"/>
        <w:spacing w:after="0" w:line="289" w:lineRule="auto"/>
        <w:rPr>
          <w:rFonts w:ascii="Arial" w:cs="Arial" w:eastAsia="Arial" w:hAnsi="Arial"/>
          <w:sz w:val="19"/>
          <w:szCs w:val="19"/>
          <w:color w:val="auto"/>
        </w:rPr>
      </w:pPr>
      <w:r>
        <w:rPr>
          <w:rFonts w:ascii="Arial" w:cs="Arial" w:eastAsia="Arial" w:hAnsi="Arial"/>
          <w:sz w:val="19"/>
          <w:szCs w:val="19"/>
          <w:color w:val="auto"/>
        </w:rPr>
        <w:t>HealthCare Confidential Information includes but is not limited to documents and data containing work product that the Employee or others prepared for the Company or its affiliates during his employment. Confidential Information does not</w:t>
      </w:r>
    </w:p>
    <w:p>
      <w:pPr>
        <w:ind w:left="332" w:right="440"/>
        <w:spacing w:after="0" w:line="289" w:lineRule="auto"/>
        <w:rPr>
          <w:rFonts w:ascii="Arial" w:cs="Arial" w:eastAsia="Arial" w:hAnsi="Arial"/>
          <w:sz w:val="19"/>
          <w:szCs w:val="19"/>
          <w:color w:val="auto"/>
        </w:rPr>
      </w:pPr>
      <w:r>
        <w:rPr>
          <w:rFonts w:ascii="Arial" w:cs="Arial" w:eastAsia="Arial" w:hAnsi="Arial"/>
          <w:sz w:val="19"/>
          <w:szCs w:val="19"/>
          <w:color w:val="auto"/>
        </w:rPr>
        <w:t>include materials of a solely personal or social nature or documents that relate to Company-provided compensation or benefits received by the Employee or his dependents. If the Employee has any questions regarding what he can/cannot</w:t>
      </w:r>
    </w:p>
    <w:p>
      <w:pPr>
        <w:ind w:left="332" w:right="160"/>
        <w:spacing w:after="0" w:line="289" w:lineRule="auto"/>
        <w:rPr>
          <w:rFonts w:ascii="Arial" w:cs="Arial" w:eastAsia="Arial" w:hAnsi="Arial"/>
          <w:sz w:val="19"/>
          <w:szCs w:val="19"/>
          <w:color w:val="auto"/>
        </w:rPr>
      </w:pPr>
      <w:r>
        <w:rPr>
          <w:rFonts w:ascii="Arial" w:cs="Arial" w:eastAsia="Arial" w:hAnsi="Arial"/>
          <w:sz w:val="20"/>
          <w:szCs w:val="20"/>
          <w:color w:val="auto"/>
        </w:rPr>
        <w:t>copy, transfer or take, he will raise those questions to his Manager or Company HRM prior to signing this Agreement. If the Employee has previously copied, transferred or taken Confidential Information, he will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12"/>
          </w:cols>
          <w:pgMar w:left="328" w:top="1418" w:right="359" w:bottom="1440" w:gutter="0" w:footer="0" w:header="0"/>
        </w:sectPr>
      </w:pPr>
    </w:p>
    <w:bookmarkStart w:id="52" w:name="page53"/>
    <w:bookmarkEnd w:id="52"/>
    <w:p>
      <w:pPr>
        <w:ind w:left="332" w:right="40"/>
        <w:spacing w:after="0" w:line="275" w:lineRule="auto"/>
        <w:rPr>
          <w:sz w:val="20"/>
          <w:szCs w:val="20"/>
          <w:color w:val="auto"/>
        </w:rPr>
      </w:pPr>
      <w:r>
        <w:rPr>
          <w:rFonts w:ascii="Arial" w:cs="Arial" w:eastAsia="Arial" w:hAnsi="Arial"/>
          <w:sz w:val="20"/>
          <w:szCs w:val="20"/>
          <w:color w:val="auto"/>
        </w:rPr>
        <w:t>tell the Company, permit the Company to retrieve such information in a forensically sound manner, and allow and/or assist the Company, or its designee, to permanently delete the data from his personal computer or other storage.</w:t>
      </w:r>
    </w:p>
    <w:p>
      <w:pPr>
        <w:spacing w:after="0" w:line="202" w:lineRule="exact"/>
        <w:rPr>
          <w:sz w:val="20"/>
          <w:szCs w:val="20"/>
          <w:color w:val="auto"/>
        </w:rPr>
      </w:pPr>
    </w:p>
    <w:p>
      <w:pPr>
        <w:ind w:left="332" w:right="580"/>
        <w:spacing w:after="0" w:line="280" w:lineRule="auto"/>
        <w:rPr>
          <w:sz w:val="20"/>
          <w:szCs w:val="20"/>
          <w:color w:val="auto"/>
        </w:rPr>
      </w:pPr>
      <w:r>
        <w:rPr>
          <w:rFonts w:ascii="Arial" w:cs="Arial" w:eastAsia="Arial" w:hAnsi="Arial"/>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57" w:lineRule="exact"/>
        <w:rPr>
          <w:sz w:val="20"/>
          <w:szCs w:val="20"/>
          <w:color w:val="auto"/>
        </w:rPr>
      </w:pPr>
    </w:p>
    <w:p>
      <w:pPr>
        <w:ind w:left="292" w:hanging="292"/>
        <w:spacing w:after="0"/>
        <w:tabs>
          <w:tab w:leader="none" w:pos="29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The Employee agrees that up until the Separation Date and continuing for one year following that date, he</w:t>
      </w:r>
    </w:p>
    <w:p>
      <w:pPr>
        <w:spacing w:after="0" w:line="40" w:lineRule="exact"/>
        <w:rPr>
          <w:rFonts w:ascii="Arial" w:cs="Arial" w:eastAsia="Arial" w:hAnsi="Arial"/>
          <w:sz w:val="20"/>
          <w:szCs w:val="20"/>
          <w:color w:val="auto"/>
        </w:rPr>
      </w:pPr>
    </w:p>
    <w:p>
      <w:pPr>
        <w:ind w:left="332"/>
        <w:spacing w:after="0"/>
        <w:rPr>
          <w:rFonts w:ascii="Arial" w:cs="Arial" w:eastAsia="Arial" w:hAnsi="Arial"/>
          <w:sz w:val="20"/>
          <w:szCs w:val="20"/>
          <w:color w:val="auto"/>
        </w:rPr>
      </w:pPr>
      <w:r>
        <w:rPr>
          <w:rFonts w:ascii="Arial" w:cs="Arial" w:eastAsia="Arial" w:hAnsi="Arial"/>
          <w:sz w:val="20"/>
          <w:szCs w:val="20"/>
          <w:color w:val="auto"/>
        </w:rPr>
        <w:t>will not, without prior written approval from the Senior Human Resources Manager of his/her Company business segment:</w:t>
      </w:r>
    </w:p>
    <w:p>
      <w:pPr>
        <w:spacing w:after="0" w:line="26" w:lineRule="exact"/>
        <w:rPr>
          <w:rFonts w:ascii="Arial" w:cs="Arial" w:eastAsia="Arial" w:hAnsi="Arial"/>
          <w:sz w:val="20"/>
          <w:szCs w:val="20"/>
          <w:color w:val="auto"/>
        </w:rPr>
      </w:pPr>
    </w:p>
    <w:p>
      <w:pPr>
        <w:ind w:left="332"/>
        <w:spacing w:after="0"/>
        <w:rPr>
          <w:rFonts w:ascii="Arial" w:cs="Arial" w:eastAsia="Arial" w:hAnsi="Arial"/>
          <w:sz w:val="20"/>
          <w:szCs w:val="20"/>
          <w:color w:val="auto"/>
        </w:rPr>
      </w:pPr>
      <w:r>
        <w:rPr>
          <w:rFonts w:ascii="Arial" w:cs="Arial" w:eastAsia="Arial" w:hAnsi="Arial"/>
          <w:sz w:val="20"/>
          <w:szCs w:val="20"/>
          <w:color w:val="auto"/>
        </w:rPr>
        <w:t>(a) whether on his own behalf or in conjunction with any other person or third party, directly or indirectly solicit or encourage</w:t>
      </w:r>
    </w:p>
    <w:p>
      <w:pPr>
        <w:spacing w:after="0" w:line="40" w:lineRule="exact"/>
        <w:rPr>
          <w:rFonts w:ascii="Arial" w:cs="Arial" w:eastAsia="Arial" w:hAnsi="Arial"/>
          <w:sz w:val="20"/>
          <w:szCs w:val="20"/>
          <w:color w:val="auto"/>
        </w:rPr>
      </w:pPr>
    </w:p>
    <w:p>
      <w:pPr>
        <w:ind w:left="332" w:right="360"/>
        <w:spacing w:after="0" w:line="289" w:lineRule="auto"/>
        <w:rPr>
          <w:rFonts w:ascii="Arial" w:cs="Arial" w:eastAsia="Arial" w:hAnsi="Arial"/>
          <w:sz w:val="20"/>
          <w:szCs w:val="20"/>
          <w:color w:val="auto"/>
        </w:rPr>
      </w:pPr>
      <w:r>
        <w:rPr>
          <w:rFonts w:ascii="Arial" w:cs="Arial" w:eastAsia="Arial" w:hAnsi="Arial"/>
          <w:sz w:val="19"/>
          <w:szCs w:val="19"/>
          <w:color w:val="auto"/>
        </w:rPr>
        <w:t>any person who is a Lead Professional Band or higher employee of the Company or its affiliates (hereinafter “Restricted Person”) to terminate his employment relationship with, or accept any other employment outside of, the Company and its</w:t>
      </w:r>
    </w:p>
    <w:p>
      <w:pPr>
        <w:jc w:val="both"/>
        <w:ind w:left="332" w:right="240"/>
        <w:spacing w:after="0" w:line="289" w:lineRule="auto"/>
        <w:rPr>
          <w:rFonts w:ascii="Arial" w:cs="Arial" w:eastAsia="Arial" w:hAnsi="Arial"/>
          <w:sz w:val="20"/>
          <w:szCs w:val="20"/>
          <w:color w:val="auto"/>
        </w:rPr>
      </w:pPr>
      <w:r>
        <w:rPr>
          <w:rFonts w:ascii="Arial" w:cs="Arial" w:eastAsia="Arial" w:hAnsi="Arial"/>
          <w:sz w:val="19"/>
          <w:szCs w:val="19"/>
          <w:color w:val="auto"/>
        </w:rPr>
        <w:t>affiliates; (b) directly hire, or recommend or cause to be hired by an entity for which the Employee works, or with which the Employee is otherwise associated or owns more than a 1% ownership interest, any person who is, or was within one year</w:t>
      </w:r>
    </w:p>
    <w:p>
      <w:pPr>
        <w:ind w:left="332" w:right="140"/>
        <w:spacing w:after="0" w:line="289" w:lineRule="auto"/>
        <w:rPr>
          <w:rFonts w:ascii="Arial" w:cs="Arial" w:eastAsia="Arial" w:hAnsi="Arial"/>
          <w:sz w:val="20"/>
          <w:szCs w:val="20"/>
          <w:color w:val="auto"/>
        </w:rPr>
      </w:pPr>
      <w:r>
        <w:rPr>
          <w:rFonts w:ascii="Arial" w:cs="Arial" w:eastAsia="Arial" w:hAnsi="Arial"/>
          <w:sz w:val="19"/>
          <w:szCs w:val="19"/>
          <w:color w:val="auto"/>
        </w:rPr>
        <w:t>before or after the Separation Date, a Restricted Person; or (c) provide any non-public information regarding any Restricted Person, including, but not limited to, compensation data, performance evaluations, skill sets or qualifications, etc., to any</w:t>
      </w:r>
    </w:p>
    <w:p>
      <w:pPr>
        <w:jc w:val="both"/>
        <w:ind w:left="332"/>
        <w:spacing w:after="0" w:line="285" w:lineRule="auto"/>
        <w:rPr>
          <w:rFonts w:ascii="Arial" w:cs="Arial" w:eastAsia="Arial" w:hAnsi="Arial"/>
          <w:sz w:val="20"/>
          <w:szCs w:val="20"/>
          <w:color w:val="auto"/>
        </w:rPr>
      </w:pPr>
      <w:r>
        <w:rPr>
          <w:rFonts w:ascii="Arial" w:cs="Arial" w:eastAsia="Arial" w:hAnsi="Arial"/>
          <w:sz w:val="20"/>
          <w:szCs w:val="20"/>
          <w:color w:val="auto"/>
        </w:rPr>
        <w:t>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206" w:lineRule="exact"/>
        <w:rPr>
          <w:rFonts w:ascii="Arial" w:cs="Arial" w:eastAsia="Arial" w:hAnsi="Arial"/>
          <w:sz w:val="20"/>
          <w:szCs w:val="20"/>
          <w:color w:val="auto"/>
        </w:rPr>
      </w:pPr>
    </w:p>
    <w:p>
      <w:pPr>
        <w:ind w:left="332" w:right="20" w:hanging="332"/>
        <w:spacing w:after="0" w:line="303" w:lineRule="auto"/>
        <w:tabs>
          <w:tab w:leader="none" w:pos="32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The Employee agrees that the existing Non-Competition agreement to which he is a party shall continue in full force and effect.</w:t>
      </w:r>
    </w:p>
    <w:p>
      <w:pPr>
        <w:spacing w:after="0" w:line="188" w:lineRule="exact"/>
        <w:rPr>
          <w:rFonts w:ascii="Arial" w:cs="Arial" w:eastAsia="Arial" w:hAnsi="Arial"/>
          <w:sz w:val="20"/>
          <w:szCs w:val="20"/>
          <w:color w:val="auto"/>
        </w:rPr>
      </w:pPr>
    </w:p>
    <w:p>
      <w:pPr>
        <w:ind w:left="312" w:hanging="312"/>
        <w:spacing w:after="0"/>
        <w:tabs>
          <w:tab w:leader="none" w:pos="31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Breach by Employee</w:t>
      </w:r>
      <w:r>
        <w:rPr>
          <w:rFonts w:ascii="Arial" w:cs="Arial" w:eastAsia="Arial" w:hAnsi="Arial"/>
          <w:sz w:val="20"/>
          <w:szCs w:val="20"/>
          <w:color w:val="auto"/>
        </w:rPr>
        <w:t>. The Company’s obligations to the Employee after the Effective Date are contingent on the Employee</w:t>
      </w:r>
    </w:p>
    <w:p>
      <w:pPr>
        <w:spacing w:after="0" w:line="40" w:lineRule="exact"/>
        <w:rPr>
          <w:rFonts w:ascii="Arial" w:cs="Arial" w:eastAsia="Arial" w:hAnsi="Arial"/>
          <w:sz w:val="20"/>
          <w:szCs w:val="20"/>
          <w:color w:val="auto"/>
        </w:rPr>
      </w:pPr>
    </w:p>
    <w:p>
      <w:pPr>
        <w:ind w:left="332" w:right="40"/>
        <w:spacing w:after="0" w:line="289" w:lineRule="auto"/>
        <w:rPr>
          <w:rFonts w:ascii="Arial" w:cs="Arial" w:eastAsia="Arial" w:hAnsi="Arial"/>
          <w:sz w:val="20"/>
          <w:szCs w:val="20"/>
          <w:color w:val="auto"/>
        </w:rPr>
      </w:pPr>
      <w:r>
        <w:rPr>
          <w:rFonts w:ascii="Arial" w:cs="Arial" w:eastAsia="Arial" w:hAnsi="Arial"/>
          <w:sz w:val="19"/>
          <w:szCs w:val="19"/>
          <w:color w:val="auto"/>
        </w:rPr>
        <w:t>fulfilling his obligations under this Agreement. Employee acknowledges and agrees that any breach by him of the obligations under this Agreement inevitably would cause substantial and irreparable damage to the Company and/or other Releasees</w:t>
      </w:r>
    </w:p>
    <w:p>
      <w:pPr>
        <w:ind w:left="332" w:right="20"/>
        <w:spacing w:after="0" w:line="289" w:lineRule="auto"/>
        <w:rPr>
          <w:rFonts w:ascii="Arial" w:cs="Arial" w:eastAsia="Arial" w:hAnsi="Arial"/>
          <w:sz w:val="20"/>
          <w:szCs w:val="20"/>
          <w:color w:val="auto"/>
        </w:rPr>
      </w:pPr>
      <w:r>
        <w:rPr>
          <w:rFonts w:ascii="Arial" w:cs="Arial" w:eastAsia="Arial" w:hAnsi="Arial"/>
          <w:sz w:val="19"/>
          <w:szCs w:val="19"/>
          <w:color w:val="auto"/>
        </w:rPr>
        <w:t>for which money damages may not be an adequate remedy. Accordingly, the Employee acknowledges and agrees that the Company will be entitled to an injunction and/or other equitable relief, without the necessity of posting security, to prevent the</w:t>
      </w:r>
    </w:p>
    <w:p>
      <w:pPr>
        <w:jc w:val="both"/>
        <w:ind w:left="332" w:right="320"/>
        <w:spacing w:after="0" w:line="289" w:lineRule="auto"/>
        <w:rPr>
          <w:rFonts w:ascii="Arial" w:cs="Arial" w:eastAsia="Arial" w:hAnsi="Arial"/>
          <w:sz w:val="20"/>
          <w:szCs w:val="20"/>
          <w:color w:val="auto"/>
        </w:rPr>
      </w:pPr>
      <w:r>
        <w:rPr>
          <w:rFonts w:ascii="Arial" w:cs="Arial" w:eastAsia="Arial" w:hAnsi="Arial"/>
          <w:sz w:val="19"/>
          <w:szCs w:val="19"/>
          <w:color w:val="auto"/>
        </w:rPr>
        <w:t>breach of such obligations. If the Company proves a breach in court or arbitration, the Employee shall indemnify and hold the Company harmless from any loss, claim or damages, including without limitation all reasonable attorneys’ fees, costs</w:t>
      </w:r>
    </w:p>
    <w:p>
      <w:pPr>
        <w:ind w:left="332" w:right="260"/>
        <w:spacing w:after="0" w:line="289" w:lineRule="auto"/>
        <w:rPr>
          <w:rFonts w:ascii="Arial" w:cs="Arial" w:eastAsia="Arial" w:hAnsi="Arial"/>
          <w:sz w:val="20"/>
          <w:szCs w:val="20"/>
          <w:color w:val="auto"/>
        </w:rPr>
      </w:pPr>
      <w:r>
        <w:rPr>
          <w:rFonts w:ascii="Arial" w:cs="Arial" w:eastAsia="Arial" w:hAnsi="Arial"/>
          <w:sz w:val="20"/>
          <w:szCs w:val="20"/>
          <w:color w:val="auto"/>
        </w:rPr>
        <w:t>and expenses incurred in enforcing its rights under this Agreement as well as repay all compensation and benefits paid as consideration under the terms of this Agreement, except to the extent that such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32"/>
          </w:cols>
          <w:pgMar w:left="328" w:top="1418" w:right="339" w:bottom="1440" w:gutter="0" w:footer="0" w:header="0"/>
        </w:sectPr>
      </w:pPr>
    </w:p>
    <w:bookmarkStart w:id="53" w:name="page54"/>
    <w:bookmarkEnd w:id="53"/>
    <w:p>
      <w:pPr>
        <w:ind w:left="332"/>
        <w:spacing w:after="0" w:line="268" w:lineRule="auto"/>
        <w:rPr>
          <w:sz w:val="20"/>
          <w:szCs w:val="20"/>
          <w:color w:val="auto"/>
        </w:rPr>
      </w:pPr>
      <w:r>
        <w:rPr>
          <w:rFonts w:ascii="Arial" w:cs="Arial" w:eastAsia="Arial" w:hAnsi="Arial"/>
          <w:sz w:val="19"/>
          <w:szCs w:val="19"/>
          <w:color w:val="auto"/>
        </w:rPr>
        <w:t>reimbursement is prohibited by law or would result in the invalidation of the release above. The remedy under this paragraph is not exclusive and shall not limit any right of the Company under applicable law including (but not limited to) a remedy under Section 10D of the Securities Exchange Act of 1934, as amended, any applicable rules or regulations promulgated by the Securities and Exchange Commission or any national securities exchange or national securities association on which shares of the Company may be traded, and/or any Company policy adopted with respect to compensation recoupment.</w:t>
      </w:r>
    </w:p>
    <w:p>
      <w:pPr>
        <w:spacing w:after="0" w:line="225" w:lineRule="exact"/>
        <w:rPr>
          <w:sz w:val="20"/>
          <w:szCs w:val="20"/>
          <w:color w:val="auto"/>
        </w:rPr>
      </w:pPr>
    </w:p>
    <w:p>
      <w:pPr>
        <w:ind w:left="332" w:right="80"/>
        <w:spacing w:after="0" w:line="280" w:lineRule="auto"/>
        <w:rPr>
          <w:sz w:val="20"/>
          <w:szCs w:val="20"/>
          <w:color w:val="auto"/>
        </w:rPr>
      </w:pPr>
      <w:r>
        <w:rPr>
          <w:rFonts w:ascii="Arial" w:cs="Arial" w:eastAsia="Arial" w:hAnsi="Arial"/>
          <w:sz w:val="20"/>
          <w:szCs w:val="20"/>
          <w:color w:val="auto"/>
        </w:rPr>
        <w:t>In addition to the other terms of this Agreement, an Employee will be in breach of this Agreement if he is found by a court of competent jurisdiction or an arbitrator to have engaged in conduct that: i) occurred after the Separation Date that results in (or has the potential to cause) material harm financially, reputationally, or otherwise to the Company or any Releasee or; ii) occurred prior to the Separation Date and would give rise to a termination for Cause (as defined below), regardless of whether such conduct is discovered before or after the Separation Date.</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20"/>
          <w:szCs w:val="20"/>
          <w:color w:val="auto"/>
        </w:rPr>
        <w:t>A termination for “Cause” means the Employee’s:</w:t>
      </w:r>
    </w:p>
    <w:p>
      <w:pPr>
        <w:spacing w:after="0" w:line="229" w:lineRule="exact"/>
        <w:rPr>
          <w:sz w:val="20"/>
          <w:szCs w:val="20"/>
          <w:color w:val="auto"/>
        </w:rPr>
      </w:pPr>
    </w:p>
    <w:p>
      <w:pPr>
        <w:ind w:left="652" w:right="100" w:hanging="328"/>
        <w:spacing w:after="0" w:line="223" w:lineRule="auto"/>
        <w:tabs>
          <w:tab w:leader="none" w:pos="748" w:val="left"/>
        </w:tabs>
        <w:numPr>
          <w:ilvl w:val="1"/>
          <w:numId w:val="47"/>
        </w:numPr>
        <w:rPr>
          <w:rFonts w:ascii="Arial" w:cs="Arial" w:eastAsia="Arial" w:hAnsi="Arial"/>
          <w:sz w:val="18"/>
          <w:szCs w:val="18"/>
          <w:color w:val="auto"/>
        </w:rPr>
      </w:pPr>
      <w:r>
        <w:rPr>
          <w:rFonts w:ascii="Arial" w:cs="Arial" w:eastAsia="Arial" w:hAnsi="Arial"/>
          <w:sz w:val="20"/>
          <w:szCs w:val="20"/>
          <w:color w:val="auto"/>
        </w:rPr>
        <w:t>breach of the EIPIA or any other confidentiality, non-solicitation, or valid non-competition agreement with the Company or its affiliate or breach of a material term of any other agreement between the Employee and the Company or its affiliate;</w:t>
      </w:r>
    </w:p>
    <w:p>
      <w:pPr>
        <w:spacing w:after="0" w:line="168" w:lineRule="exact"/>
        <w:rPr>
          <w:rFonts w:ascii="Arial" w:cs="Arial" w:eastAsia="Arial" w:hAnsi="Arial"/>
          <w:sz w:val="18"/>
          <w:szCs w:val="18"/>
          <w:color w:val="auto"/>
        </w:rPr>
      </w:pPr>
    </w:p>
    <w:p>
      <w:pPr>
        <w:ind w:left="652" w:right="740" w:hanging="328"/>
        <w:spacing w:after="0" w:line="236" w:lineRule="auto"/>
        <w:tabs>
          <w:tab w:leader="none" w:pos="79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engagement in conduct that results in, or has the potential to cause, material harm financially, reputationally, or otherwise to the Company or any Releasee;</w:t>
      </w:r>
    </w:p>
    <w:p>
      <w:pPr>
        <w:spacing w:after="0" w:line="155" w:lineRule="exact"/>
        <w:rPr>
          <w:rFonts w:ascii="Arial" w:cs="Arial" w:eastAsia="Arial" w:hAnsi="Arial"/>
          <w:sz w:val="20"/>
          <w:szCs w:val="20"/>
          <w:color w:val="auto"/>
        </w:rPr>
      </w:pPr>
    </w:p>
    <w:p>
      <w:pPr>
        <w:ind w:left="792" w:hanging="468"/>
        <w:spacing w:after="0"/>
        <w:tabs>
          <w:tab w:leader="none" w:pos="792" w:val="left"/>
        </w:tabs>
        <w:numPr>
          <w:ilvl w:val="1"/>
          <w:numId w:val="47"/>
        </w:numPr>
        <w:rPr>
          <w:rFonts w:ascii="Arial" w:cs="Arial" w:eastAsia="Arial" w:hAnsi="Arial"/>
          <w:sz w:val="20"/>
          <w:szCs w:val="20"/>
          <w:color w:val="auto"/>
        </w:rPr>
      </w:pPr>
      <w:r>
        <w:rPr>
          <w:rFonts w:ascii="Arial" w:cs="Arial" w:eastAsia="Arial" w:hAnsi="Arial"/>
          <w:sz w:val="20"/>
          <w:szCs w:val="20"/>
          <w:color w:val="auto"/>
        </w:rPr>
        <w:t>commission of an act of dishonesty, fraud, embezzlement or theft;</w:t>
      </w:r>
    </w:p>
    <w:p>
      <w:pPr>
        <w:spacing w:after="0" w:line="188" w:lineRule="exact"/>
        <w:rPr>
          <w:rFonts w:ascii="Arial" w:cs="Arial" w:eastAsia="Arial" w:hAnsi="Arial"/>
          <w:sz w:val="20"/>
          <w:szCs w:val="20"/>
          <w:color w:val="auto"/>
        </w:rPr>
      </w:pPr>
    </w:p>
    <w:p>
      <w:pPr>
        <w:ind w:left="792" w:hanging="468"/>
        <w:spacing w:after="0"/>
        <w:tabs>
          <w:tab w:leader="none" w:pos="792" w:val="left"/>
        </w:tabs>
        <w:numPr>
          <w:ilvl w:val="1"/>
          <w:numId w:val="47"/>
        </w:numPr>
        <w:rPr>
          <w:rFonts w:ascii="Arial" w:cs="Arial" w:eastAsia="Arial" w:hAnsi="Arial"/>
          <w:sz w:val="20"/>
          <w:szCs w:val="20"/>
          <w:color w:val="auto"/>
        </w:rPr>
      </w:pPr>
      <w:r>
        <w:rPr>
          <w:rFonts w:ascii="Arial" w:cs="Arial" w:eastAsia="Arial" w:hAnsi="Arial"/>
          <w:sz w:val="20"/>
          <w:szCs w:val="20"/>
          <w:color w:val="auto"/>
        </w:rPr>
        <w:t>conviction of, or plea of guilty or no contest to a felony or crime involving moral turpitude; or</w:t>
      </w:r>
    </w:p>
    <w:p>
      <w:pPr>
        <w:spacing w:after="0" w:line="188" w:lineRule="exact"/>
        <w:rPr>
          <w:rFonts w:ascii="Arial" w:cs="Arial" w:eastAsia="Arial" w:hAnsi="Arial"/>
          <w:sz w:val="20"/>
          <w:szCs w:val="20"/>
          <w:color w:val="auto"/>
        </w:rPr>
      </w:pPr>
    </w:p>
    <w:p>
      <w:pPr>
        <w:ind w:left="652" w:right="60" w:hanging="328"/>
        <w:spacing w:after="0" w:line="229" w:lineRule="auto"/>
        <w:tabs>
          <w:tab w:leader="none" w:pos="790" w:val="left"/>
        </w:tabs>
        <w:numPr>
          <w:ilvl w:val="1"/>
          <w:numId w:val="47"/>
        </w:numPr>
        <w:rPr>
          <w:rFonts w:ascii="Arial" w:cs="Arial" w:eastAsia="Arial" w:hAnsi="Arial"/>
          <w:sz w:val="20"/>
          <w:szCs w:val="20"/>
          <w:color w:val="auto"/>
        </w:rPr>
      </w:pPr>
      <w:r>
        <w:rPr>
          <w:rFonts w:ascii="Arial" w:cs="Arial" w:eastAsia="Arial" w:hAnsi="Arial"/>
          <w:sz w:val="20"/>
          <w:szCs w:val="20"/>
          <w:color w:val="auto"/>
        </w:rPr>
        <w:t>failure to comply with the Company’s or its affiliate’s policies and procedures, including but not limited to The Spirit and Letter.</w:t>
      </w:r>
    </w:p>
    <w:p>
      <w:pPr>
        <w:spacing w:after="0" w:line="222" w:lineRule="exact"/>
        <w:rPr>
          <w:rFonts w:ascii="Arial" w:cs="Arial" w:eastAsia="Arial" w:hAnsi="Arial"/>
          <w:sz w:val="20"/>
          <w:szCs w:val="20"/>
          <w:color w:val="auto"/>
        </w:rPr>
      </w:pPr>
    </w:p>
    <w:p>
      <w:pPr>
        <w:ind w:left="332" w:right="280" w:hanging="332"/>
        <w:spacing w:after="0" w:line="289" w:lineRule="auto"/>
        <w:tabs>
          <w:tab w:leader="none" w:pos="32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Severability of Provisions</w:t>
      </w:r>
      <w:r>
        <w:rPr>
          <w:rFonts w:ascii="Arial" w:cs="Arial" w:eastAsia="Arial" w:hAnsi="Arial"/>
          <w:sz w:val="19"/>
          <w:szCs w:val="19"/>
          <w:color w:val="auto"/>
        </w:rPr>
        <w:t>. If a court or arbitrator holds that any provision in this Agreement (except the Release of Claims provisions) is legally invalid or unenforceable, and cannot be modified to be enforceable, the affected provision will be</w:t>
      </w:r>
    </w:p>
    <w:p>
      <w:pPr>
        <w:jc w:val="both"/>
        <w:ind w:left="332" w:right="60"/>
        <w:spacing w:after="0" w:line="289" w:lineRule="auto"/>
        <w:rPr>
          <w:rFonts w:ascii="Arial" w:cs="Arial" w:eastAsia="Arial" w:hAnsi="Arial"/>
          <w:sz w:val="19"/>
          <w:szCs w:val="19"/>
          <w:color w:val="auto"/>
        </w:rPr>
      </w:pPr>
      <w:r>
        <w:rPr>
          <w:rFonts w:ascii="Arial" w:cs="Arial" w:eastAsia="Arial" w:hAnsi="Arial"/>
          <w:sz w:val="19"/>
          <w:szCs w:val="19"/>
          <w:color w:val="auto"/>
        </w:rPr>
        <w:t>stricken from the Agreement and the remaining terms of the Agreement and its enforceability shall remain unaffected. In the event the Release of Claims provisions are found to be invalid or unenforceable in whole or in part, the Company shall have</w:t>
      </w:r>
    </w:p>
    <w:p>
      <w:pPr>
        <w:ind w:left="332" w:right="40"/>
        <w:spacing w:after="0" w:line="289" w:lineRule="auto"/>
        <w:rPr>
          <w:rFonts w:ascii="Arial" w:cs="Arial" w:eastAsia="Arial" w:hAnsi="Arial"/>
          <w:sz w:val="19"/>
          <w:szCs w:val="19"/>
          <w:color w:val="auto"/>
        </w:rPr>
      </w:pPr>
      <w:r>
        <w:rPr>
          <w:rFonts w:ascii="Arial" w:cs="Arial" w:eastAsia="Arial" w:hAnsi="Arial"/>
          <w:sz w:val="19"/>
          <w:szCs w:val="19"/>
          <w:color w:val="auto"/>
        </w:rPr>
        <w:t>the option, in its sole discretion, to cancel the entire Agreement. If the Company decides to cancel the entire Agreement, the Agreement shall be null and void and none of the Consideration shall be owing or paid, and Employee shall repay to the</w:t>
      </w:r>
    </w:p>
    <w:p>
      <w:pPr>
        <w:ind w:left="332" w:right="740"/>
        <w:spacing w:after="0" w:line="289" w:lineRule="auto"/>
        <w:rPr>
          <w:rFonts w:ascii="Arial" w:cs="Arial" w:eastAsia="Arial" w:hAnsi="Arial"/>
          <w:sz w:val="19"/>
          <w:szCs w:val="19"/>
          <w:color w:val="auto"/>
        </w:rPr>
      </w:pPr>
      <w:r>
        <w:rPr>
          <w:rFonts w:ascii="Arial" w:cs="Arial" w:eastAsia="Arial" w:hAnsi="Arial"/>
          <w:sz w:val="20"/>
          <w:szCs w:val="20"/>
          <w:color w:val="auto"/>
        </w:rPr>
        <w:t>Company the total gross amount of any Consideration already paid, except to the extent that such reimbursement is prohibited by law.</w:t>
      </w:r>
    </w:p>
    <w:p>
      <w:pPr>
        <w:spacing w:after="0" w:line="215" w:lineRule="exact"/>
        <w:rPr>
          <w:rFonts w:ascii="Arial" w:cs="Arial" w:eastAsia="Arial" w:hAnsi="Arial"/>
          <w:sz w:val="19"/>
          <w:szCs w:val="19"/>
          <w:color w:val="auto"/>
        </w:rPr>
      </w:pPr>
    </w:p>
    <w:p>
      <w:pPr>
        <w:ind w:left="332" w:right="820" w:hanging="332"/>
        <w:spacing w:after="0" w:line="289" w:lineRule="auto"/>
        <w:tabs>
          <w:tab w:leader="none" w:pos="32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 of the Internal Revenue Code</w:t>
      </w:r>
      <w:r>
        <w:rPr>
          <w:rFonts w:ascii="Arial" w:cs="Arial" w:eastAsia="Arial" w:hAnsi="Arial"/>
          <w:sz w:val="20"/>
          <w:szCs w:val="20"/>
          <w:color w:val="auto"/>
        </w:rPr>
        <w:t>. This Agreement shall be construed and administered consistently with the intent that payments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92"/>
          </w:cols>
          <w:pgMar w:left="328" w:top="1418" w:right="379" w:bottom="1440" w:gutter="0" w:footer="0" w:header="0"/>
        </w:sectPr>
      </w:pPr>
    </w:p>
    <w:bookmarkStart w:id="54" w:name="page55"/>
    <w:bookmarkEnd w:id="54"/>
    <w:p>
      <w:pPr>
        <w:ind w:left="332" w:right="80"/>
        <w:spacing w:after="0" w:line="265" w:lineRule="auto"/>
        <w:rPr>
          <w:sz w:val="20"/>
          <w:szCs w:val="20"/>
          <w:color w:val="auto"/>
        </w:rPr>
      </w:pPr>
      <w:r>
        <w:rPr>
          <w:rFonts w:ascii="Arial" w:cs="Arial" w:eastAsia="Arial" w:hAnsi="Arial"/>
          <w:sz w:val="19"/>
          <w:szCs w:val="19"/>
          <w:color w:val="auto"/>
        </w:rPr>
        <w:t>be exempt from the requirements of Section 409A of the Code to the extent possible (i.e., applying the “short-term deferral” rule described in Treas. Reg. § 1.409A-1(b)(4), the “two-year, two-time” rule described in Treas. Reg. § 1.409A-1(b)(9) and/or another exemption), and to comply with the requirements of Section 409A (to avoid taxes and penalties thereunder) to the extent that Section 409A applies. Accordingly, the Company will modify this Agreement to the extent necessary to avoid the imposition of any such additional taxes, penalties or interest. In the unlikely event that this need arises, the Company will take reasonable efforts to provide advance notice to the Employee. All payments under this Agreement will be delayed to the extent necessary to comply with the rules in Section 409A(a)(2)(B)(i) (generally requiring a delay of six months after separation from service for certain payments made to top-50 officers determined in accordance with Company rules). For purposes of Section 409A, each installment in any series of payments shall be treated as a separate payment.</w:t>
      </w:r>
    </w:p>
    <w:p>
      <w:pPr>
        <w:spacing w:after="0" w:line="218" w:lineRule="exact"/>
        <w:rPr>
          <w:sz w:val="20"/>
          <w:szCs w:val="20"/>
          <w:color w:val="auto"/>
        </w:rPr>
      </w:pPr>
    </w:p>
    <w:p>
      <w:pPr>
        <w:ind w:left="312" w:hanging="312"/>
        <w:spacing w:after="0"/>
        <w:tabs>
          <w:tab w:leader="none" w:pos="31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Benefits Plans</w:t>
      </w:r>
      <w:r>
        <w:rPr>
          <w:rFonts w:ascii="Arial" w:cs="Arial" w:eastAsia="Arial" w:hAnsi="Arial"/>
          <w:sz w:val="20"/>
          <w:szCs w:val="20"/>
          <w:color w:val="auto"/>
        </w:rPr>
        <w:t>. The Company reserves the right to terminate, amend, suspend, replace or modify any of its benefit plans</w:t>
      </w:r>
    </w:p>
    <w:p>
      <w:pPr>
        <w:spacing w:after="0" w:line="40" w:lineRule="exact"/>
        <w:rPr>
          <w:rFonts w:ascii="Arial" w:cs="Arial" w:eastAsia="Arial" w:hAnsi="Arial"/>
          <w:sz w:val="20"/>
          <w:szCs w:val="20"/>
          <w:color w:val="auto"/>
        </w:rPr>
      </w:pPr>
    </w:p>
    <w:p>
      <w:pPr>
        <w:ind w:left="332" w:right="80"/>
        <w:spacing w:after="0" w:line="289" w:lineRule="auto"/>
        <w:rPr>
          <w:rFonts w:ascii="Arial" w:cs="Arial" w:eastAsia="Arial" w:hAnsi="Arial"/>
          <w:sz w:val="20"/>
          <w:szCs w:val="20"/>
          <w:color w:val="auto"/>
        </w:rPr>
      </w:pPr>
      <w:r>
        <w:rPr>
          <w:rFonts w:ascii="Arial" w:cs="Arial" w:eastAsia="Arial" w:hAnsi="Arial"/>
          <w:sz w:val="19"/>
          <w:szCs w:val="19"/>
          <w:color w:val="auto"/>
        </w:rPr>
        <w:t>and compensation programs at any time and for any reason, and the Employee will be subject to any such termination, amendment, suspension, replacement, or modification. If a plan or program is terminated, the Employee will not receive any</w:t>
      </w:r>
    </w:p>
    <w:p>
      <w:pPr>
        <w:ind w:left="332" w:right="100"/>
        <w:spacing w:after="0" w:line="289" w:lineRule="auto"/>
        <w:rPr>
          <w:rFonts w:ascii="Arial" w:cs="Arial" w:eastAsia="Arial" w:hAnsi="Arial"/>
          <w:sz w:val="20"/>
          <w:szCs w:val="20"/>
          <w:color w:val="auto"/>
        </w:rPr>
      </w:pPr>
      <w:r>
        <w:rPr>
          <w:rFonts w:ascii="Arial" w:cs="Arial" w:eastAsia="Arial" w:hAnsi="Arial"/>
          <w:sz w:val="19"/>
          <w:szCs w:val="19"/>
          <w:color w:val="auto"/>
        </w:rPr>
        <w:t>further benefits under that plan/program, other than payment for benefits for services or coverages incurred before it was terminated. This paragraph shall not alter any vested benefits to which the Employee may be entitled under the terms of the</w:t>
      </w:r>
    </w:p>
    <w:p>
      <w:pPr>
        <w:ind w:left="332"/>
        <w:spacing w:after="0" w:line="285" w:lineRule="auto"/>
        <w:rPr>
          <w:rFonts w:ascii="Arial" w:cs="Arial" w:eastAsia="Arial" w:hAnsi="Arial"/>
          <w:sz w:val="20"/>
          <w:szCs w:val="20"/>
          <w:color w:val="auto"/>
        </w:rPr>
      </w:pPr>
      <w:r>
        <w:rPr>
          <w:rFonts w:ascii="Arial" w:cs="Arial" w:eastAsia="Arial" w:hAnsi="Arial"/>
          <w:sz w:val="20"/>
          <w:szCs w:val="20"/>
          <w:color w:val="auto"/>
        </w:rPr>
        <w:t>GE HealthCare Pension Plan and/or GE HealthCare Retirement Savings Plan. In addition, to the extent any of the provisions in this Agreement conflict with the terms and conditions of any Company plan document, award agreement or grant agreement the provisions in those documents (and not this Agreement) shall be controlling.</w:t>
      </w:r>
    </w:p>
    <w:p>
      <w:pPr>
        <w:spacing w:after="0" w:line="206" w:lineRule="exact"/>
        <w:rPr>
          <w:rFonts w:ascii="Arial" w:cs="Arial" w:eastAsia="Arial" w:hAnsi="Arial"/>
          <w:sz w:val="20"/>
          <w:szCs w:val="20"/>
          <w:color w:val="auto"/>
        </w:rPr>
      </w:pPr>
    </w:p>
    <w:p>
      <w:pPr>
        <w:ind w:left="312" w:hanging="312"/>
        <w:spacing w:after="0"/>
        <w:tabs>
          <w:tab w:leader="none" w:pos="31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sets forth the entire agreement and understanding between the parties. The parties</w:t>
      </w:r>
    </w:p>
    <w:p>
      <w:pPr>
        <w:spacing w:after="0" w:line="40" w:lineRule="exact"/>
        <w:rPr>
          <w:rFonts w:ascii="Arial" w:cs="Arial" w:eastAsia="Arial" w:hAnsi="Arial"/>
          <w:sz w:val="20"/>
          <w:szCs w:val="20"/>
          <w:color w:val="auto"/>
        </w:rPr>
      </w:pPr>
    </w:p>
    <w:p>
      <w:pPr>
        <w:ind w:left="332" w:right="280"/>
        <w:spacing w:after="0" w:line="289" w:lineRule="auto"/>
        <w:rPr>
          <w:rFonts w:ascii="Arial" w:cs="Arial" w:eastAsia="Arial" w:hAnsi="Arial"/>
          <w:sz w:val="20"/>
          <w:szCs w:val="20"/>
          <w:color w:val="auto"/>
        </w:rPr>
      </w:pPr>
      <w:r>
        <w:rPr>
          <w:rFonts w:ascii="Arial" w:cs="Arial" w:eastAsia="Arial" w:hAnsi="Arial"/>
          <w:sz w:val="19"/>
          <w:szCs w:val="19"/>
          <w:color w:val="auto"/>
        </w:rPr>
        <w:t>agree they have not relied on any oral statements that are not included in this Agreement. This Agreement supersedes all prior agreements and understandings concerning the subject matter of this Agreement, other than as described in this</w:t>
      </w:r>
    </w:p>
    <w:p>
      <w:pPr>
        <w:ind w:left="332" w:right="160"/>
        <w:spacing w:after="0" w:line="289" w:lineRule="auto"/>
        <w:rPr>
          <w:rFonts w:ascii="Arial" w:cs="Arial" w:eastAsia="Arial" w:hAnsi="Arial"/>
          <w:sz w:val="20"/>
          <w:szCs w:val="20"/>
          <w:color w:val="auto"/>
        </w:rPr>
      </w:pPr>
      <w:r>
        <w:rPr>
          <w:rFonts w:ascii="Arial" w:cs="Arial" w:eastAsia="Arial" w:hAnsi="Arial"/>
          <w:sz w:val="20"/>
          <w:szCs w:val="20"/>
          <w:color w:val="auto"/>
        </w:rPr>
        <w:t>Agreement. Any modifications to this Agreement must be in writing, must reference this Agreement, and must be signed by the Employee and an authorized employee or agent of the Company.</w:t>
      </w:r>
    </w:p>
    <w:p>
      <w:pPr>
        <w:spacing w:after="0" w:line="215" w:lineRule="exact"/>
        <w:rPr>
          <w:rFonts w:ascii="Arial" w:cs="Arial" w:eastAsia="Arial" w:hAnsi="Arial"/>
          <w:sz w:val="20"/>
          <w:szCs w:val="20"/>
          <w:color w:val="auto"/>
        </w:rPr>
      </w:pPr>
    </w:p>
    <w:p>
      <w:pPr>
        <w:ind w:left="332" w:right="620" w:hanging="332"/>
        <w:spacing w:after="0" w:line="289" w:lineRule="auto"/>
        <w:tabs>
          <w:tab w:leader="none" w:pos="323"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This Agreement shall be construed, interpreted and applied in accordance with the law of the State of Delaware without regard to choice of law principles.</w:t>
      </w:r>
    </w:p>
    <w:p>
      <w:pPr>
        <w:spacing w:after="0" w:line="215" w:lineRule="exact"/>
        <w:rPr>
          <w:rFonts w:ascii="Arial" w:cs="Arial" w:eastAsia="Arial" w:hAnsi="Arial"/>
          <w:sz w:val="20"/>
          <w:szCs w:val="20"/>
          <w:color w:val="auto"/>
        </w:rPr>
      </w:pPr>
    </w:p>
    <w:p>
      <w:pPr>
        <w:ind w:left="332" w:right="20" w:hanging="332"/>
        <w:spacing w:after="0" w:line="285" w:lineRule="auto"/>
        <w:tabs>
          <w:tab w:leader="none" w:pos="323"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Nothing in this Agreement is intended to affect Employee’s ability to seek Unemployment Insurance (UI). The Company will provide accurate information in response to requests related to the Employee’s application for UI benefits regarding the terms of his/her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32"/>
          </w:cols>
          <w:pgMar w:left="328" w:top="1418" w:right="339" w:bottom="1440" w:gutter="0" w:footer="0" w:header="0"/>
        </w:sectPr>
      </w:pPr>
    </w:p>
    <w:bookmarkStart w:id="55" w:name="page56"/>
    <w:bookmarkEnd w:id="55"/>
    <w:p>
      <w:pPr>
        <w:spacing w:after="0" w:line="200" w:lineRule="exact"/>
        <w:rPr>
          <w:sz w:val="20"/>
          <w:szCs w:val="20"/>
          <w:color w:val="auto"/>
        </w:rPr>
      </w:pPr>
    </w:p>
    <w:p>
      <w:pPr>
        <w:spacing w:after="0" w:line="224" w:lineRule="exact"/>
        <w:rPr>
          <w:sz w:val="20"/>
          <w:szCs w:val="20"/>
          <w:color w:val="auto"/>
        </w:rPr>
      </w:pPr>
    </w:p>
    <w:p>
      <w:pPr>
        <w:ind w:left="340" w:right="140" w:hanging="332"/>
        <w:spacing w:after="0" w:line="303" w:lineRule="auto"/>
        <w:tabs>
          <w:tab w:leader="none" w:pos="331"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Format</w:t>
      </w:r>
      <w:r>
        <w:rPr>
          <w:rFonts w:ascii="Arial" w:cs="Arial" w:eastAsia="Arial" w:hAnsi="Arial"/>
          <w:sz w:val="20"/>
          <w:szCs w:val="20"/>
          <w:color w:val="auto"/>
        </w:rPr>
        <w:t>. The Employee and the Company agree that a facsimile (“fax”), photographic, or electronic copy of this Agreement shall be as valid as the original.</w:t>
      </w:r>
    </w:p>
    <w:p>
      <w:pPr>
        <w:spacing w:after="0" w:line="179" w:lineRule="exact"/>
        <w:rPr>
          <w:sz w:val="20"/>
          <w:szCs w:val="20"/>
          <w:color w:val="auto"/>
        </w:rPr>
      </w:pPr>
    </w:p>
    <w:p>
      <w:pPr>
        <w:spacing w:after="0" w:line="330" w:lineRule="auto"/>
        <w:rPr>
          <w:sz w:val="20"/>
          <w:szCs w:val="20"/>
          <w:color w:val="auto"/>
        </w:rPr>
      </w:pPr>
      <w:r>
        <w:rPr>
          <w:rFonts w:ascii="Arial" w:cs="Arial" w:eastAsia="Arial" w:hAnsi="Arial"/>
          <w:sz w:val="20"/>
          <w:szCs w:val="20"/>
          <w:b w:val="1"/>
          <w:bCs w:val="1"/>
          <w:i w:val="1"/>
          <w:iCs w:val="1"/>
          <w:color w:val="auto"/>
        </w:rPr>
        <w:t>I acknowledge that I understand the above agreement includes the release of all claims. I understand that I am waiving unknown claims and I am doing so voluntarily and intentionally.</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20" w:type="dxa"/>
            <w:vAlign w:val="bottom"/>
            <w:gridSpan w:val="4"/>
          </w:tcPr>
          <w:p>
            <w:pPr>
              <w:spacing w:after="0"/>
              <w:rPr>
                <w:sz w:val="20"/>
                <w:szCs w:val="20"/>
                <w:color w:val="auto"/>
              </w:rPr>
            </w:pPr>
            <w:r>
              <w:rPr>
                <w:rFonts w:ascii="Arial" w:cs="Arial" w:eastAsia="Arial" w:hAnsi="Arial"/>
                <w:sz w:val="20"/>
                <w:szCs w:val="20"/>
                <w:b w:val="1"/>
                <w:bCs w:val="1"/>
                <w:color w:val="auto"/>
              </w:rPr>
              <w:t>HELMUT ZODL</w:t>
            </w:r>
          </w:p>
        </w:tc>
        <w:tc>
          <w:tcPr>
            <w:tcW w:w="5620" w:type="dxa"/>
            <w:vAlign w:val="bottom"/>
            <w:gridSpan w:val="8"/>
          </w:tcPr>
          <w:p>
            <w:pPr>
              <w:ind w:left="400"/>
              <w:spacing w:after="0"/>
              <w:rPr>
                <w:sz w:val="20"/>
                <w:szCs w:val="20"/>
                <w:color w:val="auto"/>
              </w:rPr>
            </w:pPr>
            <w:r>
              <w:rPr>
                <w:rFonts w:ascii="Arial" w:cs="Arial" w:eastAsia="Arial" w:hAnsi="Arial"/>
                <w:sz w:val="20"/>
                <w:szCs w:val="20"/>
                <w:b w:val="1"/>
                <w:bCs w:val="1"/>
                <w:color w:val="auto"/>
              </w:rPr>
              <w:t>GE PRECISION HEALTHCARE, LLC</w:t>
            </w:r>
          </w:p>
        </w:tc>
      </w:tr>
      <w:tr>
        <w:trPr>
          <w:trHeight w:val="533"/>
        </w:trPr>
        <w:tc>
          <w:tcPr>
            <w:tcW w:w="2120" w:type="dxa"/>
            <w:vAlign w:val="bottom"/>
            <w:gridSpan w:val="4"/>
          </w:tcPr>
          <w:p>
            <w:pPr>
              <w:spacing w:after="0"/>
              <w:rPr>
                <w:sz w:val="20"/>
                <w:szCs w:val="20"/>
                <w:color w:val="auto"/>
              </w:rPr>
            </w:pPr>
            <w:r>
              <w:rPr>
                <w:rFonts w:ascii="Arial" w:cs="Arial" w:eastAsia="Arial" w:hAnsi="Arial"/>
                <w:sz w:val="20"/>
                <w:szCs w:val="20"/>
                <w:color w:val="auto"/>
              </w:rPr>
              <w:t>By: /s/ Helmut Zodl ___</w:t>
            </w:r>
          </w:p>
        </w:tc>
        <w:tc>
          <w:tcPr>
            <w:tcW w:w="5620" w:type="dxa"/>
            <w:vAlign w:val="bottom"/>
            <w:gridSpan w:val="8"/>
          </w:tcPr>
          <w:p>
            <w:pPr>
              <w:ind w:left="220"/>
              <w:spacing w:after="0"/>
              <w:rPr>
                <w:sz w:val="20"/>
                <w:szCs w:val="20"/>
                <w:color w:val="auto"/>
              </w:rPr>
            </w:pPr>
            <w:r>
              <w:rPr>
                <w:rFonts w:ascii="Arial" w:cs="Arial" w:eastAsia="Arial" w:hAnsi="Arial"/>
                <w:sz w:val="20"/>
                <w:szCs w:val="20"/>
                <w:color w:val="auto"/>
              </w:rPr>
              <w:t>By: _/s/ George Newcomb_________</w:t>
            </w:r>
          </w:p>
        </w:tc>
      </w:tr>
      <w:tr>
        <w:trPr>
          <w:trHeight w:val="20"/>
        </w:trPr>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79"/>
        </w:trPr>
        <w:tc>
          <w:tcPr>
            <w:tcW w:w="2120" w:type="dxa"/>
            <w:vAlign w:val="bottom"/>
            <w:gridSpan w:val="4"/>
          </w:tcPr>
          <w:p>
            <w:pPr>
              <w:spacing w:after="0"/>
              <w:rPr>
                <w:sz w:val="20"/>
                <w:szCs w:val="20"/>
                <w:color w:val="auto"/>
              </w:rPr>
            </w:pPr>
            <w:r>
              <w:rPr>
                <w:rFonts w:ascii="Arial" w:cs="Arial" w:eastAsia="Arial" w:hAnsi="Arial"/>
                <w:sz w:val="20"/>
                <w:szCs w:val="20"/>
                <w:color w:val="auto"/>
              </w:rPr>
              <w:t>Date: 8/19/2023_ __</w:t>
            </w:r>
          </w:p>
        </w:tc>
        <w:tc>
          <w:tcPr>
            <w:tcW w:w="5620" w:type="dxa"/>
            <w:vAlign w:val="bottom"/>
            <w:gridSpan w:val="8"/>
          </w:tcPr>
          <w:p>
            <w:pPr>
              <w:spacing w:after="0"/>
              <w:rPr>
                <w:sz w:val="20"/>
                <w:szCs w:val="20"/>
                <w:color w:val="auto"/>
              </w:rPr>
            </w:pPr>
            <w:r>
              <w:rPr>
                <w:rFonts w:ascii="Arial" w:cs="Arial" w:eastAsia="Arial" w:hAnsi="Arial"/>
                <w:sz w:val="20"/>
                <w:szCs w:val="20"/>
                <w:color w:val="auto"/>
              </w:rPr>
              <w:t>Date:_8/22/2023__________________</w:t>
            </w:r>
          </w:p>
        </w:tc>
      </w:tr>
      <w:tr>
        <w:trPr>
          <w:trHeight w:val="20"/>
        </w:trPr>
        <w:tc>
          <w:tcPr>
            <w:tcW w:w="54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93"/>
        </w:trPr>
        <w:tc>
          <w:tcPr>
            <w:tcW w:w="3980" w:type="dxa"/>
            <w:vAlign w:val="bottom"/>
            <w:gridSpan w:val="8"/>
          </w:tcPr>
          <w:p>
            <w:pPr>
              <w:spacing w:after="0"/>
              <w:rPr>
                <w:sz w:val="20"/>
                <w:szCs w:val="20"/>
                <w:color w:val="auto"/>
              </w:rPr>
            </w:pPr>
            <w:r>
              <w:rPr>
                <w:rFonts w:ascii="Arial" w:cs="Arial" w:eastAsia="Arial" w:hAnsi="Arial"/>
                <w:sz w:val="20"/>
                <w:szCs w:val="20"/>
                <w:color w:val="auto"/>
              </w:rPr>
              <w:t xml:space="preserve">SSO: </w:t>
            </w:r>
            <w:r>
              <w:rPr>
                <w:rFonts w:ascii="Arial" w:cs="Arial" w:eastAsia="Arial" w:hAnsi="Arial"/>
                <w:sz w:val="20"/>
                <w:szCs w:val="20"/>
                <w:b w:val="1"/>
                <w:bCs w:val="1"/>
                <w:color w:val="auto"/>
              </w:rPr>
              <w:t>[***]</w:t>
            </w:r>
            <w:r>
              <w:rPr>
                <w:rFonts w:ascii="Arial" w:cs="Arial" w:eastAsia="Arial" w:hAnsi="Arial"/>
                <w:sz w:val="20"/>
                <w:szCs w:val="20"/>
                <w:color w:val="auto"/>
              </w:rPr>
              <w:t>__________________________</w:t>
            </w:r>
          </w:p>
        </w:tc>
        <w:tc>
          <w:tcPr>
            <w:tcW w:w="3760" w:type="dxa"/>
            <w:vAlign w:val="bottom"/>
            <w:gridSpan w:val="4"/>
          </w:tcPr>
          <w:p>
            <w:pPr>
              <w:ind w:left="220"/>
              <w:spacing w:after="0"/>
              <w:rPr>
                <w:sz w:val="20"/>
                <w:szCs w:val="20"/>
                <w:color w:val="auto"/>
              </w:rPr>
            </w:pPr>
            <w:r>
              <w:rPr>
                <w:rFonts w:ascii="Arial" w:cs="Arial" w:eastAsia="Arial" w:hAnsi="Arial"/>
                <w:sz w:val="20"/>
                <w:szCs w:val="20"/>
                <w:color w:val="auto"/>
                <w:w w:val="98"/>
              </w:rPr>
              <w:t xml:space="preserve">SSO: </w:t>
            </w:r>
            <w:r>
              <w:rPr>
                <w:rFonts w:ascii="Arial" w:cs="Arial" w:eastAsia="Arial" w:hAnsi="Arial"/>
                <w:sz w:val="20"/>
                <w:szCs w:val="20"/>
                <w:b w:val="1"/>
                <w:bCs w:val="1"/>
                <w:color w:val="auto"/>
                <w:w w:val="98"/>
              </w:rPr>
              <w:t>[***]</w:t>
            </w:r>
            <w:r>
              <w:rPr>
                <w:rFonts w:ascii="Arial" w:cs="Arial" w:eastAsia="Arial" w:hAnsi="Arial"/>
                <w:sz w:val="20"/>
                <w:szCs w:val="20"/>
                <w:color w:val="auto"/>
                <w:w w:val="98"/>
              </w:rPr>
              <w:t>________________________</w:t>
            </w: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40"/>
          </w:cols>
          <w:pgMar w:left="320" w:top="1440"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6"/>
          <w:szCs w:val="16"/>
          <w:color w:val="auto"/>
        </w:rPr>
      </w:pPr>
    </w:p>
    <w:p>
      <w:pPr>
        <w:ind w:left="660" w:right="240" w:hanging="652"/>
        <w:spacing w:after="0" w:line="26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6"/>
          <w:szCs w:val="16"/>
          <w:color w:val="auto"/>
        </w:rPr>
      </w:pPr>
    </w:p>
    <w:p>
      <w:pPr>
        <w:ind w:left="1300" w:right="240" w:hanging="644"/>
        <w:spacing w:after="0" w:line="261" w:lineRule="auto"/>
        <w:tabs>
          <w:tab w:leader="none" w:pos="12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6"/>
          <w:szCs w:val="16"/>
          <w:color w:val="auto"/>
        </w:rPr>
      </w:pPr>
    </w:p>
    <w:p>
      <w:pPr>
        <w:ind w:left="1300" w:right="160" w:hanging="644"/>
        <w:spacing w:after="0" w:line="270" w:lineRule="auto"/>
        <w:tabs>
          <w:tab w:leader="none" w:pos="12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6"/>
          <w:szCs w:val="16"/>
          <w:color w:val="auto"/>
        </w:rPr>
      </w:pPr>
    </w:p>
    <w:p>
      <w:pPr>
        <w:ind w:left="1300" w:right="20" w:hanging="644"/>
        <w:spacing w:after="0" w:line="270" w:lineRule="auto"/>
        <w:tabs>
          <w:tab w:leader="none" w:pos="12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6"/>
          <w:szCs w:val="16"/>
          <w:color w:val="auto"/>
        </w:rPr>
      </w:pPr>
    </w:p>
    <w:p>
      <w:pPr>
        <w:ind w:left="1300" w:right="640" w:hanging="644"/>
        <w:spacing w:after="0" w:line="276" w:lineRule="auto"/>
        <w:tabs>
          <w:tab w:leader="none" w:pos="12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6"/>
          <w:szCs w:val="16"/>
          <w:color w:val="auto"/>
        </w:rPr>
      </w:pPr>
    </w:p>
    <w:p>
      <w:pPr>
        <w:ind w:left="1300" w:right="280" w:hanging="644"/>
        <w:spacing w:after="0" w:line="276" w:lineRule="auto"/>
        <w:tabs>
          <w:tab w:leader="none" w:pos="12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45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6"/>
          <w:szCs w:val="16"/>
          <w:color w:val="auto"/>
        </w:rPr>
      </w:pPr>
    </w:p>
    <w:p>
      <w:pPr>
        <w:ind w:left="660" w:right="240" w:hanging="652"/>
        <w:spacing w:after="0" w:line="26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6"/>
          <w:szCs w:val="16"/>
          <w:color w:val="auto"/>
        </w:rPr>
      </w:pPr>
    </w:p>
    <w:p>
      <w:pPr>
        <w:ind w:left="1300" w:right="240" w:hanging="644"/>
        <w:spacing w:after="0" w:line="261"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6"/>
          <w:szCs w:val="16"/>
          <w:color w:val="auto"/>
        </w:rPr>
      </w:pPr>
    </w:p>
    <w:p>
      <w:pPr>
        <w:ind w:left="1300" w:right="160" w:hanging="644"/>
        <w:spacing w:after="0" w:line="270"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6"/>
          <w:szCs w:val="16"/>
          <w:color w:val="auto"/>
        </w:rPr>
      </w:pPr>
    </w:p>
    <w:p>
      <w:pPr>
        <w:ind w:left="1300" w:right="20" w:hanging="644"/>
        <w:spacing w:after="0" w:line="270"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6"/>
          <w:szCs w:val="16"/>
          <w:color w:val="auto"/>
        </w:rPr>
      </w:pPr>
    </w:p>
    <w:p>
      <w:pPr>
        <w:ind w:left="1300" w:right="640" w:hanging="644"/>
        <w:spacing w:after="0" w:line="276"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6"/>
          <w:szCs w:val="16"/>
          <w:color w:val="auto"/>
        </w:rPr>
      </w:pPr>
    </w:p>
    <w:p>
      <w:pPr>
        <w:ind w:left="1300" w:right="280" w:hanging="644"/>
        <w:spacing w:after="0" w:line="276"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37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9"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20"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September 30, 2023,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89"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October 31,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45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376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01"/>
    </w:lvl>
  </w:abstractNum>
  <w:abstractNum w:abstractNumId="34">
    <w:nsid w:val="725A06FB"/>
    <w:multiLevelType w:val="hybridMultilevel"/>
    <w:lvl w:ilvl="0">
      <w:lvlJc w:val="left"/>
      <w:lvlText w:val="%1"/>
      <w:numFmt w:val="decimal"/>
      <w:start w:val="104"/>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abstractNum>
  <w:abstractNum w:abstractNumId="37">
    <w:nsid w:val="7A6D8D3C"/>
    <w:multiLevelType w:val="hybridMultilevel"/>
    <w:lvl w:ilvl="0">
      <w:lvlJc w:val="left"/>
      <w:lvlText w:val="%1."/>
      <w:numFmt w:val="lowerLetter"/>
      <w:start w:val="5"/>
    </w:lvl>
  </w:abstractNum>
  <w:abstractNum w:abstractNumId="38">
    <w:nsid w:val="4B588F54"/>
    <w:multiLevelType w:val="hybridMultilevel"/>
    <w:lvl w:ilvl="0">
      <w:lvlJc w:val="left"/>
      <w:lvlText w:val="%1."/>
      <w:numFmt w:val="lowerLetter"/>
      <w:start w:val="6"/>
    </w:lvl>
  </w:abstractNum>
  <w:abstractNum w:abstractNumId="39">
    <w:nsid w:val="542289EC"/>
    <w:multiLevelType w:val="hybridMultilevel"/>
    <w:lvl w:ilvl="0">
      <w:lvlJc w:val="left"/>
      <w:lvlText w:val="%1"/>
      <w:numFmt w:val="decimal"/>
      <w:start w:val="1"/>
    </w:lvl>
    <w:lvl w:ilvl="1">
      <w:lvlJc w:val="left"/>
      <w:lvlText w:val="%2."/>
      <w:numFmt w:val="lowerLetter"/>
      <w:start w:val="9"/>
    </w:lvl>
  </w:abstractNum>
  <w:abstractNum w:abstractNumId="40">
    <w:nsid w:val="6DE91B18"/>
    <w:multiLevelType w:val="hybridMultilevel"/>
    <w:lvl w:ilvl="0">
      <w:lvlJc w:val="left"/>
      <w:lvlText w:val="%1."/>
      <w:numFmt w:val="decimal"/>
      <w:start w:val="2"/>
    </w:lvl>
    <w:lvl w:ilvl="1">
      <w:lvlJc w:val="left"/>
      <w:lvlText w:val="%2."/>
      <w:numFmt w:val="lowerLetter"/>
      <w:start w:val="1"/>
    </w:lvl>
  </w:abstractNum>
  <w:abstractNum w:abstractNumId="41">
    <w:nsid w:val="38437FDB"/>
    <w:multiLevelType w:val="hybridMultilevel"/>
    <w:lvl w:ilvl="0">
      <w:lvlJc w:val="left"/>
      <w:lvlText w:val="%1"/>
      <w:numFmt w:val="decimal"/>
      <w:start w:val="1"/>
    </w:lvl>
    <w:lvl w:ilvl="1">
      <w:lvlJc w:val="left"/>
      <w:lvlText w:val="%2."/>
      <w:numFmt w:val="lowerLetter"/>
      <w:start w:val="5"/>
    </w:lvl>
  </w:abstractNum>
  <w:abstractNum w:abstractNumId="42">
    <w:nsid w:val="7644A45C"/>
    <w:multiLevelType w:val="hybridMultilevel"/>
    <w:lvl w:ilvl="0">
      <w:lvlJc w:val="left"/>
      <w:lvlText w:val="%1."/>
      <w:numFmt w:val="decimal"/>
      <w:start w:val="3"/>
    </w:lvl>
    <w:lvl w:ilvl="1">
      <w:lvlJc w:val="left"/>
      <w:lvlText w:val="%2"/>
      <w:numFmt w:val="lowerLetter"/>
      <w:start w:val="1"/>
    </w:lvl>
  </w:abstractNum>
  <w:abstractNum w:abstractNumId="43">
    <w:nsid w:val="32FFF902"/>
    <w:multiLevelType w:val="hybridMultilevel"/>
    <w:lvl w:ilvl="0">
      <w:lvlJc w:val="left"/>
      <w:lvlText w:val="%1."/>
      <w:numFmt w:val="decimal"/>
      <w:start w:val="5"/>
    </w:lvl>
  </w:abstractNum>
  <w:abstractNum w:abstractNumId="44">
    <w:nsid w:val="684A481A"/>
    <w:multiLevelType w:val="hybridMultilevel"/>
    <w:lvl w:ilvl="0">
      <w:lvlJc w:val="left"/>
      <w:lvlText w:val="%1."/>
      <w:numFmt w:val="decimal"/>
      <w:start w:val="7"/>
    </w:lvl>
  </w:abstractNum>
  <w:abstractNum w:abstractNumId="45">
    <w:nsid w:val="579478FE"/>
    <w:multiLevelType w:val="hybridMultilevel"/>
    <w:lvl w:ilvl="0">
      <w:lvlJc w:val="left"/>
      <w:lvlText w:val="%1."/>
      <w:numFmt w:val="decimal"/>
      <w:start w:val="11"/>
    </w:lvl>
  </w:abstractNum>
  <w:abstractNum w:abstractNumId="46">
    <w:nsid w:val="749ABB43"/>
    <w:multiLevelType w:val="hybridMultilevel"/>
    <w:lvl w:ilvl="0">
      <w:lvlJc w:val="left"/>
      <w:lvlText w:val="%1"/>
      <w:numFmt w:val="decimal"/>
      <w:start w:val="1"/>
    </w:lvl>
    <w:lvl w:ilvl="1">
      <w:lvlJc w:val="left"/>
      <w:lvlText w:val="(%2)"/>
      <w:numFmt w:val="decimal"/>
      <w:start w:val="1"/>
    </w:lvl>
  </w:abstractNum>
  <w:abstractNum w:abstractNumId="47">
    <w:nsid w:val="3DC240FB"/>
    <w:multiLevelType w:val="hybridMultilevel"/>
    <w:lvl w:ilvl="0">
      <w:lvlJc w:val="left"/>
      <w:lvlText w:val="%1."/>
      <w:numFmt w:val="decimal"/>
      <w:start w:val="14"/>
    </w:lvl>
    <w:lvl w:ilvl="1">
      <w:lvlJc w:val="left"/>
      <w:lvlText w:val="%2"/>
      <w:numFmt w:val="decimal"/>
      <w:start w:val="1"/>
    </w:lvl>
  </w:abstractNum>
  <w:abstractNum w:abstractNumId="48">
    <w:nsid w:val="1BA026FA"/>
    <w:multiLevelType w:val="hybridMultilevel"/>
    <w:lvl w:ilvl="0">
      <w:lvlJc w:val="left"/>
      <w:lvlText w:val="%1."/>
      <w:numFmt w:val="decimal"/>
      <w:start w:val="16"/>
    </w:lvl>
  </w:abstractNum>
  <w:abstractNum w:abstractNumId="49">
    <w:nsid w:val="79A1DEAA"/>
    <w:multiLevelType w:val="hybridMultilevel"/>
    <w:lvl w:ilvl="0">
      <w:lvlJc w:val="left"/>
      <w:lvlText w:val="%1."/>
      <w:numFmt w:val="decimal"/>
      <w:start w:val="20"/>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0" Type="http://schemas.openxmlformats.org/officeDocument/2006/relationships/hyperlink" Target="https://www.sec.gov/Archives/edgar/data/1932393/000119312522314166/d439598dex31.htm" TargetMode="External"/><Relationship Id="rId71"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2023-10-31T05:41:49Z</dcterms:created>
  <dcterms:modified xsi:type="dcterms:W3CDTF">2023-10-31T05:41:49Z</dcterms:modified>
</cp:coreProperties>
</file>